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9BC" w:rsidRDefault="00D549BC" w:rsidP="00B21BD2">
      <w:pPr>
        <w:ind w:firstLine="0"/>
        <w:contextualSpacing/>
        <w:jc w:val="left"/>
        <w:rPr>
          <w:rFonts w:ascii="Times New Roman" w:hAnsi="Times New Roman"/>
          <w:sz w:val="24"/>
          <w:szCs w:val="24"/>
        </w:rPr>
      </w:pPr>
      <w:r w:rsidRPr="0095192E">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i1025" type="#_x0000_t75" alt="http://www.noticias.uff.br/noticias/2013/07/PPGDC.png" style="width:197.25pt;height:114.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">
            <v:imagedata r:id="rId7" o:title="" croptop="-1118f" cropbottom="-853f" cropleft="-641f" cropright="-253f"/>
            <o:lock v:ext="edit" aspectratio="f"/>
          </v:shape>
        </w:pict>
      </w:r>
    </w:p>
    <w:p w:rsidR="00D549BC" w:rsidRDefault="00D549BC" w:rsidP="00CE6CF1">
      <w:pPr>
        <w:ind w:firstLine="0"/>
        <w:contextualSpacing/>
        <w:jc w:val="center"/>
        <w:rPr>
          <w:rFonts w:ascii="Times New Roman" w:hAnsi="Times New Roman"/>
          <w:sz w:val="24"/>
          <w:szCs w:val="24"/>
        </w:rPr>
      </w:pPr>
    </w:p>
    <w:p w:rsidR="00D549BC" w:rsidRPr="00CE6CF1" w:rsidRDefault="00D549BC" w:rsidP="00CE6CF1">
      <w:pPr>
        <w:ind w:firstLine="0"/>
        <w:contextualSpacing/>
        <w:jc w:val="center"/>
        <w:rPr>
          <w:rFonts w:ascii="Times New Roman" w:hAnsi="Times New Roman"/>
          <w:sz w:val="24"/>
          <w:szCs w:val="24"/>
        </w:rPr>
      </w:pPr>
      <w:r w:rsidRPr="00CE6CF1">
        <w:rPr>
          <w:rFonts w:ascii="Times New Roman" w:hAnsi="Times New Roman"/>
          <w:sz w:val="24"/>
          <w:szCs w:val="24"/>
        </w:rPr>
        <w:t>UNIVERSIDADE FEDERAL FLUMINENSE</w:t>
      </w:r>
      <w:r>
        <w:rPr>
          <w:rFonts w:ascii="Times New Roman" w:hAnsi="Times New Roman"/>
          <w:sz w:val="24"/>
          <w:szCs w:val="24"/>
        </w:rPr>
        <w:t xml:space="preserve"> - UFF/NITERÓI</w:t>
      </w:r>
    </w:p>
    <w:p w:rsidR="00D549BC" w:rsidRPr="00CE6CF1" w:rsidRDefault="00D549BC" w:rsidP="00CE6CF1">
      <w:pPr>
        <w:ind w:firstLine="0"/>
        <w:contextualSpacing/>
        <w:jc w:val="center"/>
        <w:rPr>
          <w:rFonts w:ascii="Times New Roman" w:hAnsi="Times New Roman"/>
          <w:sz w:val="24"/>
          <w:szCs w:val="24"/>
        </w:rPr>
      </w:pPr>
      <w:r w:rsidRPr="00CE6CF1">
        <w:rPr>
          <w:rFonts w:ascii="Times New Roman" w:hAnsi="Times New Roman"/>
          <w:sz w:val="24"/>
          <w:szCs w:val="24"/>
        </w:rPr>
        <w:t>FACULDADE DE DIREITO</w:t>
      </w:r>
    </w:p>
    <w:p w:rsidR="00D549BC" w:rsidRPr="00CE6CF1" w:rsidRDefault="00D549BC" w:rsidP="00CE6CF1">
      <w:pPr>
        <w:ind w:left="-284" w:firstLine="0"/>
        <w:contextualSpacing/>
        <w:jc w:val="center"/>
        <w:rPr>
          <w:rFonts w:ascii="Times New Roman" w:hAnsi="Times New Roman"/>
          <w:sz w:val="24"/>
          <w:szCs w:val="24"/>
        </w:rPr>
      </w:pPr>
      <w:r>
        <w:rPr>
          <w:rFonts w:ascii="Times New Roman" w:hAnsi="Times New Roman"/>
          <w:sz w:val="24"/>
          <w:szCs w:val="24"/>
        </w:rPr>
        <w:t>PROGRAMA DE PÓS-GRADUAÇÃO</w:t>
      </w:r>
      <w:r w:rsidRPr="00CE6CF1">
        <w:rPr>
          <w:rFonts w:ascii="Times New Roman" w:hAnsi="Times New Roman"/>
          <w:sz w:val="24"/>
          <w:szCs w:val="24"/>
        </w:rPr>
        <w:t xml:space="preserve"> </w:t>
      </w:r>
      <w:r w:rsidRPr="00CE6CF1">
        <w:rPr>
          <w:rFonts w:ascii="Times New Roman" w:hAnsi="Times New Roman"/>
          <w:i/>
          <w:sz w:val="24"/>
          <w:szCs w:val="24"/>
        </w:rPr>
        <w:t>STRICTO SENSU</w:t>
      </w:r>
      <w:r w:rsidRPr="00CE6CF1">
        <w:rPr>
          <w:rFonts w:ascii="Times New Roman" w:hAnsi="Times New Roman"/>
          <w:sz w:val="24"/>
          <w:szCs w:val="24"/>
        </w:rPr>
        <w:t xml:space="preserve"> EM DIREITO CONSTITUCIONAL</w:t>
      </w: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r>
        <w:rPr>
          <w:rFonts w:ascii="Times New Roman" w:hAnsi="Times New Roman"/>
          <w:sz w:val="24"/>
          <w:szCs w:val="24"/>
          <w:lang w:eastAsia="pt-BR"/>
        </w:rPr>
        <w:t>JOSÉ LUÍS DA SILVA TAVARES</w:t>
      </w: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E93F5F">
      <w:pPr>
        <w:ind w:left="-284" w:firstLine="0"/>
        <w:contextualSpacing/>
        <w:jc w:val="center"/>
        <w:rPr>
          <w:rFonts w:ascii="Times New Roman" w:hAnsi="Times New Roman"/>
          <w:b/>
          <w:sz w:val="24"/>
          <w:szCs w:val="24"/>
          <w:lang w:eastAsia="pt-BR"/>
        </w:rPr>
      </w:pPr>
      <w:r>
        <w:rPr>
          <w:rFonts w:ascii="Times New Roman" w:hAnsi="Times New Roman"/>
          <w:b/>
          <w:sz w:val="24"/>
          <w:szCs w:val="24"/>
          <w:lang w:eastAsia="pt-BR"/>
        </w:rPr>
        <w:t>A CRISE DO RECURSO EXTRAORDINÁRIO NO SUPREMO TRIBUNAL FEDERAL: PASSADO, PRESENTE E FUTURO</w:t>
      </w:r>
    </w:p>
    <w:p w:rsidR="00D549BC" w:rsidRDefault="00D549BC" w:rsidP="00AB1899">
      <w:pPr>
        <w:ind w:firstLine="0"/>
        <w:contextualSpacing/>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CE6CF1">
      <w:pPr>
        <w:ind w:firstLine="0"/>
        <w:contextualSpacing/>
        <w:jc w:val="center"/>
        <w:rPr>
          <w:rFonts w:ascii="Times New Roman" w:hAnsi="Times New Roman"/>
          <w:b/>
          <w:sz w:val="24"/>
          <w:szCs w:val="24"/>
          <w:lang w:eastAsia="pt-BR"/>
        </w:rPr>
      </w:pPr>
    </w:p>
    <w:p w:rsidR="00D549BC" w:rsidRDefault="00D549BC" w:rsidP="004735A6">
      <w:pPr>
        <w:spacing w:line="240" w:lineRule="auto"/>
        <w:ind w:firstLine="0"/>
        <w:contextualSpacing/>
        <w:jc w:val="center"/>
        <w:rPr>
          <w:rFonts w:ascii="Times New Roman" w:hAnsi="Times New Roman"/>
          <w:sz w:val="24"/>
          <w:szCs w:val="24"/>
          <w:lang w:eastAsia="pt-BR"/>
        </w:rPr>
      </w:pPr>
    </w:p>
    <w:p w:rsidR="00D549BC" w:rsidRDefault="00D549BC" w:rsidP="004735A6">
      <w:pPr>
        <w:spacing w:line="240" w:lineRule="auto"/>
        <w:ind w:firstLine="0"/>
        <w:contextualSpacing/>
        <w:jc w:val="center"/>
        <w:rPr>
          <w:rFonts w:ascii="Times New Roman" w:hAnsi="Times New Roman"/>
          <w:sz w:val="24"/>
          <w:szCs w:val="24"/>
          <w:lang w:eastAsia="pt-BR"/>
        </w:rPr>
      </w:pPr>
    </w:p>
    <w:p w:rsidR="00D549BC" w:rsidRDefault="00D549BC" w:rsidP="004735A6">
      <w:pPr>
        <w:spacing w:line="240" w:lineRule="auto"/>
        <w:ind w:firstLine="0"/>
        <w:contextualSpacing/>
        <w:jc w:val="center"/>
        <w:rPr>
          <w:rFonts w:ascii="Times New Roman" w:hAnsi="Times New Roman"/>
          <w:sz w:val="24"/>
          <w:szCs w:val="24"/>
          <w:lang w:eastAsia="pt-BR"/>
        </w:rPr>
      </w:pPr>
    </w:p>
    <w:p w:rsidR="00D549BC" w:rsidRPr="00CE6CF1" w:rsidRDefault="00D549BC" w:rsidP="004735A6">
      <w:pPr>
        <w:spacing w:line="240" w:lineRule="auto"/>
        <w:ind w:firstLine="0"/>
        <w:contextualSpacing/>
        <w:jc w:val="center"/>
        <w:rPr>
          <w:rFonts w:ascii="Times New Roman" w:hAnsi="Times New Roman"/>
          <w:sz w:val="24"/>
          <w:szCs w:val="24"/>
          <w:lang w:eastAsia="pt-BR"/>
        </w:rPr>
      </w:pPr>
      <w:r w:rsidRPr="00CE6CF1">
        <w:rPr>
          <w:rFonts w:ascii="Times New Roman" w:hAnsi="Times New Roman"/>
          <w:sz w:val="24"/>
          <w:szCs w:val="24"/>
          <w:lang w:eastAsia="pt-BR"/>
        </w:rPr>
        <w:t>NITERÓI</w:t>
      </w:r>
      <w:r>
        <w:rPr>
          <w:rFonts w:ascii="Times New Roman" w:hAnsi="Times New Roman"/>
          <w:sz w:val="24"/>
          <w:szCs w:val="24"/>
          <w:lang w:eastAsia="pt-BR"/>
        </w:rPr>
        <w:t xml:space="preserve"> </w:t>
      </w:r>
    </w:p>
    <w:p w:rsidR="00D549BC" w:rsidRDefault="00D549BC" w:rsidP="004735A6">
      <w:pPr>
        <w:spacing w:line="240" w:lineRule="auto"/>
        <w:ind w:firstLine="0"/>
        <w:contextualSpacing/>
        <w:jc w:val="center"/>
        <w:rPr>
          <w:rFonts w:ascii="Times New Roman" w:hAnsi="Times New Roman"/>
          <w:sz w:val="24"/>
          <w:szCs w:val="24"/>
          <w:lang w:eastAsia="pt-BR"/>
        </w:rPr>
        <w:sectPr w:rsidR="00D549BC" w:rsidSect="00B21BD2">
          <w:headerReference w:type="default" r:id="rId8"/>
          <w:pgSz w:w="11906" w:h="16838" w:code="9"/>
          <w:pgMar w:top="709" w:right="1134" w:bottom="1134" w:left="1701" w:header="709" w:footer="709" w:gutter="0"/>
          <w:cols w:space="708"/>
          <w:titlePg/>
          <w:docGrid w:linePitch="360"/>
        </w:sectPr>
      </w:pPr>
      <w:r w:rsidRPr="00CE6CF1">
        <w:rPr>
          <w:rFonts w:ascii="Times New Roman" w:hAnsi="Times New Roman"/>
          <w:sz w:val="24"/>
          <w:szCs w:val="24"/>
          <w:lang w:eastAsia="pt-BR"/>
        </w:rPr>
        <w:t>2015</w:t>
      </w:r>
    </w:p>
    <w:p w:rsidR="00D549BC" w:rsidRPr="00CE6CF1" w:rsidRDefault="00D549BC" w:rsidP="002C59A9">
      <w:pPr>
        <w:ind w:firstLine="0"/>
        <w:contextualSpacing/>
        <w:jc w:val="center"/>
        <w:rPr>
          <w:rFonts w:ascii="Times New Roman" w:hAnsi="Times New Roman"/>
          <w:sz w:val="24"/>
          <w:szCs w:val="24"/>
        </w:rPr>
      </w:pPr>
      <w:r w:rsidRPr="00CE6CF1">
        <w:rPr>
          <w:rFonts w:ascii="Times New Roman" w:hAnsi="Times New Roman"/>
          <w:sz w:val="24"/>
          <w:szCs w:val="24"/>
        </w:rPr>
        <w:t>UNIVERSIDADE FEDERAL FLUMINENSE</w:t>
      </w:r>
      <w:r>
        <w:rPr>
          <w:rFonts w:ascii="Times New Roman" w:hAnsi="Times New Roman"/>
          <w:sz w:val="24"/>
          <w:szCs w:val="24"/>
        </w:rPr>
        <w:t xml:space="preserve"> – UFF/NITERÓI</w:t>
      </w:r>
    </w:p>
    <w:p w:rsidR="00D549BC" w:rsidRPr="00CE6CF1" w:rsidRDefault="00D549BC" w:rsidP="002C59A9">
      <w:pPr>
        <w:ind w:firstLine="0"/>
        <w:contextualSpacing/>
        <w:jc w:val="center"/>
        <w:rPr>
          <w:rFonts w:ascii="Times New Roman" w:hAnsi="Times New Roman"/>
          <w:sz w:val="24"/>
          <w:szCs w:val="24"/>
        </w:rPr>
      </w:pPr>
      <w:r w:rsidRPr="00CE6CF1">
        <w:rPr>
          <w:rFonts w:ascii="Times New Roman" w:hAnsi="Times New Roman"/>
          <w:sz w:val="24"/>
          <w:szCs w:val="24"/>
        </w:rPr>
        <w:t>FACULDADE DE DIREITO</w:t>
      </w:r>
    </w:p>
    <w:p w:rsidR="00D549BC" w:rsidRPr="00CE6CF1" w:rsidRDefault="00D549BC" w:rsidP="002C59A9">
      <w:pPr>
        <w:ind w:left="-284" w:firstLine="0"/>
        <w:contextualSpacing/>
        <w:jc w:val="center"/>
        <w:rPr>
          <w:rFonts w:ascii="Times New Roman" w:hAnsi="Times New Roman"/>
          <w:sz w:val="24"/>
          <w:szCs w:val="24"/>
        </w:rPr>
      </w:pPr>
      <w:r>
        <w:rPr>
          <w:rFonts w:ascii="Times New Roman" w:hAnsi="Times New Roman"/>
          <w:sz w:val="24"/>
          <w:szCs w:val="24"/>
        </w:rPr>
        <w:t>PROGRAMA DE PÓS-GRADUAÇÃO</w:t>
      </w:r>
      <w:r w:rsidRPr="00CE6CF1">
        <w:rPr>
          <w:rFonts w:ascii="Times New Roman" w:hAnsi="Times New Roman"/>
          <w:sz w:val="24"/>
          <w:szCs w:val="24"/>
        </w:rPr>
        <w:t xml:space="preserve"> </w:t>
      </w:r>
      <w:r w:rsidRPr="00CE6CF1">
        <w:rPr>
          <w:rFonts w:ascii="Times New Roman" w:hAnsi="Times New Roman"/>
          <w:i/>
          <w:sz w:val="24"/>
          <w:szCs w:val="24"/>
        </w:rPr>
        <w:t>STRICTO SENSU</w:t>
      </w:r>
      <w:r w:rsidRPr="00CE6CF1">
        <w:rPr>
          <w:rFonts w:ascii="Times New Roman" w:hAnsi="Times New Roman"/>
          <w:sz w:val="24"/>
          <w:szCs w:val="24"/>
        </w:rPr>
        <w:t xml:space="preserve"> EM DIREITO CONSTITUCIONAL</w:t>
      </w:r>
    </w:p>
    <w:p w:rsidR="00D549BC" w:rsidRDefault="00D549BC" w:rsidP="002C59A9">
      <w:pPr>
        <w:ind w:firstLine="0"/>
        <w:contextualSpacing/>
        <w:jc w:val="center"/>
        <w:rPr>
          <w:rFonts w:ascii="Times New Roman" w:hAnsi="Times New Roman"/>
          <w:b/>
          <w:sz w:val="24"/>
          <w:szCs w:val="24"/>
          <w:lang w:eastAsia="pt-BR"/>
        </w:rPr>
      </w:pPr>
    </w:p>
    <w:p w:rsidR="00D549BC" w:rsidRDefault="00D549BC" w:rsidP="00781A26">
      <w:pPr>
        <w:ind w:firstLine="0"/>
        <w:contextualSpacing/>
        <w:jc w:val="center"/>
        <w:rPr>
          <w:rFonts w:ascii="Times New Roman" w:hAnsi="Times New Roman"/>
          <w:b/>
          <w:sz w:val="24"/>
          <w:szCs w:val="24"/>
          <w:lang w:eastAsia="pt-BR"/>
        </w:rPr>
      </w:pPr>
    </w:p>
    <w:p w:rsidR="00D549BC" w:rsidRDefault="00D549BC" w:rsidP="00781A26">
      <w:pPr>
        <w:ind w:firstLine="0"/>
        <w:contextualSpacing/>
        <w:jc w:val="center"/>
        <w:rPr>
          <w:rFonts w:ascii="Times New Roman" w:hAnsi="Times New Roman"/>
          <w:b/>
          <w:sz w:val="24"/>
          <w:szCs w:val="24"/>
          <w:lang w:eastAsia="pt-BR"/>
        </w:rPr>
      </w:pPr>
    </w:p>
    <w:p w:rsidR="00D549BC" w:rsidRDefault="00D549BC" w:rsidP="00781A26">
      <w:pPr>
        <w:ind w:firstLine="0"/>
        <w:contextualSpacing/>
        <w:jc w:val="center"/>
        <w:rPr>
          <w:rFonts w:ascii="Times New Roman" w:hAnsi="Times New Roman"/>
          <w:b/>
          <w:sz w:val="24"/>
          <w:szCs w:val="24"/>
          <w:lang w:eastAsia="pt-BR"/>
        </w:rPr>
      </w:pPr>
      <w:r>
        <w:rPr>
          <w:rFonts w:ascii="Times New Roman" w:hAnsi="Times New Roman"/>
          <w:sz w:val="24"/>
          <w:szCs w:val="24"/>
          <w:lang w:eastAsia="pt-BR"/>
        </w:rPr>
        <w:t>JOSÉ LUÍS DA SILVA TAVARES</w:t>
      </w:r>
    </w:p>
    <w:p w:rsidR="00D549BC" w:rsidRDefault="00D549BC" w:rsidP="00781A26">
      <w:pPr>
        <w:ind w:firstLine="0"/>
        <w:contextualSpacing/>
        <w:rPr>
          <w:rFonts w:ascii="Times New Roman" w:hAnsi="Times New Roman"/>
          <w:b/>
          <w:sz w:val="24"/>
          <w:szCs w:val="24"/>
          <w:lang w:eastAsia="pt-BR"/>
        </w:rPr>
      </w:pPr>
    </w:p>
    <w:p w:rsidR="00D549BC" w:rsidRDefault="00D549BC" w:rsidP="00781A26">
      <w:pPr>
        <w:ind w:firstLine="0"/>
        <w:contextualSpacing/>
        <w:rPr>
          <w:rFonts w:ascii="Times New Roman" w:hAnsi="Times New Roman"/>
          <w:b/>
          <w:sz w:val="24"/>
          <w:szCs w:val="24"/>
          <w:lang w:eastAsia="pt-BR"/>
        </w:rPr>
      </w:pPr>
    </w:p>
    <w:p w:rsidR="00D549BC" w:rsidRDefault="00D549BC" w:rsidP="00781A26">
      <w:pPr>
        <w:ind w:firstLine="0"/>
        <w:contextualSpacing/>
        <w:rPr>
          <w:rFonts w:ascii="Times New Roman" w:hAnsi="Times New Roman"/>
          <w:b/>
          <w:sz w:val="24"/>
          <w:szCs w:val="24"/>
          <w:lang w:eastAsia="pt-BR"/>
        </w:rPr>
      </w:pPr>
    </w:p>
    <w:p w:rsidR="00D549BC" w:rsidRDefault="00D549BC" w:rsidP="00E93F5F">
      <w:pPr>
        <w:ind w:left="-284" w:firstLine="0"/>
        <w:contextualSpacing/>
        <w:jc w:val="center"/>
        <w:rPr>
          <w:rFonts w:ascii="Times New Roman" w:hAnsi="Times New Roman"/>
          <w:b/>
          <w:sz w:val="24"/>
          <w:szCs w:val="24"/>
          <w:lang w:eastAsia="pt-BR"/>
        </w:rPr>
      </w:pPr>
      <w:r>
        <w:rPr>
          <w:rFonts w:ascii="Times New Roman" w:hAnsi="Times New Roman"/>
          <w:b/>
          <w:sz w:val="24"/>
          <w:szCs w:val="24"/>
          <w:lang w:eastAsia="pt-BR"/>
        </w:rPr>
        <w:t>A CRISE DO RECURSO EXTRAORDINÁRIO NO SUPREMO TRIBUNAL FEDERAL: PASSADO, PRESENTE E FUTURO</w:t>
      </w:r>
    </w:p>
    <w:p w:rsidR="00D549BC" w:rsidRDefault="00D549BC" w:rsidP="00781A26">
      <w:pPr>
        <w:ind w:firstLine="0"/>
        <w:contextualSpacing/>
        <w:rPr>
          <w:rFonts w:ascii="Times New Roman" w:hAnsi="Times New Roman"/>
          <w:b/>
          <w:sz w:val="24"/>
          <w:szCs w:val="24"/>
          <w:lang w:eastAsia="pt-BR"/>
        </w:rPr>
      </w:pPr>
    </w:p>
    <w:p w:rsidR="00D549BC" w:rsidRDefault="00D549BC" w:rsidP="00781A26">
      <w:pPr>
        <w:ind w:firstLine="0"/>
        <w:contextualSpacing/>
        <w:jc w:val="center"/>
        <w:rPr>
          <w:rFonts w:ascii="Times New Roman" w:hAnsi="Times New Roman"/>
          <w:b/>
          <w:sz w:val="24"/>
          <w:szCs w:val="24"/>
          <w:lang w:eastAsia="pt-BR"/>
        </w:rPr>
      </w:pPr>
    </w:p>
    <w:p w:rsidR="00D549BC" w:rsidRPr="00781A26" w:rsidRDefault="00D549BC" w:rsidP="003C37D1">
      <w:pPr>
        <w:ind w:left="4536" w:firstLine="0"/>
        <w:contextualSpacing/>
        <w:rPr>
          <w:rFonts w:ascii="Times New Roman" w:hAnsi="Times New Roman"/>
          <w:sz w:val="24"/>
          <w:szCs w:val="24"/>
          <w:lang w:eastAsia="pt-BR"/>
        </w:rPr>
      </w:pPr>
      <w:r w:rsidRPr="00781A26">
        <w:rPr>
          <w:rFonts w:ascii="Times New Roman" w:hAnsi="Times New Roman"/>
          <w:sz w:val="24"/>
          <w:szCs w:val="24"/>
          <w:lang w:eastAsia="pt-BR"/>
        </w:rPr>
        <w:t>Dis</w:t>
      </w:r>
      <w:r>
        <w:rPr>
          <w:rFonts w:ascii="Times New Roman" w:hAnsi="Times New Roman"/>
          <w:sz w:val="24"/>
          <w:szCs w:val="24"/>
          <w:lang w:eastAsia="pt-BR"/>
        </w:rPr>
        <w:t>s</w:t>
      </w:r>
      <w:r w:rsidRPr="00781A26">
        <w:rPr>
          <w:rFonts w:ascii="Times New Roman" w:hAnsi="Times New Roman"/>
          <w:sz w:val="24"/>
          <w:szCs w:val="24"/>
          <w:lang w:eastAsia="pt-BR"/>
        </w:rPr>
        <w:t>ertação</w:t>
      </w:r>
      <w:r>
        <w:rPr>
          <w:rFonts w:ascii="Times New Roman" w:hAnsi="Times New Roman"/>
          <w:sz w:val="24"/>
          <w:szCs w:val="24"/>
          <w:lang w:eastAsia="pt-BR"/>
        </w:rPr>
        <w:t xml:space="preserve"> de Mestrado</w:t>
      </w:r>
      <w:r w:rsidRPr="00781A26">
        <w:rPr>
          <w:rFonts w:ascii="Times New Roman" w:hAnsi="Times New Roman"/>
          <w:sz w:val="24"/>
          <w:szCs w:val="24"/>
          <w:lang w:eastAsia="pt-BR"/>
        </w:rPr>
        <w:t xml:space="preserve"> apresentada como requisito para obtenção do título de</w:t>
      </w:r>
      <w:r>
        <w:rPr>
          <w:rFonts w:ascii="Times New Roman" w:hAnsi="Times New Roman"/>
          <w:sz w:val="24"/>
          <w:szCs w:val="24"/>
          <w:lang w:eastAsia="pt-BR"/>
        </w:rPr>
        <w:t xml:space="preserve"> </w:t>
      </w:r>
      <w:r w:rsidRPr="00781A26">
        <w:rPr>
          <w:rFonts w:ascii="Times New Roman" w:hAnsi="Times New Roman"/>
          <w:sz w:val="24"/>
          <w:szCs w:val="24"/>
          <w:lang w:eastAsia="pt-BR"/>
        </w:rPr>
        <w:t>Mestre em Direito Constitucional pelo Programa de Pós</w:t>
      </w:r>
      <w:r>
        <w:rPr>
          <w:rFonts w:ascii="Times New Roman" w:hAnsi="Times New Roman"/>
          <w:sz w:val="24"/>
          <w:szCs w:val="24"/>
          <w:lang w:eastAsia="pt-BR"/>
        </w:rPr>
        <w:t xml:space="preserve">- </w:t>
      </w:r>
      <w:r w:rsidRPr="00781A26">
        <w:rPr>
          <w:rFonts w:ascii="Times New Roman" w:hAnsi="Times New Roman"/>
          <w:sz w:val="24"/>
          <w:szCs w:val="24"/>
          <w:lang w:eastAsia="pt-BR"/>
        </w:rPr>
        <w:t>Graduação</w:t>
      </w:r>
      <w:r>
        <w:rPr>
          <w:rFonts w:ascii="Times New Roman" w:hAnsi="Times New Roman"/>
          <w:sz w:val="24"/>
          <w:szCs w:val="24"/>
          <w:lang w:eastAsia="pt-BR"/>
        </w:rPr>
        <w:t xml:space="preserve"> </w:t>
      </w:r>
      <w:r w:rsidRPr="00781A26">
        <w:rPr>
          <w:rFonts w:ascii="Times New Roman" w:hAnsi="Times New Roman"/>
          <w:i/>
          <w:sz w:val="24"/>
          <w:szCs w:val="24"/>
          <w:lang w:eastAsia="pt-BR"/>
        </w:rPr>
        <w:t>Stricto Sensu</w:t>
      </w:r>
      <w:r w:rsidRPr="00781A26">
        <w:rPr>
          <w:rFonts w:ascii="Times New Roman" w:hAnsi="Times New Roman"/>
          <w:sz w:val="24"/>
          <w:szCs w:val="24"/>
          <w:lang w:eastAsia="pt-BR"/>
        </w:rPr>
        <w:t xml:space="preserve"> em Direito Constitucional da</w:t>
      </w:r>
      <w:r>
        <w:rPr>
          <w:rFonts w:ascii="Times New Roman" w:hAnsi="Times New Roman"/>
          <w:sz w:val="24"/>
          <w:szCs w:val="24"/>
          <w:lang w:eastAsia="pt-BR"/>
        </w:rPr>
        <w:t xml:space="preserve"> </w:t>
      </w:r>
      <w:r w:rsidRPr="00781A26">
        <w:rPr>
          <w:rFonts w:ascii="Times New Roman" w:hAnsi="Times New Roman"/>
          <w:sz w:val="24"/>
          <w:szCs w:val="24"/>
          <w:lang w:eastAsia="pt-BR"/>
        </w:rPr>
        <w:t>Universidade Federal Fluminense</w:t>
      </w:r>
      <w:r>
        <w:rPr>
          <w:rFonts w:ascii="Times New Roman" w:hAnsi="Times New Roman"/>
          <w:sz w:val="24"/>
          <w:szCs w:val="24"/>
          <w:lang w:eastAsia="pt-BR"/>
        </w:rPr>
        <w:t>.</w:t>
      </w:r>
    </w:p>
    <w:p w:rsidR="00D549BC" w:rsidRPr="00781A26" w:rsidRDefault="00D549BC" w:rsidP="003C37D1">
      <w:pPr>
        <w:ind w:left="4536" w:firstLine="0"/>
        <w:contextualSpacing/>
        <w:rPr>
          <w:rFonts w:ascii="Times New Roman" w:hAnsi="Times New Roman"/>
          <w:sz w:val="24"/>
          <w:szCs w:val="24"/>
          <w:lang w:eastAsia="pt-BR"/>
        </w:rPr>
      </w:pPr>
      <w:r>
        <w:rPr>
          <w:rFonts w:ascii="Times New Roman" w:hAnsi="Times New Roman"/>
          <w:sz w:val="24"/>
          <w:szCs w:val="24"/>
          <w:lang w:eastAsia="pt-BR"/>
        </w:rPr>
        <w:t xml:space="preserve">Área de Concentração: </w:t>
      </w:r>
      <w:r w:rsidRPr="00781A26">
        <w:rPr>
          <w:rFonts w:ascii="Times New Roman" w:hAnsi="Times New Roman"/>
          <w:sz w:val="24"/>
          <w:szCs w:val="24"/>
          <w:lang w:eastAsia="pt-BR"/>
        </w:rPr>
        <w:t>Direito Constitucional</w:t>
      </w:r>
      <w:r>
        <w:rPr>
          <w:rFonts w:ascii="Times New Roman" w:hAnsi="Times New Roman"/>
          <w:sz w:val="24"/>
          <w:szCs w:val="24"/>
          <w:lang w:eastAsia="pt-BR"/>
        </w:rPr>
        <w:t>.</w:t>
      </w:r>
    </w:p>
    <w:p w:rsidR="00D549BC" w:rsidRPr="00781A26" w:rsidRDefault="00D549BC" w:rsidP="003C37D1">
      <w:pPr>
        <w:ind w:left="4536" w:firstLine="0"/>
        <w:contextualSpacing/>
        <w:rPr>
          <w:rFonts w:ascii="Times New Roman" w:hAnsi="Times New Roman"/>
          <w:sz w:val="24"/>
          <w:szCs w:val="24"/>
          <w:lang w:eastAsia="pt-BR"/>
        </w:rPr>
      </w:pPr>
      <w:r w:rsidRPr="00781A26">
        <w:rPr>
          <w:rFonts w:ascii="Times New Roman" w:hAnsi="Times New Roman"/>
          <w:sz w:val="24"/>
          <w:szCs w:val="24"/>
          <w:lang w:eastAsia="pt-BR"/>
        </w:rPr>
        <w:t xml:space="preserve">Linha de Pesquisa: </w:t>
      </w:r>
      <w:r>
        <w:rPr>
          <w:rFonts w:ascii="Times New Roman" w:hAnsi="Times New Roman"/>
          <w:sz w:val="24"/>
          <w:szCs w:val="24"/>
          <w:lang w:eastAsia="pt-BR"/>
        </w:rPr>
        <w:t xml:space="preserve">Instituições Políticas, Administração Pública e Jurisdição Constitucional. </w:t>
      </w:r>
    </w:p>
    <w:p w:rsidR="00D549BC" w:rsidRDefault="00D549BC" w:rsidP="00781A26">
      <w:pPr>
        <w:ind w:left="5103" w:firstLine="0"/>
        <w:contextualSpacing/>
        <w:rPr>
          <w:rFonts w:ascii="Times New Roman" w:hAnsi="Times New Roman"/>
          <w:sz w:val="24"/>
          <w:szCs w:val="24"/>
          <w:lang w:eastAsia="pt-BR"/>
        </w:rPr>
      </w:pPr>
    </w:p>
    <w:p w:rsidR="00D549BC" w:rsidRDefault="00D549BC" w:rsidP="00781A26">
      <w:pPr>
        <w:ind w:left="5103" w:firstLine="0"/>
        <w:contextualSpacing/>
        <w:rPr>
          <w:rFonts w:ascii="Times New Roman" w:hAnsi="Times New Roman"/>
          <w:sz w:val="24"/>
          <w:szCs w:val="24"/>
          <w:lang w:eastAsia="pt-BR"/>
        </w:rPr>
      </w:pPr>
    </w:p>
    <w:p w:rsidR="00D549BC" w:rsidRDefault="00D549BC" w:rsidP="00781A26">
      <w:pPr>
        <w:ind w:left="5103" w:hanging="4536"/>
        <w:contextualSpacing/>
        <w:jc w:val="center"/>
        <w:rPr>
          <w:rFonts w:ascii="Times New Roman" w:hAnsi="Times New Roman"/>
          <w:sz w:val="24"/>
          <w:szCs w:val="24"/>
          <w:lang w:eastAsia="pt-BR"/>
        </w:rPr>
      </w:pPr>
    </w:p>
    <w:p w:rsidR="00D549BC" w:rsidRDefault="00D549BC" w:rsidP="00781A26">
      <w:pPr>
        <w:ind w:left="5103" w:hanging="4536"/>
        <w:contextualSpacing/>
        <w:jc w:val="center"/>
        <w:rPr>
          <w:rFonts w:ascii="Times New Roman" w:hAnsi="Times New Roman"/>
          <w:sz w:val="24"/>
          <w:szCs w:val="24"/>
          <w:lang w:eastAsia="pt-BR"/>
        </w:rPr>
      </w:pPr>
    </w:p>
    <w:p w:rsidR="00D549BC" w:rsidRDefault="00D549BC" w:rsidP="009B4460">
      <w:pPr>
        <w:ind w:left="1701" w:firstLine="0"/>
        <w:contextualSpacing/>
        <w:rPr>
          <w:rFonts w:ascii="Times New Roman" w:hAnsi="Times New Roman"/>
          <w:sz w:val="24"/>
          <w:szCs w:val="24"/>
          <w:lang w:eastAsia="pt-BR"/>
        </w:rPr>
      </w:pPr>
      <w:r>
        <w:rPr>
          <w:rFonts w:ascii="Times New Roman" w:hAnsi="Times New Roman"/>
          <w:sz w:val="24"/>
          <w:szCs w:val="24"/>
          <w:lang w:eastAsia="pt-BR"/>
        </w:rPr>
        <w:t xml:space="preserve">Coorientador: </w:t>
      </w:r>
      <w:r w:rsidRPr="009B4460">
        <w:rPr>
          <w:rFonts w:ascii="Times New Roman" w:hAnsi="Times New Roman"/>
          <w:b/>
          <w:sz w:val="24"/>
          <w:szCs w:val="24"/>
          <w:lang w:eastAsia="pt-BR"/>
        </w:rPr>
        <w:t>Prof. Dr. Marco Antonio Ferreira Macedo</w:t>
      </w:r>
    </w:p>
    <w:p w:rsidR="00D549BC" w:rsidRDefault="00D549BC" w:rsidP="009B4460">
      <w:pPr>
        <w:ind w:firstLine="1701"/>
        <w:contextualSpacing/>
        <w:rPr>
          <w:rFonts w:ascii="Times New Roman" w:hAnsi="Times New Roman"/>
          <w:b/>
          <w:sz w:val="24"/>
          <w:szCs w:val="24"/>
          <w:lang w:eastAsia="pt-BR"/>
        </w:rPr>
      </w:pPr>
      <w:r w:rsidRPr="00781A26">
        <w:rPr>
          <w:rFonts w:ascii="Times New Roman" w:hAnsi="Times New Roman"/>
          <w:sz w:val="24"/>
          <w:szCs w:val="24"/>
          <w:lang w:eastAsia="pt-BR"/>
        </w:rPr>
        <w:t>Orientad</w:t>
      </w:r>
      <w:r>
        <w:rPr>
          <w:rFonts w:ascii="Times New Roman" w:hAnsi="Times New Roman"/>
          <w:sz w:val="24"/>
          <w:szCs w:val="24"/>
          <w:lang w:eastAsia="pt-BR"/>
        </w:rPr>
        <w:t xml:space="preserve">or: </w:t>
      </w:r>
      <w:r>
        <w:rPr>
          <w:rFonts w:ascii="Times New Roman" w:hAnsi="Times New Roman"/>
          <w:b/>
          <w:sz w:val="24"/>
          <w:szCs w:val="24"/>
          <w:lang w:eastAsia="pt-BR"/>
        </w:rPr>
        <w:t>Prof.</w:t>
      </w:r>
      <w:r w:rsidRPr="002A1961">
        <w:rPr>
          <w:rFonts w:ascii="Times New Roman" w:hAnsi="Times New Roman"/>
          <w:b/>
          <w:sz w:val="24"/>
          <w:szCs w:val="24"/>
          <w:lang w:eastAsia="pt-BR"/>
        </w:rPr>
        <w:t xml:space="preserve"> Dr. </w:t>
      </w:r>
      <w:r>
        <w:rPr>
          <w:rFonts w:ascii="Times New Roman" w:hAnsi="Times New Roman"/>
          <w:b/>
          <w:sz w:val="24"/>
          <w:szCs w:val="24"/>
          <w:lang w:eastAsia="pt-BR"/>
        </w:rPr>
        <w:t>André Saddy</w:t>
      </w:r>
    </w:p>
    <w:p w:rsidR="00D549BC" w:rsidRDefault="00D549BC" w:rsidP="00AB1899">
      <w:pPr>
        <w:ind w:firstLine="0"/>
        <w:contextualSpacing/>
        <w:rPr>
          <w:rFonts w:ascii="Times New Roman" w:hAnsi="Times New Roman"/>
          <w:b/>
          <w:sz w:val="24"/>
          <w:szCs w:val="24"/>
          <w:lang w:eastAsia="pt-BR"/>
        </w:rPr>
        <w:sectPr w:rsidR="00D549BC" w:rsidSect="00722F09">
          <w:headerReference w:type="default" r:id="rId9"/>
          <w:footerReference w:type="default" r:id="rId10"/>
          <w:pgSz w:w="11906" w:h="16838" w:code="9"/>
          <w:pgMar w:top="1701" w:right="1134" w:bottom="1134" w:left="1701" w:header="709" w:footer="709" w:gutter="0"/>
          <w:cols w:space="708"/>
          <w:docGrid w:linePitch="360"/>
        </w:sect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r>
        <w:rPr>
          <w:noProof/>
          <w:lang w:eastAsia="pt-BR"/>
        </w:rPr>
        <w:pict>
          <v:rect id="Retângulo 3" o:spid="_x0000_s1026" style="position:absolute;left:0;text-align:left;margin-left:159.45pt;margin-top:9.3pt;width:313.5pt;height:298.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" strokeweight="1pt"/>
        </w:pict>
      </w:r>
    </w:p>
    <w:p w:rsidR="00D549BC" w:rsidRPr="003C37D1" w:rsidRDefault="00D549BC" w:rsidP="00F46490">
      <w:pPr>
        <w:ind w:left="3402" w:firstLine="0"/>
        <w:contextualSpacing/>
        <w:rPr>
          <w:rFonts w:ascii="Times New Roman" w:hAnsi="Times New Roman"/>
          <w:sz w:val="24"/>
          <w:szCs w:val="24"/>
          <w:lang w:eastAsia="pt-BR"/>
        </w:rPr>
      </w:pPr>
      <w:r>
        <w:rPr>
          <w:rFonts w:ascii="Times New Roman" w:hAnsi="Times New Roman"/>
          <w:sz w:val="24"/>
          <w:szCs w:val="24"/>
          <w:lang w:eastAsia="pt-BR"/>
        </w:rPr>
        <w:t>TAVARES</w:t>
      </w:r>
      <w:r w:rsidRPr="003C37D1">
        <w:rPr>
          <w:rFonts w:ascii="Times New Roman" w:hAnsi="Times New Roman"/>
          <w:sz w:val="24"/>
          <w:szCs w:val="24"/>
          <w:lang w:eastAsia="pt-BR"/>
        </w:rPr>
        <w:t>, J</w:t>
      </w:r>
      <w:r>
        <w:rPr>
          <w:rFonts w:ascii="Times New Roman" w:hAnsi="Times New Roman"/>
          <w:sz w:val="24"/>
          <w:szCs w:val="24"/>
          <w:lang w:eastAsia="pt-BR"/>
        </w:rPr>
        <w:t>osé Luís da Silva;</w:t>
      </w:r>
      <w:r w:rsidRPr="003C37D1">
        <w:rPr>
          <w:rFonts w:ascii="Times New Roman" w:hAnsi="Times New Roman"/>
          <w:sz w:val="24"/>
          <w:szCs w:val="24"/>
          <w:lang w:eastAsia="pt-BR"/>
        </w:rPr>
        <w:t xml:space="preserve"> </w:t>
      </w:r>
      <w:r>
        <w:rPr>
          <w:rFonts w:ascii="Times New Roman" w:hAnsi="Times New Roman"/>
          <w:sz w:val="24"/>
          <w:szCs w:val="24"/>
          <w:lang w:eastAsia="pt-BR"/>
        </w:rPr>
        <w:t>TAVARES, J. L. da Silva</w:t>
      </w:r>
    </w:p>
    <w:p w:rsidR="00D549BC" w:rsidRDefault="00D549BC" w:rsidP="00F46490">
      <w:pPr>
        <w:ind w:left="3402" w:firstLine="0"/>
        <w:contextualSpacing/>
        <w:rPr>
          <w:rFonts w:ascii="Times New Roman" w:hAnsi="Times New Roman"/>
          <w:b/>
          <w:sz w:val="24"/>
          <w:szCs w:val="24"/>
          <w:lang w:eastAsia="pt-BR"/>
        </w:rPr>
      </w:pPr>
    </w:p>
    <w:p w:rsidR="00D549BC" w:rsidRDefault="00D549BC" w:rsidP="00F46490">
      <w:pPr>
        <w:ind w:left="3402" w:firstLine="0"/>
        <w:contextualSpacing/>
        <w:rPr>
          <w:rFonts w:ascii="Times New Roman" w:hAnsi="Times New Roman"/>
          <w:sz w:val="24"/>
          <w:szCs w:val="24"/>
          <w:lang w:eastAsia="pt-BR"/>
        </w:rPr>
      </w:pPr>
      <w:r w:rsidRPr="003C37D1">
        <w:rPr>
          <w:rFonts w:ascii="Times New Roman" w:hAnsi="Times New Roman"/>
          <w:b/>
          <w:sz w:val="24"/>
          <w:szCs w:val="24"/>
          <w:lang w:eastAsia="pt-BR"/>
        </w:rPr>
        <w:t>A Crise do Recurso Extraordinário no Supremo Tribunal Federal</w:t>
      </w:r>
      <w:r>
        <w:rPr>
          <w:rFonts w:ascii="Times New Roman" w:hAnsi="Times New Roman"/>
          <w:sz w:val="24"/>
          <w:szCs w:val="24"/>
          <w:lang w:eastAsia="pt-BR"/>
        </w:rPr>
        <w:t xml:space="preserve">: passado, presente e futuro / </w:t>
      </w:r>
      <w:r w:rsidRPr="003C37D1">
        <w:rPr>
          <w:rFonts w:ascii="Times New Roman" w:hAnsi="Times New Roman"/>
          <w:sz w:val="24"/>
          <w:szCs w:val="24"/>
          <w:lang w:eastAsia="pt-BR"/>
        </w:rPr>
        <w:t>J</w:t>
      </w:r>
      <w:r>
        <w:rPr>
          <w:rFonts w:ascii="Times New Roman" w:hAnsi="Times New Roman"/>
          <w:sz w:val="24"/>
          <w:szCs w:val="24"/>
          <w:lang w:eastAsia="pt-BR"/>
        </w:rPr>
        <w:t>osé Luís</w:t>
      </w:r>
      <w:r w:rsidRPr="003C37D1">
        <w:rPr>
          <w:rFonts w:ascii="Times New Roman" w:hAnsi="Times New Roman"/>
          <w:sz w:val="24"/>
          <w:szCs w:val="24"/>
          <w:lang w:eastAsia="pt-BR"/>
        </w:rPr>
        <w:t xml:space="preserve"> </w:t>
      </w:r>
      <w:r>
        <w:rPr>
          <w:rFonts w:ascii="Times New Roman" w:hAnsi="Times New Roman"/>
          <w:sz w:val="24"/>
          <w:szCs w:val="24"/>
          <w:lang w:eastAsia="pt-BR"/>
        </w:rPr>
        <w:t>da Silva Tavares</w:t>
      </w:r>
      <w:r w:rsidRPr="003C37D1">
        <w:rPr>
          <w:rFonts w:ascii="Times New Roman" w:hAnsi="Times New Roman"/>
          <w:sz w:val="24"/>
          <w:szCs w:val="24"/>
          <w:lang w:eastAsia="pt-BR"/>
        </w:rPr>
        <w:t>, UFF</w:t>
      </w:r>
      <w:r>
        <w:rPr>
          <w:rFonts w:ascii="Times New Roman" w:hAnsi="Times New Roman"/>
          <w:sz w:val="24"/>
          <w:szCs w:val="24"/>
          <w:lang w:eastAsia="pt-BR"/>
        </w:rPr>
        <w:t xml:space="preserve"> </w:t>
      </w:r>
      <w:r w:rsidRPr="003C37D1">
        <w:rPr>
          <w:rFonts w:ascii="Times New Roman" w:hAnsi="Times New Roman"/>
          <w:sz w:val="24"/>
          <w:szCs w:val="24"/>
          <w:lang w:eastAsia="pt-BR"/>
        </w:rPr>
        <w:t>/ Fac</w:t>
      </w:r>
      <w:r>
        <w:rPr>
          <w:rFonts w:ascii="Times New Roman" w:hAnsi="Times New Roman"/>
          <w:sz w:val="24"/>
          <w:szCs w:val="24"/>
          <w:lang w:eastAsia="pt-BR"/>
        </w:rPr>
        <w:t>uldade de Direito – Niterói, 2015. 146 p</w:t>
      </w:r>
      <w:r w:rsidRPr="003C37D1">
        <w:rPr>
          <w:rFonts w:ascii="Times New Roman" w:hAnsi="Times New Roman"/>
          <w:sz w:val="24"/>
          <w:szCs w:val="24"/>
          <w:lang w:eastAsia="pt-BR"/>
        </w:rPr>
        <w:t>.</w:t>
      </w:r>
    </w:p>
    <w:p w:rsidR="00D549BC" w:rsidRPr="003C37D1" w:rsidRDefault="00D549BC" w:rsidP="00F46490">
      <w:pPr>
        <w:ind w:left="3402" w:firstLine="0"/>
        <w:contextualSpacing/>
        <w:rPr>
          <w:rFonts w:ascii="Times New Roman" w:hAnsi="Times New Roman"/>
          <w:sz w:val="24"/>
          <w:szCs w:val="24"/>
          <w:lang w:eastAsia="pt-BR"/>
        </w:rPr>
      </w:pPr>
    </w:p>
    <w:p w:rsidR="00D549BC" w:rsidRPr="003C37D1" w:rsidRDefault="00D549BC" w:rsidP="00F46490">
      <w:pPr>
        <w:ind w:left="3402" w:firstLine="0"/>
        <w:contextualSpacing/>
        <w:rPr>
          <w:rFonts w:ascii="Times New Roman" w:hAnsi="Times New Roman"/>
          <w:sz w:val="24"/>
          <w:szCs w:val="24"/>
          <w:lang w:eastAsia="pt-BR"/>
        </w:rPr>
      </w:pPr>
      <w:r w:rsidRPr="003C37D1">
        <w:rPr>
          <w:rFonts w:ascii="Times New Roman" w:hAnsi="Times New Roman"/>
          <w:sz w:val="24"/>
          <w:szCs w:val="24"/>
          <w:lang w:eastAsia="pt-BR"/>
        </w:rPr>
        <w:t>Dissertação (Mestrado em Direito Constitucional)</w:t>
      </w:r>
      <w:r>
        <w:rPr>
          <w:rFonts w:ascii="Times New Roman" w:hAnsi="Times New Roman"/>
          <w:sz w:val="24"/>
          <w:szCs w:val="24"/>
          <w:lang w:eastAsia="pt-BR"/>
        </w:rPr>
        <w:t xml:space="preserve"> –</w:t>
      </w:r>
    </w:p>
    <w:p w:rsidR="00D549BC" w:rsidRPr="003C37D1" w:rsidRDefault="00D549BC" w:rsidP="00F46490">
      <w:pPr>
        <w:ind w:left="3402" w:firstLine="0"/>
        <w:contextualSpacing/>
        <w:rPr>
          <w:rFonts w:ascii="Times New Roman" w:hAnsi="Times New Roman"/>
          <w:sz w:val="24"/>
          <w:szCs w:val="24"/>
          <w:lang w:eastAsia="pt-BR"/>
        </w:rPr>
      </w:pPr>
      <w:r w:rsidRPr="003C37D1">
        <w:rPr>
          <w:rFonts w:ascii="Times New Roman" w:hAnsi="Times New Roman"/>
          <w:sz w:val="24"/>
          <w:szCs w:val="24"/>
          <w:lang w:eastAsia="pt-BR"/>
        </w:rPr>
        <w:t>Unive</w:t>
      </w:r>
      <w:r>
        <w:rPr>
          <w:rFonts w:ascii="Times New Roman" w:hAnsi="Times New Roman"/>
          <w:sz w:val="24"/>
          <w:szCs w:val="24"/>
          <w:lang w:eastAsia="pt-BR"/>
        </w:rPr>
        <w:t>rsidade Federal Fluminense, 2015</w:t>
      </w:r>
      <w:r w:rsidRPr="003C37D1">
        <w:rPr>
          <w:rFonts w:ascii="Times New Roman" w:hAnsi="Times New Roman"/>
          <w:sz w:val="24"/>
          <w:szCs w:val="24"/>
          <w:lang w:eastAsia="pt-BR"/>
        </w:rPr>
        <w:t>.</w:t>
      </w:r>
      <w:r>
        <w:rPr>
          <w:rFonts w:ascii="Times New Roman" w:hAnsi="Times New Roman"/>
          <w:sz w:val="24"/>
          <w:szCs w:val="24"/>
          <w:lang w:eastAsia="pt-BR"/>
        </w:rPr>
        <w:t xml:space="preserve"> Orientador: Prof. Dr. André Saddy.</w:t>
      </w:r>
    </w:p>
    <w:p w:rsidR="00D549BC" w:rsidRDefault="00D549BC" w:rsidP="00F46490">
      <w:pPr>
        <w:ind w:left="3402" w:firstLine="0"/>
        <w:contextualSpacing/>
        <w:rPr>
          <w:rFonts w:ascii="Times New Roman" w:hAnsi="Times New Roman"/>
          <w:sz w:val="24"/>
          <w:szCs w:val="24"/>
          <w:lang w:eastAsia="pt-BR"/>
        </w:rPr>
      </w:pPr>
    </w:p>
    <w:p w:rsidR="00D549BC" w:rsidRPr="00DE49EB" w:rsidRDefault="00D549BC" w:rsidP="00DE49EB">
      <w:pPr>
        <w:ind w:left="3402" w:firstLine="0"/>
        <w:rPr>
          <w:rFonts w:ascii="Times New Roman" w:hAnsi="Times New Roman"/>
          <w:sz w:val="24"/>
          <w:szCs w:val="24"/>
          <w:lang w:eastAsia="pt-BR"/>
        </w:rPr>
      </w:pPr>
      <w:r w:rsidRPr="00DE49EB">
        <w:rPr>
          <w:rFonts w:ascii="Times New Roman" w:hAnsi="Times New Roman"/>
          <w:sz w:val="24"/>
          <w:szCs w:val="24"/>
          <w:lang w:eastAsia="pt-BR"/>
        </w:rPr>
        <w:t>1.</w:t>
      </w:r>
      <w:r>
        <w:rPr>
          <w:lang w:eastAsia="pt-BR"/>
        </w:rPr>
        <w:t xml:space="preserve"> </w:t>
      </w:r>
      <w:r w:rsidRPr="00DE49EB">
        <w:rPr>
          <w:rFonts w:ascii="Times New Roman" w:hAnsi="Times New Roman"/>
          <w:sz w:val="24"/>
          <w:szCs w:val="24"/>
          <w:lang w:eastAsia="pt-BR"/>
        </w:rPr>
        <w:t xml:space="preserve">Direito </w:t>
      </w:r>
      <w:r>
        <w:rPr>
          <w:rFonts w:ascii="Times New Roman" w:hAnsi="Times New Roman"/>
          <w:sz w:val="24"/>
          <w:szCs w:val="24"/>
          <w:lang w:eastAsia="pt-BR"/>
        </w:rPr>
        <w:t xml:space="preserve">2. </w:t>
      </w:r>
      <w:r w:rsidRPr="00DE49EB">
        <w:rPr>
          <w:rFonts w:ascii="Times New Roman" w:hAnsi="Times New Roman"/>
          <w:sz w:val="24"/>
          <w:szCs w:val="24"/>
          <w:lang w:eastAsia="pt-BR"/>
        </w:rPr>
        <w:t>Crise do Recurso Extraordinário</w:t>
      </w:r>
      <w:r>
        <w:rPr>
          <w:rFonts w:ascii="Times New Roman" w:hAnsi="Times New Roman"/>
          <w:sz w:val="24"/>
          <w:szCs w:val="24"/>
          <w:lang w:eastAsia="pt-BR"/>
        </w:rPr>
        <w:t xml:space="preserve"> 3</w:t>
      </w:r>
      <w:r w:rsidRPr="00DE49EB">
        <w:rPr>
          <w:rFonts w:ascii="Times New Roman" w:hAnsi="Times New Roman"/>
          <w:sz w:val="24"/>
          <w:szCs w:val="24"/>
          <w:lang w:eastAsia="pt-BR"/>
        </w:rPr>
        <w:t xml:space="preserve">. Jurisdição Constitucional </w:t>
      </w:r>
      <w:r>
        <w:rPr>
          <w:rFonts w:ascii="Times New Roman" w:hAnsi="Times New Roman"/>
          <w:sz w:val="24"/>
          <w:szCs w:val="24"/>
          <w:lang w:eastAsia="pt-BR"/>
        </w:rPr>
        <w:t xml:space="preserve">4. </w:t>
      </w:r>
      <w:r w:rsidRPr="00DE49EB">
        <w:rPr>
          <w:rFonts w:ascii="Times New Roman" w:hAnsi="Times New Roman"/>
          <w:sz w:val="24"/>
          <w:szCs w:val="24"/>
          <w:lang w:eastAsia="pt-BR"/>
        </w:rPr>
        <w:t xml:space="preserve">Repercussão Geral da Questão Constitucional. </w:t>
      </w:r>
    </w:p>
    <w:p w:rsidR="00D549BC" w:rsidRPr="003C37D1" w:rsidRDefault="00D549BC" w:rsidP="00AB1899">
      <w:pPr>
        <w:ind w:firstLine="0"/>
        <w:contextualSpacing/>
        <w:rPr>
          <w:rFonts w:ascii="Times New Roman" w:hAnsi="Times New Roman"/>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B00679">
      <w:pPr>
        <w:ind w:firstLine="0"/>
        <w:contextualSpacing/>
        <w:jc w:val="center"/>
        <w:rPr>
          <w:rFonts w:ascii="Times New Roman" w:hAnsi="Times New Roman"/>
          <w:b/>
          <w:sz w:val="24"/>
          <w:szCs w:val="24"/>
          <w:lang w:eastAsia="pt-BR"/>
        </w:rPr>
      </w:pPr>
      <w:r>
        <w:rPr>
          <w:rFonts w:ascii="Times New Roman" w:hAnsi="Times New Roman"/>
          <w:sz w:val="24"/>
          <w:szCs w:val="24"/>
          <w:lang w:eastAsia="pt-BR"/>
        </w:rPr>
        <w:t>JOSÉ LUÍS DA SILVA TAVARES</w:t>
      </w:r>
    </w:p>
    <w:p w:rsidR="00D549BC" w:rsidRDefault="00D549BC" w:rsidP="00B00679">
      <w:pPr>
        <w:ind w:firstLine="0"/>
        <w:contextualSpacing/>
        <w:rPr>
          <w:rFonts w:ascii="Times New Roman" w:hAnsi="Times New Roman"/>
          <w:b/>
          <w:sz w:val="24"/>
          <w:szCs w:val="24"/>
          <w:lang w:eastAsia="pt-BR"/>
        </w:rPr>
      </w:pPr>
    </w:p>
    <w:p w:rsidR="00D549BC" w:rsidRDefault="00D549BC" w:rsidP="00B00679">
      <w:pPr>
        <w:ind w:firstLine="0"/>
        <w:contextualSpacing/>
        <w:rPr>
          <w:rFonts w:ascii="Times New Roman" w:hAnsi="Times New Roman"/>
          <w:b/>
          <w:sz w:val="24"/>
          <w:szCs w:val="24"/>
          <w:lang w:eastAsia="pt-BR"/>
        </w:rPr>
      </w:pPr>
    </w:p>
    <w:p w:rsidR="00D549BC" w:rsidRDefault="00D549BC" w:rsidP="00B76658">
      <w:pPr>
        <w:ind w:left="-567" w:firstLine="0"/>
        <w:contextualSpacing/>
        <w:jc w:val="center"/>
        <w:rPr>
          <w:rFonts w:ascii="Times New Roman" w:hAnsi="Times New Roman"/>
          <w:b/>
          <w:sz w:val="24"/>
          <w:szCs w:val="24"/>
          <w:lang w:eastAsia="pt-BR"/>
        </w:rPr>
      </w:pPr>
      <w:r>
        <w:rPr>
          <w:rFonts w:ascii="Times New Roman" w:hAnsi="Times New Roman"/>
          <w:b/>
          <w:sz w:val="24"/>
          <w:szCs w:val="24"/>
          <w:lang w:eastAsia="pt-BR"/>
        </w:rPr>
        <w:t>A CRISE DO RECURSO EXTRAORDINÁRIO NO SUPREMO TRIBUNAL FEDERAL: PASSADO, PRESENTE E FUTURO</w:t>
      </w:r>
    </w:p>
    <w:p w:rsidR="00D549BC" w:rsidRDefault="00D549BC" w:rsidP="00B00679">
      <w:pPr>
        <w:ind w:firstLine="0"/>
        <w:contextualSpacing/>
        <w:jc w:val="center"/>
        <w:rPr>
          <w:rFonts w:ascii="Times New Roman" w:hAnsi="Times New Roman"/>
          <w:b/>
          <w:sz w:val="24"/>
          <w:szCs w:val="24"/>
          <w:lang w:eastAsia="pt-BR"/>
        </w:rPr>
      </w:pPr>
    </w:p>
    <w:p w:rsidR="00D549BC" w:rsidRDefault="00D549BC" w:rsidP="00B00679">
      <w:pPr>
        <w:ind w:firstLine="0"/>
        <w:contextualSpacing/>
        <w:jc w:val="center"/>
        <w:rPr>
          <w:rFonts w:ascii="Times New Roman" w:hAnsi="Times New Roman"/>
          <w:b/>
          <w:sz w:val="24"/>
          <w:szCs w:val="24"/>
          <w:lang w:eastAsia="pt-BR"/>
        </w:rPr>
      </w:pPr>
    </w:p>
    <w:p w:rsidR="00D549BC" w:rsidRPr="00781A26" w:rsidRDefault="00D549BC" w:rsidP="00B00679">
      <w:pPr>
        <w:ind w:left="4536" w:firstLine="0"/>
        <w:contextualSpacing/>
        <w:rPr>
          <w:rFonts w:ascii="Times New Roman" w:hAnsi="Times New Roman"/>
          <w:sz w:val="24"/>
          <w:szCs w:val="24"/>
          <w:lang w:eastAsia="pt-BR"/>
        </w:rPr>
      </w:pPr>
      <w:r w:rsidRPr="00781A26">
        <w:rPr>
          <w:rFonts w:ascii="Times New Roman" w:hAnsi="Times New Roman"/>
          <w:sz w:val="24"/>
          <w:szCs w:val="24"/>
          <w:lang w:eastAsia="pt-BR"/>
        </w:rPr>
        <w:t>Dis</w:t>
      </w:r>
      <w:r>
        <w:rPr>
          <w:rFonts w:ascii="Times New Roman" w:hAnsi="Times New Roman"/>
          <w:sz w:val="24"/>
          <w:szCs w:val="24"/>
          <w:lang w:eastAsia="pt-BR"/>
        </w:rPr>
        <w:t>s</w:t>
      </w:r>
      <w:r w:rsidRPr="00781A26">
        <w:rPr>
          <w:rFonts w:ascii="Times New Roman" w:hAnsi="Times New Roman"/>
          <w:sz w:val="24"/>
          <w:szCs w:val="24"/>
          <w:lang w:eastAsia="pt-BR"/>
        </w:rPr>
        <w:t>ertação</w:t>
      </w:r>
      <w:r>
        <w:rPr>
          <w:rFonts w:ascii="Times New Roman" w:hAnsi="Times New Roman"/>
          <w:sz w:val="24"/>
          <w:szCs w:val="24"/>
          <w:lang w:eastAsia="pt-BR"/>
        </w:rPr>
        <w:t xml:space="preserve"> de Mestrado</w:t>
      </w:r>
      <w:r w:rsidRPr="00781A26">
        <w:rPr>
          <w:rFonts w:ascii="Times New Roman" w:hAnsi="Times New Roman"/>
          <w:sz w:val="24"/>
          <w:szCs w:val="24"/>
          <w:lang w:eastAsia="pt-BR"/>
        </w:rPr>
        <w:t xml:space="preserve"> apresentada como requisito para obtenção do título de</w:t>
      </w:r>
      <w:r>
        <w:rPr>
          <w:rFonts w:ascii="Times New Roman" w:hAnsi="Times New Roman"/>
          <w:sz w:val="24"/>
          <w:szCs w:val="24"/>
          <w:lang w:eastAsia="pt-BR"/>
        </w:rPr>
        <w:t xml:space="preserve"> </w:t>
      </w:r>
      <w:r w:rsidRPr="00781A26">
        <w:rPr>
          <w:rFonts w:ascii="Times New Roman" w:hAnsi="Times New Roman"/>
          <w:sz w:val="24"/>
          <w:szCs w:val="24"/>
          <w:lang w:eastAsia="pt-BR"/>
        </w:rPr>
        <w:t>Mestre em Direito Constitucional pelo Programa de Pós</w:t>
      </w:r>
      <w:r>
        <w:rPr>
          <w:rFonts w:ascii="Times New Roman" w:hAnsi="Times New Roman"/>
          <w:sz w:val="24"/>
          <w:szCs w:val="24"/>
          <w:lang w:eastAsia="pt-BR"/>
        </w:rPr>
        <w:t>-</w:t>
      </w:r>
      <w:r w:rsidRPr="00781A26">
        <w:rPr>
          <w:rFonts w:ascii="Times New Roman" w:hAnsi="Times New Roman"/>
          <w:sz w:val="24"/>
          <w:szCs w:val="24"/>
          <w:lang w:eastAsia="pt-BR"/>
        </w:rPr>
        <w:t>Graduação</w:t>
      </w:r>
      <w:r>
        <w:rPr>
          <w:rFonts w:ascii="Times New Roman" w:hAnsi="Times New Roman"/>
          <w:sz w:val="24"/>
          <w:szCs w:val="24"/>
          <w:lang w:eastAsia="pt-BR"/>
        </w:rPr>
        <w:t xml:space="preserve"> </w:t>
      </w:r>
      <w:r w:rsidRPr="00781A26">
        <w:rPr>
          <w:rFonts w:ascii="Times New Roman" w:hAnsi="Times New Roman"/>
          <w:i/>
          <w:sz w:val="24"/>
          <w:szCs w:val="24"/>
          <w:lang w:eastAsia="pt-BR"/>
        </w:rPr>
        <w:t>Stricto Sensu</w:t>
      </w:r>
      <w:r w:rsidRPr="00781A26">
        <w:rPr>
          <w:rFonts w:ascii="Times New Roman" w:hAnsi="Times New Roman"/>
          <w:sz w:val="24"/>
          <w:szCs w:val="24"/>
          <w:lang w:eastAsia="pt-BR"/>
        </w:rPr>
        <w:t xml:space="preserve"> em Direito Constitucional da</w:t>
      </w:r>
      <w:r>
        <w:rPr>
          <w:rFonts w:ascii="Times New Roman" w:hAnsi="Times New Roman"/>
          <w:sz w:val="24"/>
          <w:szCs w:val="24"/>
          <w:lang w:eastAsia="pt-BR"/>
        </w:rPr>
        <w:t xml:space="preserve"> </w:t>
      </w:r>
      <w:r w:rsidRPr="00781A26">
        <w:rPr>
          <w:rFonts w:ascii="Times New Roman" w:hAnsi="Times New Roman"/>
          <w:sz w:val="24"/>
          <w:szCs w:val="24"/>
          <w:lang w:eastAsia="pt-BR"/>
        </w:rPr>
        <w:t>Universidade Federal Fluminense</w:t>
      </w:r>
      <w:r>
        <w:rPr>
          <w:rFonts w:ascii="Times New Roman" w:hAnsi="Times New Roman"/>
          <w:sz w:val="24"/>
          <w:szCs w:val="24"/>
          <w:lang w:eastAsia="pt-BR"/>
        </w:rPr>
        <w:t>.</w:t>
      </w:r>
    </w:p>
    <w:p w:rsidR="00D549BC" w:rsidRDefault="00D549BC" w:rsidP="00B00679">
      <w:pPr>
        <w:ind w:left="4536" w:firstLine="0"/>
        <w:contextualSpacing/>
        <w:rPr>
          <w:rFonts w:ascii="Times New Roman" w:hAnsi="Times New Roman"/>
          <w:b/>
          <w:sz w:val="24"/>
          <w:szCs w:val="24"/>
          <w:lang w:eastAsia="pt-BR"/>
        </w:rPr>
      </w:pPr>
    </w:p>
    <w:p w:rsidR="00D549BC" w:rsidRDefault="00D549BC" w:rsidP="005A0B1F">
      <w:pPr>
        <w:ind w:firstLine="0"/>
        <w:contextualSpacing/>
        <w:rPr>
          <w:rFonts w:ascii="Times New Roman" w:hAnsi="Times New Roman"/>
          <w:sz w:val="24"/>
          <w:szCs w:val="24"/>
          <w:lang w:eastAsia="pt-BR"/>
        </w:rPr>
      </w:pPr>
    </w:p>
    <w:p w:rsidR="00D549BC" w:rsidRDefault="00D549BC" w:rsidP="005A0B1F">
      <w:pPr>
        <w:ind w:firstLine="0"/>
        <w:contextualSpacing/>
        <w:jc w:val="center"/>
        <w:rPr>
          <w:rFonts w:ascii="Times New Roman" w:hAnsi="Times New Roman"/>
          <w:sz w:val="24"/>
          <w:szCs w:val="24"/>
          <w:lang w:eastAsia="pt-BR"/>
        </w:rPr>
      </w:pPr>
      <w:r w:rsidRPr="002C197E">
        <w:rPr>
          <w:rFonts w:ascii="Times New Roman" w:hAnsi="Times New Roman"/>
          <w:sz w:val="24"/>
          <w:szCs w:val="24"/>
          <w:lang w:eastAsia="pt-BR"/>
        </w:rPr>
        <w:t>Banca Examinadora</w:t>
      </w:r>
    </w:p>
    <w:p w:rsidR="00D549BC" w:rsidRPr="002C197E" w:rsidRDefault="00D549BC" w:rsidP="00B00679">
      <w:pPr>
        <w:ind w:firstLine="0"/>
        <w:contextualSpacing/>
        <w:jc w:val="center"/>
        <w:rPr>
          <w:rFonts w:ascii="Times New Roman" w:hAnsi="Times New Roman"/>
          <w:sz w:val="24"/>
          <w:szCs w:val="24"/>
          <w:lang w:eastAsia="pt-BR"/>
        </w:rPr>
      </w:pPr>
    </w:p>
    <w:p w:rsidR="00D549BC" w:rsidRDefault="00D549BC" w:rsidP="002C197E">
      <w:pPr>
        <w:ind w:firstLine="0"/>
        <w:contextualSpacing/>
        <w:jc w:val="center"/>
        <w:rPr>
          <w:rFonts w:ascii="Times New Roman" w:hAnsi="Times New Roman"/>
          <w:sz w:val="24"/>
          <w:szCs w:val="24"/>
          <w:lang w:eastAsia="pt-BR"/>
        </w:rPr>
      </w:pPr>
      <w:r>
        <w:rPr>
          <w:rFonts w:ascii="Times New Roman" w:hAnsi="Times New Roman"/>
          <w:sz w:val="24"/>
          <w:szCs w:val="24"/>
          <w:lang w:eastAsia="pt-BR"/>
        </w:rPr>
        <w:t>________________________________________________________</w:t>
      </w:r>
    </w:p>
    <w:p w:rsidR="00D549BC" w:rsidRPr="002C197E" w:rsidRDefault="00D549BC" w:rsidP="002C197E">
      <w:pPr>
        <w:ind w:firstLine="0"/>
        <w:contextualSpacing/>
        <w:jc w:val="center"/>
        <w:rPr>
          <w:rFonts w:ascii="Times New Roman" w:hAnsi="Times New Roman"/>
          <w:sz w:val="24"/>
          <w:szCs w:val="24"/>
          <w:lang w:eastAsia="pt-BR"/>
        </w:rPr>
      </w:pPr>
      <w:r>
        <w:rPr>
          <w:rFonts w:ascii="Times New Roman" w:hAnsi="Times New Roman"/>
          <w:sz w:val="24"/>
          <w:szCs w:val="24"/>
          <w:lang w:eastAsia="pt-BR"/>
        </w:rPr>
        <w:t>Professor Dr. Marco Antonio Ferreira Macedo – Coorientador</w:t>
      </w:r>
    </w:p>
    <w:p w:rsidR="00D549BC" w:rsidRDefault="00D549BC" w:rsidP="005A0B1F">
      <w:pPr>
        <w:ind w:firstLine="0"/>
        <w:contextualSpacing/>
        <w:jc w:val="center"/>
        <w:rPr>
          <w:rFonts w:ascii="Times New Roman" w:hAnsi="Times New Roman"/>
          <w:sz w:val="24"/>
          <w:szCs w:val="24"/>
          <w:lang w:eastAsia="pt-BR"/>
        </w:rPr>
      </w:pPr>
      <w:r>
        <w:rPr>
          <w:rFonts w:ascii="Times New Roman" w:hAnsi="Times New Roman"/>
          <w:sz w:val="24"/>
          <w:szCs w:val="24"/>
          <w:lang w:eastAsia="pt-BR"/>
        </w:rPr>
        <w:t>Universidade Federal Fluminense – UFF/Niterói</w:t>
      </w:r>
    </w:p>
    <w:p w:rsidR="00D549BC" w:rsidRDefault="00D549BC" w:rsidP="005A0B1F">
      <w:pPr>
        <w:ind w:firstLine="0"/>
        <w:contextualSpacing/>
        <w:jc w:val="center"/>
        <w:rPr>
          <w:rFonts w:ascii="Times New Roman" w:hAnsi="Times New Roman"/>
          <w:b/>
          <w:sz w:val="24"/>
          <w:szCs w:val="24"/>
          <w:lang w:eastAsia="pt-BR"/>
        </w:rPr>
      </w:pPr>
    </w:p>
    <w:p w:rsidR="00D549BC" w:rsidRDefault="00D549BC" w:rsidP="002C197E">
      <w:pPr>
        <w:ind w:firstLine="0"/>
        <w:contextualSpacing/>
        <w:jc w:val="center"/>
        <w:rPr>
          <w:rFonts w:ascii="Times New Roman" w:hAnsi="Times New Roman"/>
          <w:sz w:val="24"/>
          <w:szCs w:val="24"/>
          <w:lang w:eastAsia="pt-BR"/>
        </w:rPr>
      </w:pPr>
      <w:r>
        <w:rPr>
          <w:rFonts w:ascii="Times New Roman" w:hAnsi="Times New Roman"/>
          <w:sz w:val="24"/>
          <w:szCs w:val="24"/>
          <w:lang w:eastAsia="pt-BR"/>
        </w:rPr>
        <w:t>___________________________________________________________</w:t>
      </w:r>
    </w:p>
    <w:p w:rsidR="00D549BC" w:rsidRDefault="00D549BC" w:rsidP="002C197E">
      <w:pPr>
        <w:ind w:firstLine="0"/>
        <w:contextualSpacing/>
        <w:jc w:val="center"/>
        <w:rPr>
          <w:rFonts w:ascii="Times New Roman" w:hAnsi="Times New Roman"/>
          <w:sz w:val="24"/>
          <w:szCs w:val="24"/>
          <w:lang w:eastAsia="pt-BR"/>
        </w:rPr>
      </w:pPr>
      <w:r>
        <w:rPr>
          <w:rFonts w:ascii="Times New Roman" w:hAnsi="Times New Roman"/>
          <w:sz w:val="24"/>
          <w:szCs w:val="24"/>
          <w:lang w:eastAsia="pt-BR"/>
        </w:rPr>
        <w:t>Professor Dr. André Saddy - Orientador</w:t>
      </w:r>
    </w:p>
    <w:p w:rsidR="00D549BC" w:rsidRDefault="00D549BC" w:rsidP="005A0B1F">
      <w:pPr>
        <w:ind w:firstLine="0"/>
        <w:contextualSpacing/>
        <w:jc w:val="center"/>
        <w:rPr>
          <w:rFonts w:ascii="Times New Roman" w:hAnsi="Times New Roman"/>
          <w:sz w:val="24"/>
          <w:szCs w:val="24"/>
          <w:lang w:eastAsia="pt-BR"/>
        </w:rPr>
      </w:pPr>
      <w:r>
        <w:rPr>
          <w:rFonts w:ascii="Times New Roman" w:hAnsi="Times New Roman"/>
          <w:sz w:val="24"/>
          <w:szCs w:val="24"/>
          <w:lang w:eastAsia="pt-BR"/>
        </w:rPr>
        <w:t>Universidade Federal Fluminense – UFF/Niterói</w:t>
      </w:r>
    </w:p>
    <w:p w:rsidR="00D549BC" w:rsidRDefault="00D549BC" w:rsidP="005A0B1F">
      <w:pPr>
        <w:ind w:firstLine="0"/>
        <w:contextualSpacing/>
        <w:jc w:val="center"/>
        <w:rPr>
          <w:rFonts w:ascii="Times New Roman" w:hAnsi="Times New Roman"/>
          <w:b/>
          <w:sz w:val="24"/>
          <w:szCs w:val="24"/>
          <w:lang w:eastAsia="pt-BR"/>
        </w:rPr>
      </w:pPr>
    </w:p>
    <w:p w:rsidR="00D549BC" w:rsidRDefault="00D549BC" w:rsidP="005A0B1F">
      <w:pPr>
        <w:ind w:firstLine="0"/>
        <w:contextualSpacing/>
        <w:jc w:val="center"/>
        <w:rPr>
          <w:rFonts w:ascii="Times New Roman" w:hAnsi="Times New Roman"/>
          <w:b/>
          <w:sz w:val="24"/>
          <w:szCs w:val="24"/>
          <w:lang w:eastAsia="pt-BR"/>
        </w:rPr>
      </w:pPr>
      <w:r>
        <w:rPr>
          <w:rFonts w:ascii="Times New Roman" w:hAnsi="Times New Roman"/>
          <w:b/>
          <w:sz w:val="24"/>
          <w:szCs w:val="24"/>
          <w:lang w:eastAsia="pt-BR"/>
        </w:rPr>
        <w:t>____________________________________________________________</w:t>
      </w:r>
    </w:p>
    <w:p w:rsidR="00D549BC" w:rsidRDefault="00D549BC" w:rsidP="005A0B1F">
      <w:pPr>
        <w:ind w:firstLine="0"/>
        <w:contextualSpacing/>
        <w:jc w:val="center"/>
        <w:rPr>
          <w:rFonts w:ascii="Times New Roman" w:hAnsi="Times New Roman"/>
          <w:b/>
          <w:sz w:val="24"/>
          <w:szCs w:val="24"/>
          <w:lang w:eastAsia="pt-BR"/>
        </w:rPr>
      </w:pPr>
      <w:r>
        <w:rPr>
          <w:rFonts w:ascii="Times New Roman" w:hAnsi="Times New Roman"/>
          <w:sz w:val="24"/>
          <w:szCs w:val="24"/>
          <w:lang w:eastAsia="pt-BR"/>
        </w:rPr>
        <w:t>Professor Dr. Fábio Carvalho Leite - Professor Convidado</w:t>
      </w:r>
    </w:p>
    <w:p w:rsidR="00D549BC" w:rsidRDefault="00D549BC" w:rsidP="005A0B1F">
      <w:pPr>
        <w:ind w:firstLine="0"/>
        <w:contextualSpacing/>
        <w:jc w:val="center"/>
        <w:rPr>
          <w:rFonts w:ascii="Times New Roman" w:hAnsi="Times New Roman"/>
          <w:b/>
          <w:sz w:val="24"/>
          <w:szCs w:val="24"/>
          <w:lang w:eastAsia="pt-BR"/>
        </w:rPr>
      </w:pPr>
      <w:r>
        <w:rPr>
          <w:rFonts w:ascii="Times New Roman" w:hAnsi="Times New Roman"/>
          <w:sz w:val="24"/>
          <w:szCs w:val="24"/>
          <w:lang w:eastAsia="pt-BR"/>
        </w:rPr>
        <w:t>Pontifícia Universidade Católica do Rio de Janeiro – Departamento de Direito</w:t>
      </w:r>
    </w:p>
    <w:p w:rsidR="00D549BC" w:rsidRDefault="00D549BC" w:rsidP="005A0B1F">
      <w:pPr>
        <w:ind w:firstLine="0"/>
        <w:contextualSpacing/>
        <w:jc w:val="center"/>
        <w:rPr>
          <w:rFonts w:ascii="Times New Roman" w:hAnsi="Times New Roman"/>
          <w:b/>
          <w:sz w:val="24"/>
          <w:szCs w:val="24"/>
          <w:lang w:eastAsia="pt-BR"/>
        </w:rPr>
      </w:pPr>
    </w:p>
    <w:p w:rsidR="00D549BC" w:rsidRDefault="00D549BC" w:rsidP="005A0B1F">
      <w:pPr>
        <w:ind w:firstLine="0"/>
        <w:contextualSpacing/>
        <w:jc w:val="center"/>
        <w:rPr>
          <w:rFonts w:ascii="Times New Roman" w:hAnsi="Times New Roman"/>
          <w:b/>
          <w:sz w:val="24"/>
          <w:szCs w:val="24"/>
          <w:lang w:eastAsia="pt-BR"/>
        </w:rPr>
      </w:pPr>
    </w:p>
    <w:p w:rsidR="00D549BC" w:rsidRDefault="00D549BC" w:rsidP="005A0B1F">
      <w:pPr>
        <w:ind w:firstLine="0"/>
        <w:contextualSpacing/>
        <w:jc w:val="center"/>
        <w:rPr>
          <w:rFonts w:ascii="Times New Roman" w:hAnsi="Times New Roman"/>
          <w:b/>
          <w:sz w:val="24"/>
          <w:szCs w:val="24"/>
          <w:lang w:eastAsia="pt-BR"/>
        </w:rPr>
      </w:pPr>
    </w:p>
    <w:p w:rsidR="00D549BC" w:rsidRDefault="00D549BC" w:rsidP="005A0B1F">
      <w:pPr>
        <w:spacing w:line="240" w:lineRule="auto"/>
        <w:ind w:firstLine="0"/>
        <w:contextualSpacing/>
        <w:jc w:val="center"/>
        <w:rPr>
          <w:rFonts w:ascii="Times New Roman" w:hAnsi="Times New Roman"/>
          <w:sz w:val="24"/>
          <w:szCs w:val="24"/>
          <w:lang w:eastAsia="pt-BR"/>
        </w:rPr>
      </w:pPr>
    </w:p>
    <w:p w:rsidR="00D549BC" w:rsidRDefault="00D549BC" w:rsidP="005A0B1F">
      <w:pPr>
        <w:spacing w:line="240" w:lineRule="auto"/>
        <w:ind w:firstLine="0"/>
        <w:contextualSpacing/>
        <w:jc w:val="center"/>
        <w:rPr>
          <w:rFonts w:ascii="Times New Roman" w:hAnsi="Times New Roman"/>
          <w:sz w:val="24"/>
          <w:szCs w:val="24"/>
          <w:lang w:eastAsia="pt-BR"/>
        </w:rPr>
      </w:pPr>
    </w:p>
    <w:p w:rsidR="00D549BC" w:rsidRPr="005A0B1F" w:rsidRDefault="00D549BC" w:rsidP="005A0B1F">
      <w:pPr>
        <w:spacing w:line="240" w:lineRule="auto"/>
        <w:ind w:firstLine="0"/>
        <w:contextualSpacing/>
        <w:jc w:val="center"/>
        <w:rPr>
          <w:rFonts w:ascii="Times New Roman" w:hAnsi="Times New Roman"/>
          <w:sz w:val="24"/>
          <w:szCs w:val="24"/>
          <w:lang w:eastAsia="pt-BR"/>
        </w:rPr>
      </w:pPr>
      <w:r w:rsidRPr="005A0B1F">
        <w:rPr>
          <w:rFonts w:ascii="Times New Roman" w:hAnsi="Times New Roman"/>
          <w:sz w:val="24"/>
          <w:szCs w:val="24"/>
          <w:lang w:eastAsia="pt-BR"/>
        </w:rPr>
        <w:t>NITERÓI</w:t>
      </w:r>
    </w:p>
    <w:p w:rsidR="00D549BC" w:rsidRPr="005A0B1F" w:rsidRDefault="00D549BC" w:rsidP="005A0B1F">
      <w:pPr>
        <w:spacing w:line="240" w:lineRule="auto"/>
        <w:ind w:firstLine="0"/>
        <w:contextualSpacing/>
        <w:jc w:val="center"/>
        <w:rPr>
          <w:rFonts w:ascii="Times New Roman" w:hAnsi="Times New Roman"/>
          <w:sz w:val="24"/>
          <w:szCs w:val="24"/>
          <w:lang w:eastAsia="pt-BR"/>
        </w:rPr>
      </w:pPr>
      <w:r w:rsidRPr="005A0B1F">
        <w:rPr>
          <w:rFonts w:ascii="Times New Roman" w:hAnsi="Times New Roman"/>
          <w:sz w:val="24"/>
          <w:szCs w:val="24"/>
          <w:lang w:eastAsia="pt-BR"/>
        </w:rPr>
        <w:t>2015</w:t>
      </w:r>
    </w:p>
    <w:p w:rsidR="00D549BC" w:rsidRDefault="00D549BC" w:rsidP="005A0B1F">
      <w:pPr>
        <w:ind w:firstLine="0"/>
        <w:contextualSpacing/>
        <w:rPr>
          <w:rFonts w:ascii="Times New Roman" w:hAnsi="Times New Roman"/>
          <w:b/>
          <w:sz w:val="24"/>
          <w:szCs w:val="24"/>
          <w:lang w:eastAsia="pt-BR"/>
        </w:rPr>
      </w:pPr>
    </w:p>
    <w:p w:rsidR="00D549BC" w:rsidRDefault="00D549BC" w:rsidP="00AB1899">
      <w:pPr>
        <w:ind w:firstLine="0"/>
        <w:contextualSpacing/>
        <w:rPr>
          <w:rFonts w:ascii="Times New Roman" w:hAnsi="Times New Roman"/>
          <w:b/>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04370E">
      <w:pPr>
        <w:ind w:firstLine="0"/>
        <w:contextualSpacing/>
        <w:rPr>
          <w:rFonts w:ascii="Times New Roman" w:hAnsi="Times New Roman"/>
          <w:sz w:val="24"/>
          <w:szCs w:val="24"/>
          <w:lang w:eastAsia="pt-BR"/>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Default="00D549BC" w:rsidP="00945CA2">
      <w:pPr>
        <w:ind w:firstLine="0"/>
        <w:jc w:val="center"/>
        <w:rPr>
          <w:rFonts w:ascii="Times New Roman" w:hAnsi="Times New Roman"/>
          <w:sz w:val="24"/>
        </w:rPr>
      </w:pPr>
    </w:p>
    <w:p w:rsidR="00D549BC" w:rsidRPr="00E25807" w:rsidRDefault="00D549BC" w:rsidP="00155899">
      <w:pPr>
        <w:ind w:left="2268" w:firstLine="0"/>
        <w:rPr>
          <w:rFonts w:ascii="Times New Roman" w:hAnsi="Times New Roman"/>
          <w:i/>
          <w:sz w:val="24"/>
        </w:rPr>
      </w:pPr>
      <w:r>
        <w:rPr>
          <w:noProof/>
          <w:lang w:eastAsia="pt-BR"/>
        </w:rPr>
        <w:pict>
          <v:shape id="Estrela de 5 pontas 5" o:spid="_x0000_s1027" style="position:absolute;left:0;text-align:left;margin-left:272.2pt;margin-top:24.15pt;width:6.2pt;height:6.65pt;flip:x;z-index:251658752;visibility:visible;v-text-anchor:middle" coordsize="78740,84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" adj="-11796480,,5400" path="al,32259,30076,32259,39370,,48664,32259,78740,32259,54408,52196l63702,84455,39370,64517,15038,84455,24332,52196,,32259xe" filled="f" strokeweight=".5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32259;30076,32259;39370,0;48664,32259;78740,32259;54408,52196;63702,84455;39370,64517;15038,84455;24332,52196;0,32259" o:connectangles="0,0,0,0,0,0,0,0,0,0,0" textboxrect="0,0,78740,84455"/>
            <v:handles>
              <v:h position="@3,#0" polar="10800,10800"/>
              <v:h position="#2,#1" polar="10800,10800" radiusrange="0,10800"/>
            </v:handles>
            <v:textbox>
              <w:txbxContent>
                <w:p w:rsidR="00D549BC" w:rsidRPr="0028266E" w:rsidRDefault="00D549BC" w:rsidP="0028266E">
                  <w:pPr>
                    <w:jc w:val="center"/>
                    <w:rPr>
                      <w:lang w:val="en-US"/>
                    </w:rPr>
                  </w:pPr>
                  <w:r>
                    <w:rPr>
                      <w:lang w:val="en-US"/>
                    </w:rPr>
                    <w:t xml:space="preserve"> </w:t>
                  </w:r>
                </w:p>
              </w:txbxContent>
            </v:textbox>
          </v:shape>
        </w:pict>
      </w:r>
      <w:r>
        <w:rPr>
          <w:noProof/>
          <w:lang w:eastAsia="pt-BR"/>
        </w:rPr>
        <w:pict>
          <v:shape id="Estrela de 5 pontas 4" o:spid="_x0000_s1028" style="position:absolute;left:0;text-align:left;margin-left:379.25pt;margin-top:3.4pt;width:6.2pt;height:6.65pt;flip:x;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7874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" path="m,32259r30076,l39370,r9294,32259l78740,32259,54408,52196r9294,32259l39370,64517,15038,84455,24332,52196,,32259xe" filled="f" strokeweight=".5pt">
            <v:stroke joinstyle="miter"/>
            <v:path arrowok="t" o:connecttype="custom" o:connectlocs="0,32259;30076,32259;39370,0;48664,32259;78740,32259;54408,52196;63702,84455;39370,64517;15038,84455;24332,52196;0,32259" o:connectangles="0,0,0,0,0,0,0,0,0,0,0"/>
          </v:shape>
        </w:pict>
      </w:r>
      <w:r w:rsidRPr="00E25807">
        <w:rPr>
          <w:rFonts w:ascii="Times New Roman" w:hAnsi="Times New Roman"/>
          <w:i/>
          <w:sz w:val="24"/>
        </w:rPr>
        <w:t>In memoriam</w:t>
      </w:r>
      <w:r>
        <w:rPr>
          <w:rFonts w:ascii="Times New Roman" w:hAnsi="Times New Roman"/>
          <w:sz w:val="24"/>
        </w:rPr>
        <w:t xml:space="preserve">: João Pedro Fragoso da Silva Tavares ( 1986 - 2015); Ricardo Augusto de Souza Silva (  1976 - 2015); amados irmão e primo; partiram tão prematuramente, mas deixaram grandes lições. Dedico a vocês este trabalho acadêmico. Obrigado. </w:t>
      </w:r>
    </w:p>
    <w:p w:rsidR="00D549BC" w:rsidRPr="008033AA" w:rsidRDefault="00D549BC" w:rsidP="00945CA2">
      <w:pPr>
        <w:ind w:firstLine="0"/>
        <w:jc w:val="center"/>
        <w:rPr>
          <w:rFonts w:ascii="Times New Roman" w:hAnsi="Times New Roman"/>
          <w:b/>
          <w:sz w:val="24"/>
        </w:rPr>
      </w:pPr>
      <w:r w:rsidRPr="008033AA">
        <w:rPr>
          <w:rFonts w:ascii="Times New Roman" w:hAnsi="Times New Roman"/>
          <w:b/>
          <w:sz w:val="24"/>
        </w:rPr>
        <w:t>AGRADECIMENTOS</w:t>
      </w:r>
    </w:p>
    <w:p w:rsidR="00D549BC" w:rsidRPr="00945CA2" w:rsidRDefault="00D549BC" w:rsidP="00945CA2">
      <w:pPr>
        <w:ind w:firstLine="0"/>
        <w:jc w:val="center"/>
        <w:rPr>
          <w:rFonts w:ascii="Times New Roman" w:hAnsi="Times New Roman"/>
          <w:sz w:val="24"/>
        </w:rPr>
      </w:pPr>
    </w:p>
    <w:p w:rsidR="00D549BC" w:rsidRDefault="00D549BC" w:rsidP="008033AA">
      <w:pPr>
        <w:rPr>
          <w:rFonts w:ascii="Times New Roman" w:hAnsi="Times New Roman"/>
          <w:sz w:val="24"/>
        </w:rPr>
      </w:pPr>
      <w:r>
        <w:rPr>
          <w:rFonts w:ascii="Times New Roman" w:hAnsi="Times New Roman"/>
          <w:sz w:val="24"/>
        </w:rPr>
        <w:t xml:space="preserve">Primeiramente, a Deus. Suas obras em minha vida são incomensuráveis. Obrigado, Pai, por tudo, principalmente pela força e coragem necessárias para concluir mais essa importante etapa em minha vida. </w:t>
      </w:r>
    </w:p>
    <w:p w:rsidR="00D549BC" w:rsidRDefault="00D549BC" w:rsidP="008033AA">
      <w:pPr>
        <w:rPr>
          <w:rFonts w:ascii="Times New Roman" w:hAnsi="Times New Roman"/>
          <w:sz w:val="24"/>
        </w:rPr>
      </w:pPr>
      <w:r>
        <w:rPr>
          <w:rFonts w:ascii="Times New Roman" w:hAnsi="Times New Roman"/>
          <w:sz w:val="24"/>
        </w:rPr>
        <w:t xml:space="preserve">Agradeço, em especial, ao meu Tio Revmo. Pe. Ricardo Pereira Calvo, fomentador direto desse Mestrado, assim como de toda minha vida educacional até o presente momento. Certamente, meu rumo seria outro sem sua ilustre presença. </w:t>
      </w:r>
    </w:p>
    <w:p w:rsidR="00D549BC" w:rsidRDefault="00D549BC" w:rsidP="008033AA">
      <w:pPr>
        <w:rPr>
          <w:rFonts w:ascii="Times New Roman" w:hAnsi="Times New Roman"/>
          <w:sz w:val="24"/>
        </w:rPr>
      </w:pPr>
      <w:r>
        <w:rPr>
          <w:rFonts w:ascii="Times New Roman" w:hAnsi="Times New Roman"/>
          <w:sz w:val="24"/>
        </w:rPr>
        <w:t xml:space="preserve">À minha Mãe, Maria Luiza Fragoso da Silva, mulher de fibra, exemplo de verdadeira mãe, sempre disposta a fazer de tudo por mim, sempre esteve ao meu lado, nunca desistiu de mim. Obrigado, mãe. Essa vitória também é sua! </w:t>
      </w:r>
    </w:p>
    <w:p w:rsidR="00D549BC" w:rsidRDefault="00D549BC" w:rsidP="008033AA">
      <w:pPr>
        <w:rPr>
          <w:rFonts w:ascii="Times New Roman" w:hAnsi="Times New Roman"/>
          <w:sz w:val="24"/>
        </w:rPr>
      </w:pPr>
      <w:r>
        <w:rPr>
          <w:rFonts w:ascii="Times New Roman" w:hAnsi="Times New Roman"/>
          <w:sz w:val="24"/>
        </w:rPr>
        <w:t xml:space="preserve">Ao meu Pai, José Antonio Tavares, sempre me incentivando a trabalhar a fim de alcançar minha independência financeira. Apesar de não entender a importância de uma Pós-Graduação, acredito que certamente está feliz por mim. Obrigado. </w:t>
      </w:r>
    </w:p>
    <w:p w:rsidR="00D549BC" w:rsidRDefault="00D549BC" w:rsidP="008033AA">
      <w:pPr>
        <w:rPr>
          <w:rFonts w:ascii="Times New Roman" w:hAnsi="Times New Roman"/>
          <w:sz w:val="24"/>
        </w:rPr>
      </w:pPr>
      <w:r>
        <w:rPr>
          <w:rFonts w:ascii="Times New Roman" w:hAnsi="Times New Roman"/>
          <w:sz w:val="24"/>
        </w:rPr>
        <w:t xml:space="preserve">Agradeço às minhas irmãs, Eliene Cristina e Heloísa Cristina por todo o apoio, carinho e cobrança. Obrigado, Helô, por brindar nossa família com as minhas duas sobrinhas lindas: Ana Luiza e Maria Fernanda. Amo vocês! </w:t>
      </w:r>
    </w:p>
    <w:p w:rsidR="00D549BC" w:rsidRDefault="00D549BC" w:rsidP="008033AA">
      <w:pPr>
        <w:rPr>
          <w:rFonts w:ascii="Times New Roman" w:hAnsi="Times New Roman"/>
          <w:sz w:val="24"/>
        </w:rPr>
      </w:pPr>
      <w:r>
        <w:rPr>
          <w:rFonts w:ascii="Times New Roman" w:hAnsi="Times New Roman"/>
          <w:sz w:val="24"/>
        </w:rPr>
        <w:t>Agradeço ao meu irmão Paulo Henrique, exemplo de pessoa dedicada e comprometida, tanto com a vida universitária, quanto com a vida profissional. Continue firme na sua caminhada, você vai longe!</w:t>
      </w:r>
    </w:p>
    <w:p w:rsidR="00D549BC" w:rsidRDefault="00D549BC" w:rsidP="008033AA">
      <w:pPr>
        <w:rPr>
          <w:rFonts w:ascii="Times New Roman" w:hAnsi="Times New Roman"/>
          <w:sz w:val="24"/>
        </w:rPr>
      </w:pPr>
      <w:r>
        <w:rPr>
          <w:rFonts w:ascii="Times New Roman" w:hAnsi="Times New Roman"/>
          <w:sz w:val="24"/>
        </w:rPr>
        <w:t xml:space="preserve">Agradeço à minha querida namorada, em breve noiva, Amanda Moreira Monteiro, por toda paciência e compreensão ao longo desses dois anos de Mestrado, só nós sabemos como foi difícil, mas juntos somos mais fortes. Te amo muito! Temos um futuro pela frente! Estarei sempre ao seu lado! </w:t>
      </w:r>
    </w:p>
    <w:p w:rsidR="00D549BC" w:rsidRDefault="00D549BC" w:rsidP="008033AA">
      <w:pPr>
        <w:rPr>
          <w:rFonts w:ascii="Times New Roman" w:hAnsi="Times New Roman"/>
          <w:sz w:val="24"/>
        </w:rPr>
      </w:pPr>
      <w:r>
        <w:rPr>
          <w:rFonts w:ascii="Times New Roman" w:hAnsi="Times New Roman"/>
          <w:sz w:val="24"/>
        </w:rPr>
        <w:t xml:space="preserve">Agradeço à UFF por todo o apoio dispensado ao longo do Mestrado, em especial ao Programa de Pós-Graduação </w:t>
      </w:r>
      <w:r w:rsidRPr="00743595">
        <w:rPr>
          <w:rFonts w:ascii="Times New Roman" w:hAnsi="Times New Roman"/>
          <w:i/>
          <w:sz w:val="24"/>
        </w:rPr>
        <w:t>Stricto Sensu</w:t>
      </w:r>
      <w:r>
        <w:rPr>
          <w:rFonts w:ascii="Times New Roman" w:hAnsi="Times New Roman"/>
          <w:sz w:val="24"/>
        </w:rPr>
        <w:t xml:space="preserve"> em Direito Constitucional (PPGDC), assim como à Secretária Acadêmica Ana Paula Arantes, cuja paciência, ajuda e apoio foram de grande valia para o êxito desse Mestrado. Foi uma experiência inenarrável e de amadurecimento intelectual, certamente, sou outra pessoa após esse Mestrado. Obrigado a todo Corpo Docente! </w:t>
      </w:r>
    </w:p>
    <w:p w:rsidR="00D549BC" w:rsidRDefault="00D549BC" w:rsidP="008033AA">
      <w:pPr>
        <w:rPr>
          <w:rFonts w:ascii="Times New Roman" w:hAnsi="Times New Roman"/>
          <w:sz w:val="24"/>
        </w:rPr>
      </w:pPr>
      <w:r>
        <w:rPr>
          <w:rFonts w:ascii="Times New Roman" w:hAnsi="Times New Roman"/>
          <w:sz w:val="24"/>
        </w:rPr>
        <w:t>Agradeço aos amigos que a UFF me presentou, levarei-os para a vida: Diego Braga (esse desde a Puc-Rio), Eric Mendes, Fabio Medina, Fernando Guerreiro, Heloísa Valadares, Júlia Sá, João Victor, Lílian Cazorla,</w:t>
      </w:r>
      <w:r w:rsidRPr="00CA6F94">
        <w:rPr>
          <w:rFonts w:ascii="Times New Roman" w:hAnsi="Times New Roman"/>
          <w:sz w:val="24"/>
        </w:rPr>
        <w:t xml:space="preserve"> </w:t>
      </w:r>
      <w:r>
        <w:rPr>
          <w:rFonts w:ascii="Times New Roman" w:hAnsi="Times New Roman"/>
          <w:sz w:val="24"/>
        </w:rPr>
        <w:t xml:space="preserve">Maíra Neurater, nossa representante de Turma, Mariane Vargas, Mariana Netto, Marcus Bacellar, Sérgio Rodrigues e Thiago Bastos. </w:t>
      </w:r>
    </w:p>
    <w:p w:rsidR="00D549BC" w:rsidRDefault="00D549BC" w:rsidP="008033AA">
      <w:pPr>
        <w:rPr>
          <w:rFonts w:ascii="Times New Roman" w:hAnsi="Times New Roman"/>
          <w:sz w:val="24"/>
        </w:rPr>
      </w:pPr>
      <w:r>
        <w:rPr>
          <w:rFonts w:ascii="Times New Roman" w:hAnsi="Times New Roman"/>
          <w:sz w:val="24"/>
        </w:rPr>
        <w:t xml:space="preserve">Agradeço aos amigos de sempre, estes de longa data: Alexandre Guedes, Bruno Assaife, Carlos Eduardo Barros, Daniel Moreno, Eduardo Jorge, Felipe Gusman, Gustavo Rezende, Gustavo Rodrigues, João Gabriel Lago, João Pedro Di Gioia, Pedro Pamplona, Rafael Cerqueira e Renato Santos. Irmãos que a vida me deu!  </w:t>
      </w:r>
    </w:p>
    <w:p w:rsidR="00D549BC" w:rsidRDefault="00D549BC" w:rsidP="008033AA">
      <w:pPr>
        <w:rPr>
          <w:rFonts w:ascii="Times New Roman" w:hAnsi="Times New Roman"/>
          <w:sz w:val="24"/>
        </w:rPr>
      </w:pPr>
      <w:r>
        <w:rPr>
          <w:rFonts w:ascii="Times New Roman" w:hAnsi="Times New Roman"/>
          <w:sz w:val="24"/>
        </w:rPr>
        <w:t xml:space="preserve">Por fim, porém não menos importante, agradeço ao meu Professor, Amigo e Orientador, Dr. Marco Antonio Ferreira Macedo, cuja orientação foi imprescindível e impecável! De toda boa parceria nascem bons frutos, este trabalho acadêmico certamente o é! Obrigado, Mestre!  </w:t>
      </w:r>
    </w:p>
    <w:p w:rsidR="00D549BC" w:rsidRDefault="00D549BC" w:rsidP="008033AA">
      <w:pPr>
        <w:rPr>
          <w:rFonts w:ascii="Times New Roman" w:hAnsi="Times New Roman"/>
          <w:sz w:val="24"/>
        </w:rPr>
      </w:pPr>
      <w:r>
        <w:rPr>
          <w:rFonts w:ascii="Times New Roman" w:hAnsi="Times New Roman"/>
          <w:sz w:val="24"/>
        </w:rPr>
        <w:t xml:space="preserve">Agradeço, ainda, ao Professor Doutor André Saddy, que junto ao Professor Marco Antonio, serviu de alicerce para a devida conclusão e ajustes necessários da presente Dissertação. Meus sinceros agradecimentos! </w:t>
      </w:r>
      <w:bookmarkStart w:id="0" w:name="_GoBack"/>
      <w:bookmarkEnd w:id="0"/>
      <w:r>
        <w:rPr>
          <w:rFonts w:ascii="Times New Roman" w:hAnsi="Times New Roman"/>
          <w:sz w:val="24"/>
        </w:rPr>
        <w:t xml:space="preserve">  </w:t>
      </w:r>
    </w:p>
    <w:p w:rsidR="00D549BC" w:rsidRDefault="00D549BC" w:rsidP="007E25D5">
      <w:pPr>
        <w:ind w:firstLine="0"/>
        <w:rPr>
          <w:rFonts w:ascii="Times New Roman" w:hAnsi="Times New Roman"/>
          <w:sz w:val="24"/>
        </w:rPr>
      </w:pPr>
      <w:r>
        <w:rPr>
          <w:rFonts w:ascii="Times New Roman" w:hAnsi="Times New Roman"/>
          <w:sz w:val="24"/>
        </w:rPr>
        <w:t xml:space="preserve">  </w:t>
      </w:r>
    </w:p>
    <w:p w:rsidR="00D549BC" w:rsidRDefault="00D549BC" w:rsidP="007E25D5">
      <w:pPr>
        <w:ind w:firstLine="0"/>
        <w:rPr>
          <w:rFonts w:ascii="Times New Roman" w:hAnsi="Times New Roman"/>
          <w:sz w:val="24"/>
        </w:rPr>
      </w:pPr>
    </w:p>
    <w:p w:rsidR="00D549BC" w:rsidRPr="00817DF9" w:rsidRDefault="00D549BC" w:rsidP="007E25D5">
      <w:pPr>
        <w:ind w:firstLine="0"/>
        <w:rPr>
          <w:rFonts w:ascii="Times New Roman" w:hAnsi="Times New Roman"/>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4E0C90">
      <w:pPr>
        <w:ind w:left="3402" w:firstLine="0"/>
        <w:contextualSpacing/>
        <w:rPr>
          <w:rFonts w:ascii="Times New Roman" w:hAnsi="Times New Roman"/>
          <w:sz w:val="24"/>
          <w:szCs w:val="24"/>
          <w:lang w:eastAsia="pt-BR"/>
        </w:rPr>
      </w:pPr>
      <w:r>
        <w:rPr>
          <w:rFonts w:ascii="Times New Roman" w:hAnsi="Times New Roman"/>
          <w:sz w:val="24"/>
          <w:szCs w:val="24"/>
          <w:lang w:eastAsia="pt-BR"/>
        </w:rPr>
        <w:t>“</w:t>
      </w:r>
      <w:r w:rsidRPr="00E01711">
        <w:rPr>
          <w:rFonts w:ascii="Times New Roman" w:hAnsi="Times New Roman"/>
          <w:sz w:val="24"/>
          <w:szCs w:val="24"/>
          <w:lang w:eastAsia="pt-BR"/>
        </w:rPr>
        <w:t>(...)</w:t>
      </w:r>
      <w:r w:rsidRPr="000641CC">
        <w:rPr>
          <w:rFonts w:ascii="Times New Roman" w:hAnsi="Times New Roman"/>
          <w:i/>
          <w:sz w:val="24"/>
          <w:szCs w:val="24"/>
          <w:lang w:eastAsia="pt-BR"/>
        </w:rPr>
        <w:t xml:space="preserve"> o Supremo Tribunal Federal, como as instituições em geral, deve saber se autotransformar para não perder o passo da história. Não é incomum, aqui e ali, alguém se orgulhar dos números exibidos pelo tribunal a cada final de ano: 110 mil processos julgados! Dez mil processos por Ministro! A verdade é que não há motivo para orgulho. São números constrangedores. Basta dividir o número de processos pelo número de Ministros e, depois, pelo número de dias do ano. No fundo, são cenas de </w:t>
      </w:r>
      <w:r>
        <w:rPr>
          <w:rFonts w:ascii="Times New Roman" w:hAnsi="Times New Roman"/>
          <w:i/>
          <w:sz w:val="24"/>
          <w:szCs w:val="24"/>
          <w:lang w:eastAsia="pt-BR"/>
        </w:rPr>
        <w:t>‘terceiro-mundismo’</w:t>
      </w:r>
      <w:r w:rsidRPr="000641CC">
        <w:rPr>
          <w:rFonts w:ascii="Times New Roman" w:hAnsi="Times New Roman"/>
          <w:i/>
          <w:sz w:val="24"/>
          <w:szCs w:val="24"/>
          <w:lang w:eastAsia="pt-BR"/>
        </w:rPr>
        <w:t xml:space="preserve"> explícito. A voracidade em julgar e a ênfase na quantidade, e não na qualidade, ainda são sintomas de um ciclo inconcluso de amadurecimento. Uma Corte Constitucional deve decidir com parcimônia, qualidade e visibilidade. Nessa, como em outras matérias na vida, menos é mais</w:t>
      </w:r>
      <w:r>
        <w:rPr>
          <w:rFonts w:ascii="Times New Roman" w:hAnsi="Times New Roman"/>
          <w:i/>
          <w:sz w:val="24"/>
          <w:szCs w:val="24"/>
          <w:lang w:eastAsia="pt-BR"/>
        </w:rPr>
        <w:t>.</w:t>
      </w:r>
      <w:r>
        <w:rPr>
          <w:rFonts w:ascii="Times New Roman" w:hAnsi="Times New Roman"/>
          <w:sz w:val="24"/>
          <w:szCs w:val="24"/>
          <w:lang w:eastAsia="pt-BR"/>
        </w:rPr>
        <w:t xml:space="preserve">” </w:t>
      </w:r>
    </w:p>
    <w:p w:rsidR="00D549BC" w:rsidRDefault="00D549BC" w:rsidP="004E0C90">
      <w:pPr>
        <w:ind w:left="3402" w:firstLine="0"/>
        <w:contextualSpacing/>
        <w:jc w:val="right"/>
        <w:rPr>
          <w:rFonts w:ascii="Times New Roman" w:hAnsi="Times New Roman"/>
          <w:b/>
          <w:sz w:val="24"/>
          <w:szCs w:val="24"/>
          <w:lang w:eastAsia="pt-BR"/>
        </w:rPr>
        <w:sectPr w:rsidR="00D549BC" w:rsidSect="00722F09">
          <w:headerReference w:type="default" r:id="rId11"/>
          <w:pgSz w:w="11906" w:h="16838" w:code="9"/>
          <w:pgMar w:top="1701" w:right="1134" w:bottom="1134" w:left="1701" w:header="709" w:footer="709" w:gutter="0"/>
          <w:cols w:space="708"/>
          <w:docGrid w:linePitch="360"/>
        </w:sectPr>
      </w:pPr>
      <w:r>
        <w:rPr>
          <w:rFonts w:ascii="Times New Roman" w:hAnsi="Times New Roman"/>
          <w:sz w:val="24"/>
          <w:szCs w:val="24"/>
          <w:lang w:eastAsia="pt-BR"/>
        </w:rPr>
        <w:t>Luís Roberto Barroso, Ministro do STF</w:t>
      </w:r>
    </w:p>
    <w:p w:rsidR="00D549BC" w:rsidRDefault="00D549BC" w:rsidP="00945CA2">
      <w:pPr>
        <w:ind w:firstLine="0"/>
        <w:jc w:val="center"/>
        <w:rPr>
          <w:rFonts w:ascii="Times New Roman" w:hAnsi="Times New Roman"/>
          <w:b/>
          <w:sz w:val="24"/>
        </w:rPr>
      </w:pPr>
      <w:r>
        <w:rPr>
          <w:rFonts w:ascii="Times New Roman" w:hAnsi="Times New Roman"/>
          <w:b/>
          <w:sz w:val="24"/>
        </w:rPr>
        <w:t>RESUMO</w:t>
      </w:r>
    </w:p>
    <w:p w:rsidR="00D549BC" w:rsidRDefault="00D549BC" w:rsidP="00945CA2">
      <w:pPr>
        <w:ind w:firstLine="0"/>
        <w:jc w:val="center"/>
        <w:rPr>
          <w:rFonts w:ascii="Times New Roman" w:hAnsi="Times New Roman"/>
          <w:b/>
          <w:sz w:val="24"/>
        </w:rPr>
      </w:pPr>
    </w:p>
    <w:p w:rsidR="00D549BC" w:rsidRDefault="00D549BC" w:rsidP="007E25D5">
      <w:pPr>
        <w:ind w:firstLine="0"/>
        <w:rPr>
          <w:rFonts w:ascii="Times New Roman" w:hAnsi="Times New Roman"/>
          <w:b/>
          <w:sz w:val="24"/>
        </w:rPr>
      </w:pPr>
      <w:r>
        <w:rPr>
          <w:rFonts w:ascii="Times New Roman" w:hAnsi="Times New Roman"/>
          <w:sz w:val="24"/>
        </w:rPr>
        <w:t xml:space="preserve">A crise do Recurso Extraordinário, principal via de acesso ao Supremo Tribunal Federal, órgão de cúpula do Judiciário brasileiro, é analisada em suas diversas perspectivas temporais, isto é, desde seu suposto começo, passando pelo desenvolvimento até chegarmos aos dias atuais. Assim, esse é um problema crônico, que faz parte da história institucional do Supremo Tribunal Federal. Ao longo de tempo, foram concretizadas diversas medidas com a finalidade de superar os momentos de crise funcional na Corte e restringir o acesso das partes. No entanto poucas dessas tentativas conseguiram resolver efetivamente o problema do acesso amplo, irrestrito e, muitas vezes, prescindível das partes ao Tribunal. O próprio Supremo Tribunal Federal pode ser considerado um dos responsáveis pela crise numérica na ânsia de querer julgar tudo o que lhe é dirigido. Um dos principais exemplos dessa falha foi o desvirtuamento da Repercussão Geral, pois, a partir desse filtro, o Tribunal deveria obstaculizar ao máximo os recursos submetidos. Todavia, o que aconteceu foi o contrário, ou seja, um excesso de casos com Repercussão Geral reconhecida, sendo que grande parte ainda está pendente de julgamento e alguns sem a menor relevância para a sociedade brasileira. Nesse ponto, importante são as propostas sugeridas pelo Ministro Luís Roberto Barroso a fim de resgatar a ideia inicial do filtro que é a Repercussão Geral. O mesmo Ministro almeja, com isso, transformar o Supremo Tribunal Federal em autêntica Corte Constitucional, a qual tem por característica precípua escolher aquilo que efetivamente vai julgar dentro de um prazo razoável e de suas limitações estruturais. O Novo Código de Processo Civil, no entanto, traz alguns riscos para a jurisdição constitucional na medida em que prevê novas brechas de acesso ao Tribunal, indo na contramão do perfil de Corte Constitucional. </w:t>
      </w: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r>
        <w:rPr>
          <w:rFonts w:ascii="Times New Roman" w:hAnsi="Times New Roman"/>
          <w:b/>
          <w:sz w:val="24"/>
        </w:rPr>
        <w:t xml:space="preserve">Palavras-chave: </w:t>
      </w:r>
      <w:r>
        <w:rPr>
          <w:rFonts w:ascii="Times New Roman" w:hAnsi="Times New Roman"/>
          <w:sz w:val="24"/>
        </w:rPr>
        <w:t xml:space="preserve">Supremo Tribunal Federal. Recurso Extraordinário. Crise funcional. Crise numérica. Jurisdição Constitucional. Repercussão Geral. Plenário Virtual. Novo Código de Processo Civil. </w:t>
      </w: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945CA2">
      <w:pPr>
        <w:ind w:firstLine="0"/>
        <w:jc w:val="center"/>
        <w:rPr>
          <w:rFonts w:ascii="Times New Roman" w:hAnsi="Times New Roman"/>
          <w:b/>
          <w:sz w:val="24"/>
          <w:lang w:val="en-US"/>
        </w:rPr>
      </w:pPr>
      <w:r w:rsidRPr="0048125D">
        <w:rPr>
          <w:rFonts w:ascii="Times New Roman" w:hAnsi="Times New Roman"/>
          <w:b/>
          <w:sz w:val="24"/>
          <w:lang w:val="en-US"/>
        </w:rPr>
        <w:t>ABSTRACT</w:t>
      </w:r>
    </w:p>
    <w:p w:rsidR="00D549BC" w:rsidRPr="0048125D" w:rsidRDefault="00D549BC" w:rsidP="00945CA2">
      <w:pPr>
        <w:ind w:firstLine="0"/>
        <w:jc w:val="center"/>
        <w:rPr>
          <w:rFonts w:ascii="Times New Roman" w:hAnsi="Times New Roman"/>
          <w:b/>
          <w:sz w:val="24"/>
          <w:lang w:val="en-US"/>
        </w:rPr>
      </w:pPr>
    </w:p>
    <w:p w:rsidR="00D549BC" w:rsidRPr="0048125D" w:rsidRDefault="00D549BC" w:rsidP="007E25D5">
      <w:pPr>
        <w:ind w:firstLine="0"/>
        <w:rPr>
          <w:rFonts w:ascii="Times New Roman" w:hAnsi="Times New Roman"/>
          <w:sz w:val="24"/>
          <w:lang w:val="en-US"/>
        </w:rPr>
      </w:pPr>
      <w:r w:rsidRPr="0048125D">
        <w:rPr>
          <w:rFonts w:ascii="Times New Roman" w:hAnsi="Times New Roman"/>
          <w:sz w:val="24"/>
          <w:lang w:val="en-US"/>
        </w:rPr>
        <w:t xml:space="preserve">The crisis of </w:t>
      </w:r>
      <w:r>
        <w:rPr>
          <w:rFonts w:ascii="Times New Roman" w:hAnsi="Times New Roman"/>
          <w:sz w:val="24"/>
          <w:lang w:val="en-US"/>
        </w:rPr>
        <w:t xml:space="preserve">Brazilian </w:t>
      </w:r>
      <w:r w:rsidRPr="0048125D">
        <w:rPr>
          <w:rFonts w:ascii="Times New Roman" w:hAnsi="Times New Roman"/>
          <w:sz w:val="24"/>
          <w:lang w:val="en-US"/>
        </w:rPr>
        <w:t>extraordinary appeal, the main access road to the Supreme Court, the top body of th</w:t>
      </w:r>
      <w:r>
        <w:rPr>
          <w:rFonts w:ascii="Times New Roman" w:hAnsi="Times New Roman"/>
          <w:sz w:val="24"/>
          <w:lang w:val="en-US"/>
        </w:rPr>
        <w:t>e Brazilian Judiciary, is analyze</w:t>
      </w:r>
      <w:r w:rsidRPr="0048125D">
        <w:rPr>
          <w:rFonts w:ascii="Times New Roman" w:hAnsi="Times New Roman"/>
          <w:sz w:val="24"/>
          <w:lang w:val="en-US"/>
        </w:rPr>
        <w:t xml:space="preserve"> in its different time perspectives, that is, from its supposed beginning, through development until we get to today</w:t>
      </w:r>
      <w:r>
        <w:rPr>
          <w:rFonts w:ascii="Times New Roman" w:hAnsi="Times New Roman"/>
          <w:sz w:val="24"/>
          <w:lang w:val="en-US"/>
        </w:rPr>
        <w:t xml:space="preserve">. </w:t>
      </w:r>
      <w:r w:rsidRPr="0048125D">
        <w:rPr>
          <w:rFonts w:ascii="Times New Roman" w:hAnsi="Times New Roman"/>
          <w:sz w:val="24"/>
          <w:lang w:val="en-US"/>
        </w:rPr>
        <w:t>Therefore, this is a chron</w:t>
      </w:r>
      <w:r>
        <w:rPr>
          <w:rFonts w:ascii="Times New Roman" w:hAnsi="Times New Roman"/>
          <w:sz w:val="24"/>
          <w:lang w:val="en-US"/>
        </w:rPr>
        <w:t>ic problem,</w:t>
      </w:r>
      <w:r w:rsidRPr="0048125D">
        <w:rPr>
          <w:rFonts w:ascii="Times New Roman" w:hAnsi="Times New Roman"/>
          <w:sz w:val="24"/>
          <w:lang w:val="en-US"/>
        </w:rPr>
        <w:t xml:space="preserve"> which is part of the institutional history of the</w:t>
      </w:r>
      <w:r>
        <w:rPr>
          <w:rFonts w:ascii="Times New Roman" w:hAnsi="Times New Roman"/>
          <w:sz w:val="24"/>
          <w:lang w:val="en-US"/>
        </w:rPr>
        <w:t xml:space="preserve"> Brazilian</w:t>
      </w:r>
      <w:r w:rsidRPr="0048125D">
        <w:rPr>
          <w:rFonts w:ascii="Times New Roman" w:hAnsi="Times New Roman"/>
          <w:sz w:val="24"/>
          <w:lang w:val="en-US"/>
        </w:rPr>
        <w:t xml:space="preserve"> Supreme Court.</w:t>
      </w:r>
      <w:r>
        <w:rPr>
          <w:rFonts w:ascii="Times New Roman" w:hAnsi="Times New Roman"/>
          <w:sz w:val="24"/>
          <w:lang w:val="en-US"/>
        </w:rPr>
        <w:t xml:space="preserve"> </w:t>
      </w:r>
      <w:r w:rsidRPr="0048125D">
        <w:rPr>
          <w:rFonts w:ascii="Times New Roman" w:hAnsi="Times New Roman"/>
          <w:sz w:val="24"/>
          <w:lang w:val="en-US"/>
        </w:rPr>
        <w:t>Over time, they implemented various measures in order to overcome the functional times of crisis in the Court and restrict access of the parties.</w:t>
      </w:r>
      <w:r>
        <w:rPr>
          <w:rFonts w:ascii="Times New Roman" w:hAnsi="Times New Roman"/>
          <w:sz w:val="24"/>
          <w:lang w:val="en-US"/>
        </w:rPr>
        <w:t xml:space="preserve"> </w:t>
      </w:r>
      <w:r w:rsidRPr="00BC6A0E">
        <w:rPr>
          <w:rFonts w:ascii="Times New Roman" w:hAnsi="Times New Roman"/>
          <w:sz w:val="24"/>
          <w:lang w:val="en-US"/>
        </w:rPr>
        <w:t>However, few of these attempts succeeded in effectively solve the problem of open access, unrestricted and often dispensable litigants of the Court.</w:t>
      </w:r>
      <w:r>
        <w:rPr>
          <w:rFonts w:ascii="Times New Roman" w:hAnsi="Times New Roman"/>
          <w:sz w:val="24"/>
          <w:lang w:val="en-US"/>
        </w:rPr>
        <w:t xml:space="preserve"> </w:t>
      </w:r>
      <w:r w:rsidRPr="00B14AE0">
        <w:rPr>
          <w:rFonts w:ascii="Times New Roman" w:hAnsi="Times New Roman"/>
          <w:sz w:val="24"/>
          <w:lang w:val="en-US"/>
        </w:rPr>
        <w:t>Even the Supreme Court can be one of those responsible for numerical crisis in their eagerness to want to judge everything addressed to it.</w:t>
      </w:r>
      <w:r>
        <w:rPr>
          <w:rFonts w:ascii="Times New Roman" w:hAnsi="Times New Roman"/>
          <w:sz w:val="24"/>
          <w:lang w:val="en-US"/>
        </w:rPr>
        <w:t xml:space="preserve"> </w:t>
      </w:r>
      <w:r w:rsidRPr="006058AF">
        <w:rPr>
          <w:rFonts w:ascii="Times New Roman" w:hAnsi="Times New Roman"/>
          <w:sz w:val="24"/>
          <w:lang w:val="en-US"/>
        </w:rPr>
        <w:t xml:space="preserve">A prime example of this failure was the distortion of the </w:t>
      </w:r>
      <w:r>
        <w:rPr>
          <w:rFonts w:ascii="Times New Roman" w:hAnsi="Times New Roman"/>
          <w:sz w:val="24"/>
          <w:lang w:val="en-US"/>
        </w:rPr>
        <w:t>Repercussão Geral</w:t>
      </w:r>
      <w:r w:rsidRPr="006058AF">
        <w:rPr>
          <w:rFonts w:ascii="Times New Roman" w:hAnsi="Times New Roman"/>
          <w:sz w:val="24"/>
          <w:lang w:val="en-US"/>
        </w:rPr>
        <w:t xml:space="preserve"> because from this filter, the </w:t>
      </w:r>
      <w:r>
        <w:rPr>
          <w:rFonts w:ascii="Times New Roman" w:hAnsi="Times New Roman"/>
          <w:sz w:val="24"/>
          <w:lang w:val="en-US"/>
        </w:rPr>
        <w:t xml:space="preserve">Supreme </w:t>
      </w:r>
      <w:r w:rsidRPr="006058AF">
        <w:rPr>
          <w:rFonts w:ascii="Times New Roman" w:hAnsi="Times New Roman"/>
          <w:sz w:val="24"/>
          <w:lang w:val="en-US"/>
        </w:rPr>
        <w:t>Court should hinder the most of the appeals that</w:t>
      </w:r>
      <w:r>
        <w:rPr>
          <w:rFonts w:ascii="Times New Roman" w:hAnsi="Times New Roman"/>
          <w:sz w:val="24"/>
          <w:lang w:val="en-US"/>
        </w:rPr>
        <w:t xml:space="preserve"> were submit</w:t>
      </w:r>
      <w:r w:rsidRPr="006058AF">
        <w:rPr>
          <w:rFonts w:ascii="Times New Roman" w:hAnsi="Times New Roman"/>
          <w:sz w:val="24"/>
          <w:lang w:val="en-US"/>
        </w:rPr>
        <w:t>.</w:t>
      </w:r>
      <w:r>
        <w:rPr>
          <w:rFonts w:ascii="Times New Roman" w:hAnsi="Times New Roman"/>
          <w:sz w:val="24"/>
          <w:lang w:val="en-US"/>
        </w:rPr>
        <w:t xml:space="preserve"> </w:t>
      </w:r>
      <w:r w:rsidRPr="000A752C">
        <w:rPr>
          <w:rFonts w:ascii="Times New Roman" w:hAnsi="Times New Roman"/>
          <w:sz w:val="24"/>
          <w:lang w:val="en-US"/>
        </w:rPr>
        <w:t>However, what happened was the opposite, i.e. an excess of cases of recognized General Effect, much of which is still pending judgment and some without any relevance to the Brazilian society</w:t>
      </w:r>
      <w:r>
        <w:rPr>
          <w:rFonts w:ascii="Times New Roman" w:hAnsi="Times New Roman"/>
          <w:sz w:val="24"/>
          <w:lang w:val="en-US"/>
        </w:rPr>
        <w:t xml:space="preserve">. </w:t>
      </w:r>
      <w:r w:rsidRPr="000A752C">
        <w:rPr>
          <w:rFonts w:ascii="Times New Roman" w:hAnsi="Times New Roman"/>
          <w:sz w:val="24"/>
          <w:lang w:val="en-US"/>
        </w:rPr>
        <w:t>At this poi</w:t>
      </w:r>
      <w:r>
        <w:rPr>
          <w:rFonts w:ascii="Times New Roman" w:hAnsi="Times New Roman"/>
          <w:sz w:val="24"/>
          <w:lang w:val="en-US"/>
        </w:rPr>
        <w:t xml:space="preserve">nt, important are the proposals </w:t>
      </w:r>
      <w:r w:rsidRPr="000A752C">
        <w:rPr>
          <w:rFonts w:ascii="Times New Roman" w:hAnsi="Times New Roman"/>
          <w:sz w:val="24"/>
          <w:lang w:val="en-US"/>
        </w:rPr>
        <w:t>suggest</w:t>
      </w:r>
      <w:r>
        <w:rPr>
          <w:rFonts w:ascii="Times New Roman" w:hAnsi="Times New Roman"/>
          <w:sz w:val="24"/>
          <w:lang w:val="en-US"/>
        </w:rPr>
        <w:t xml:space="preserve"> that </w:t>
      </w:r>
      <w:r w:rsidRPr="000A752C">
        <w:rPr>
          <w:rFonts w:ascii="Times New Roman" w:hAnsi="Times New Roman"/>
          <w:sz w:val="24"/>
          <w:lang w:val="en-US"/>
        </w:rPr>
        <w:t>by the Minister Luis Roberto Barroso</w:t>
      </w:r>
      <w:r>
        <w:rPr>
          <w:rFonts w:ascii="Times New Roman" w:hAnsi="Times New Roman"/>
          <w:sz w:val="24"/>
          <w:lang w:val="en-US"/>
        </w:rPr>
        <w:t xml:space="preserve"> </w:t>
      </w:r>
      <w:r w:rsidRPr="000A752C">
        <w:rPr>
          <w:rFonts w:ascii="Times New Roman" w:hAnsi="Times New Roman"/>
          <w:sz w:val="24"/>
          <w:lang w:val="en-US"/>
        </w:rPr>
        <w:t xml:space="preserve">in order to rescue the original idea of the filter is the </w:t>
      </w:r>
      <w:r>
        <w:rPr>
          <w:rFonts w:ascii="Times New Roman" w:hAnsi="Times New Roman"/>
          <w:sz w:val="24"/>
          <w:lang w:val="en-US"/>
        </w:rPr>
        <w:t>Repercussão Geral</w:t>
      </w:r>
      <w:r w:rsidRPr="000A752C">
        <w:rPr>
          <w:rFonts w:ascii="Times New Roman" w:hAnsi="Times New Roman"/>
          <w:sz w:val="24"/>
          <w:lang w:val="en-US"/>
        </w:rPr>
        <w:t>.</w:t>
      </w:r>
      <w:r>
        <w:rPr>
          <w:rFonts w:ascii="Times New Roman" w:hAnsi="Times New Roman"/>
          <w:sz w:val="24"/>
          <w:lang w:val="en-US"/>
        </w:rPr>
        <w:t xml:space="preserve"> The </w:t>
      </w:r>
      <w:r w:rsidRPr="005C7770">
        <w:rPr>
          <w:rFonts w:ascii="Times New Roman" w:hAnsi="Times New Roman"/>
          <w:sz w:val="24"/>
          <w:lang w:val="en-US"/>
        </w:rPr>
        <w:t xml:space="preserve">same Minister aims to thereby transform the </w:t>
      </w:r>
      <w:r>
        <w:rPr>
          <w:rFonts w:ascii="Times New Roman" w:hAnsi="Times New Roman"/>
          <w:sz w:val="24"/>
          <w:lang w:val="en-US"/>
        </w:rPr>
        <w:t xml:space="preserve">Brazilian </w:t>
      </w:r>
      <w:r w:rsidRPr="005C7770">
        <w:rPr>
          <w:rFonts w:ascii="Times New Roman" w:hAnsi="Times New Roman"/>
          <w:sz w:val="24"/>
          <w:lang w:val="en-US"/>
        </w:rPr>
        <w:t>Supreme Court in authentic Constitutional Court, according to which, is characteristic choose what will effectively judge within a reasonable time and</w:t>
      </w:r>
      <w:r>
        <w:rPr>
          <w:rFonts w:ascii="Times New Roman" w:hAnsi="Times New Roman"/>
          <w:sz w:val="24"/>
          <w:lang w:val="en-US"/>
        </w:rPr>
        <w:t xml:space="preserve"> to infrastructural limitations. The N</w:t>
      </w:r>
      <w:r w:rsidRPr="005C7770">
        <w:rPr>
          <w:rFonts w:ascii="Times New Roman" w:hAnsi="Times New Roman"/>
          <w:sz w:val="24"/>
          <w:lang w:val="en-US"/>
        </w:rPr>
        <w:t>ew Civil Procedure Code, howev</w:t>
      </w:r>
      <w:r>
        <w:rPr>
          <w:rFonts w:ascii="Times New Roman" w:hAnsi="Times New Roman"/>
          <w:sz w:val="24"/>
          <w:lang w:val="en-US"/>
        </w:rPr>
        <w:t>er, carries some risks for the C</w:t>
      </w:r>
      <w:r w:rsidRPr="005C7770">
        <w:rPr>
          <w:rFonts w:ascii="Times New Roman" w:hAnsi="Times New Roman"/>
          <w:sz w:val="24"/>
          <w:lang w:val="en-US"/>
        </w:rPr>
        <w:t xml:space="preserve">onstitutional </w:t>
      </w:r>
      <w:r>
        <w:rPr>
          <w:rFonts w:ascii="Times New Roman" w:hAnsi="Times New Roman"/>
          <w:sz w:val="24"/>
          <w:lang w:val="en-US"/>
        </w:rPr>
        <w:t>J</w:t>
      </w:r>
      <w:r w:rsidRPr="005C7770">
        <w:rPr>
          <w:rFonts w:ascii="Times New Roman" w:hAnsi="Times New Roman"/>
          <w:sz w:val="24"/>
          <w:lang w:val="en-US"/>
        </w:rPr>
        <w:t xml:space="preserve">urisdiction in that it provides new </w:t>
      </w:r>
      <w:r>
        <w:rPr>
          <w:rFonts w:ascii="Times New Roman" w:hAnsi="Times New Roman"/>
          <w:sz w:val="24"/>
          <w:lang w:val="en-US"/>
        </w:rPr>
        <w:t xml:space="preserve">gaps </w:t>
      </w:r>
      <w:r w:rsidRPr="005C7770">
        <w:rPr>
          <w:rFonts w:ascii="Times New Roman" w:hAnsi="Times New Roman"/>
          <w:sz w:val="24"/>
          <w:lang w:val="en-US"/>
        </w:rPr>
        <w:t>access to the Court, going against the Constitutional Court profile.</w:t>
      </w:r>
    </w:p>
    <w:p w:rsidR="00D549BC" w:rsidRPr="0048125D" w:rsidRDefault="00D549BC" w:rsidP="007E25D5">
      <w:pPr>
        <w:ind w:firstLine="0"/>
        <w:rPr>
          <w:rFonts w:ascii="Times New Roman" w:hAnsi="Times New Roman"/>
          <w:b/>
          <w:sz w:val="24"/>
          <w:lang w:val="en-US"/>
        </w:rPr>
      </w:pPr>
    </w:p>
    <w:p w:rsidR="00D549BC" w:rsidRPr="0048125D" w:rsidRDefault="00D549BC" w:rsidP="007E25D5">
      <w:pPr>
        <w:ind w:firstLine="0"/>
        <w:rPr>
          <w:rFonts w:ascii="Times New Roman" w:hAnsi="Times New Roman"/>
          <w:b/>
          <w:sz w:val="24"/>
          <w:lang w:val="en-US"/>
        </w:rPr>
      </w:pPr>
    </w:p>
    <w:p w:rsidR="00D549BC" w:rsidRPr="0048125D" w:rsidRDefault="00D549BC" w:rsidP="007E25D5">
      <w:pPr>
        <w:ind w:firstLine="0"/>
        <w:rPr>
          <w:rFonts w:ascii="Times New Roman" w:hAnsi="Times New Roman"/>
          <w:b/>
          <w:sz w:val="24"/>
          <w:lang w:val="en-US"/>
        </w:rPr>
      </w:pPr>
      <w:r>
        <w:rPr>
          <w:rFonts w:ascii="Times New Roman" w:hAnsi="Times New Roman"/>
          <w:b/>
          <w:sz w:val="24"/>
          <w:lang w:val="en-US"/>
        </w:rPr>
        <w:t xml:space="preserve">Keywords: </w:t>
      </w:r>
      <w:r>
        <w:rPr>
          <w:rFonts w:ascii="Times New Roman" w:hAnsi="Times New Roman"/>
          <w:sz w:val="24"/>
          <w:lang w:val="en-US"/>
        </w:rPr>
        <w:t xml:space="preserve">Brazilian Supreme Court. Extraordinary Appeal. Functional Crisis. Numerical Crisis. Constitutional Jurisdiction. Repercussão Geral. Virtual Plenary. New Civil Procedure Code. </w:t>
      </w:r>
    </w:p>
    <w:p w:rsidR="00D549BC" w:rsidRPr="0048125D" w:rsidRDefault="00D549BC" w:rsidP="007E25D5">
      <w:pPr>
        <w:ind w:firstLine="0"/>
        <w:rPr>
          <w:rFonts w:ascii="Times New Roman" w:hAnsi="Times New Roman"/>
          <w:b/>
          <w:sz w:val="24"/>
          <w:lang w:val="en-US"/>
        </w:rPr>
      </w:pPr>
    </w:p>
    <w:p w:rsidR="00D549BC" w:rsidRPr="0048125D" w:rsidRDefault="00D549BC" w:rsidP="007E25D5">
      <w:pPr>
        <w:ind w:firstLine="0"/>
        <w:rPr>
          <w:rFonts w:ascii="Times New Roman" w:hAnsi="Times New Roman"/>
          <w:b/>
          <w:sz w:val="24"/>
          <w:lang w:val="en-US"/>
        </w:rPr>
      </w:pPr>
    </w:p>
    <w:p w:rsidR="00D549BC" w:rsidRPr="0048125D" w:rsidRDefault="00D549BC" w:rsidP="007E25D5">
      <w:pPr>
        <w:ind w:firstLine="0"/>
        <w:rPr>
          <w:rFonts w:ascii="Times New Roman" w:hAnsi="Times New Roman"/>
          <w:b/>
          <w:sz w:val="24"/>
          <w:lang w:val="en-US"/>
        </w:rPr>
      </w:pPr>
    </w:p>
    <w:p w:rsidR="00D549BC" w:rsidRPr="0048125D" w:rsidRDefault="00D549BC" w:rsidP="007E25D5">
      <w:pPr>
        <w:ind w:firstLine="0"/>
        <w:rPr>
          <w:rFonts w:ascii="Times New Roman" w:hAnsi="Times New Roman"/>
          <w:b/>
          <w:sz w:val="24"/>
          <w:lang w:val="en-US"/>
        </w:rPr>
      </w:pPr>
    </w:p>
    <w:p w:rsidR="00D549BC" w:rsidRPr="0048125D" w:rsidRDefault="00D549BC" w:rsidP="007E25D5">
      <w:pPr>
        <w:ind w:firstLine="0"/>
        <w:rPr>
          <w:rFonts w:ascii="Times New Roman" w:hAnsi="Times New Roman"/>
          <w:b/>
          <w:sz w:val="24"/>
          <w:lang w:val="en-US"/>
        </w:rPr>
      </w:pPr>
    </w:p>
    <w:p w:rsidR="00D549BC" w:rsidRPr="0048125D" w:rsidRDefault="00D549BC" w:rsidP="007E25D5">
      <w:pPr>
        <w:ind w:firstLine="0"/>
        <w:rPr>
          <w:rFonts w:ascii="Times New Roman" w:hAnsi="Times New Roman"/>
          <w:b/>
          <w:sz w:val="24"/>
          <w:lang w:val="en-US"/>
        </w:rPr>
      </w:pPr>
    </w:p>
    <w:p w:rsidR="00D549BC" w:rsidRPr="0048125D" w:rsidRDefault="00D549BC" w:rsidP="007E25D5">
      <w:pPr>
        <w:ind w:firstLine="0"/>
        <w:rPr>
          <w:rFonts w:ascii="Times New Roman" w:hAnsi="Times New Roman"/>
          <w:b/>
          <w:sz w:val="24"/>
          <w:lang w:val="en-US"/>
        </w:rPr>
      </w:pPr>
    </w:p>
    <w:p w:rsidR="00D549BC" w:rsidRPr="00CC24B6" w:rsidRDefault="00D549BC" w:rsidP="00460082">
      <w:pPr>
        <w:pStyle w:val="TOCHeading"/>
        <w:contextualSpacing/>
        <w:jc w:val="center"/>
        <w:rPr>
          <w:rFonts w:ascii="Times New Roman" w:hAnsi="Times New Roman"/>
          <w:b/>
          <w:color w:val="000000"/>
          <w:sz w:val="24"/>
          <w:szCs w:val="24"/>
        </w:rPr>
      </w:pPr>
      <w:r w:rsidRPr="00CC24B6">
        <w:rPr>
          <w:rFonts w:ascii="Times New Roman" w:hAnsi="Times New Roman"/>
          <w:b/>
          <w:color w:val="000000"/>
          <w:sz w:val="24"/>
          <w:szCs w:val="24"/>
        </w:rPr>
        <w:t>SUMÁRIO</w:t>
      </w:r>
    </w:p>
    <w:p w:rsidR="00D549BC" w:rsidRPr="005A5884" w:rsidRDefault="00D549BC" w:rsidP="00361544">
      <w:pPr>
        <w:pStyle w:val="TOCHeading"/>
        <w:numPr>
          <w:ilvl w:val="0"/>
          <w:numId w:val="10"/>
        </w:numPr>
        <w:spacing w:after="240"/>
        <w:ind w:left="0" w:firstLine="0"/>
        <w:rPr>
          <w:rFonts w:ascii="Times New Roman" w:hAnsi="Times New Roman"/>
          <w:sz w:val="24"/>
          <w:szCs w:val="24"/>
        </w:rPr>
      </w:pPr>
      <w:r w:rsidRPr="00CC24B6">
        <w:rPr>
          <w:rFonts w:ascii="Times New Roman" w:hAnsi="Times New Roman"/>
          <w:b/>
          <w:color w:val="000000"/>
          <w:sz w:val="24"/>
          <w:szCs w:val="24"/>
        </w:rPr>
        <w:t>INTRODUÇÃO</w:t>
      </w:r>
      <w:r>
        <w:rPr>
          <w:rFonts w:ascii="Times New Roman" w:hAnsi="Times New Roman"/>
          <w:color w:val="000000"/>
          <w:sz w:val="24"/>
          <w:szCs w:val="24"/>
        </w:rPr>
        <w:t xml:space="preserve"> ..........................................................................................................</w:t>
      </w:r>
      <w:r w:rsidRPr="00261A3A">
        <w:rPr>
          <w:rFonts w:ascii="Times New Roman" w:hAnsi="Times New Roman"/>
          <w:color w:val="000000"/>
          <w:sz w:val="24"/>
          <w:szCs w:val="24"/>
        </w:rPr>
        <w:t>1</w:t>
      </w:r>
      <w:r>
        <w:rPr>
          <w:rFonts w:ascii="Times New Roman" w:hAnsi="Times New Roman"/>
          <w:color w:val="000000"/>
          <w:sz w:val="24"/>
          <w:szCs w:val="24"/>
        </w:rPr>
        <w:t>3</w:t>
      </w:r>
    </w:p>
    <w:p w:rsidR="00D549BC" w:rsidRPr="00460082" w:rsidRDefault="00D549BC" w:rsidP="00FD767E">
      <w:pPr>
        <w:pStyle w:val="TOC2"/>
        <w:spacing w:after="240"/>
        <w:ind w:left="709" w:hanging="709"/>
      </w:pPr>
      <w:r w:rsidRPr="00460082">
        <w:t>O SUPREMO TRIBUNAL FEDERAL E O RECURSO EXTRAORDINÁRIO: ORIGEM E EVOLUÇÃO HISTÓRICA A PARTIR DAS CONSTITUIÇÕES REPUBLICANAS</w:t>
      </w:r>
      <w:r>
        <w:rPr>
          <w:b w:val="0"/>
        </w:rPr>
        <w:t xml:space="preserve"> ...................................................................................................... 18 </w:t>
      </w:r>
    </w:p>
    <w:p w:rsidR="00D549BC" w:rsidRPr="00646E35" w:rsidRDefault="00D549BC" w:rsidP="00233A31">
      <w:pPr>
        <w:pStyle w:val="TOC3"/>
        <w:numPr>
          <w:ilvl w:val="0"/>
          <w:numId w:val="0"/>
        </w:numPr>
        <w:ind w:left="1080"/>
      </w:pPr>
      <w:r>
        <w:t xml:space="preserve">2.1 </w:t>
      </w:r>
      <w:r w:rsidRPr="00646E35">
        <w:t>A CONSTITUIÇÃO DE 1891 E A LEI FEDERAL Nº 221, DE 20 DE NOVEMBRO DE 1894.</w:t>
      </w:r>
      <w:r>
        <w:t>.........................................................................</w:t>
      </w:r>
      <w:r w:rsidRPr="00646E35">
        <w:t>..</w:t>
      </w:r>
      <w:r>
        <w:t>.............. 18</w:t>
      </w:r>
    </w:p>
    <w:p w:rsidR="00D549BC" w:rsidRPr="00646E35" w:rsidRDefault="00D549BC" w:rsidP="00233A31">
      <w:pPr>
        <w:pStyle w:val="TOC3"/>
        <w:numPr>
          <w:ilvl w:val="2"/>
          <w:numId w:val="10"/>
        </w:numPr>
      </w:pPr>
      <w:r w:rsidRPr="00233A31">
        <w:rPr>
          <w:b/>
        </w:rPr>
        <w:t>O surgimento do Supremo Tribunal Federal</w:t>
      </w:r>
      <w:r>
        <w:t xml:space="preserve"> ......................................... 21</w:t>
      </w:r>
      <w:r w:rsidRPr="00646E35">
        <w:t xml:space="preserve">  </w:t>
      </w:r>
    </w:p>
    <w:p w:rsidR="00D549BC" w:rsidRPr="00646E35" w:rsidRDefault="00D549BC" w:rsidP="00646E35">
      <w:pPr>
        <w:pStyle w:val="TOC3"/>
      </w:pPr>
      <w:r w:rsidRPr="00646E35">
        <w:t>A REFORMA DE 1926 E O ADVENTO DA CONSTITUIÇÃO DE 1934........................</w:t>
      </w:r>
      <w:r>
        <w:t>......................................................................................... 22</w:t>
      </w:r>
      <w:r w:rsidRPr="00646E35">
        <w:t xml:space="preserve"> </w:t>
      </w:r>
    </w:p>
    <w:p w:rsidR="00D549BC" w:rsidRPr="00646E35" w:rsidRDefault="00D549BC" w:rsidP="00646E35">
      <w:pPr>
        <w:pStyle w:val="TOC3"/>
      </w:pPr>
      <w:r w:rsidRPr="00646E35">
        <w:t>A CONSTITUIÇÃO D</w:t>
      </w:r>
      <w:r>
        <w:t>E 1937.........................................................................</w:t>
      </w:r>
      <w:r w:rsidRPr="00646E35">
        <w:t xml:space="preserve"> </w:t>
      </w:r>
      <w:r>
        <w:t>26</w:t>
      </w:r>
    </w:p>
    <w:p w:rsidR="00D549BC" w:rsidRPr="00646E35" w:rsidRDefault="00D549BC" w:rsidP="00646E35">
      <w:pPr>
        <w:pStyle w:val="TOC3"/>
      </w:pPr>
      <w:r w:rsidRPr="00646E35">
        <w:t>A CONSTITUIÇÃO DE 1946 E A EMENDA CONSTITUCIONAL Nº 16 DE 1965..............</w:t>
      </w:r>
      <w:r>
        <w:t>................................................................................................... 27</w:t>
      </w:r>
    </w:p>
    <w:p w:rsidR="00D549BC" w:rsidRPr="00646E35" w:rsidRDefault="00D549BC" w:rsidP="00646E35">
      <w:pPr>
        <w:pStyle w:val="TOC3"/>
      </w:pPr>
      <w:r w:rsidRPr="00646E35">
        <w:t>A CONSTITUIÇÃO DE 1967 E A EMENDA CONSTITUCIONAL Nº 1 DE 1969 ...........</w:t>
      </w:r>
      <w:r>
        <w:t>..................................................................................................... 30</w:t>
      </w:r>
      <w:r w:rsidRPr="00646E35">
        <w:t xml:space="preserve"> </w:t>
      </w:r>
    </w:p>
    <w:p w:rsidR="00D549BC" w:rsidRPr="00646E35" w:rsidRDefault="00D549BC" w:rsidP="002A5BA8">
      <w:pPr>
        <w:pStyle w:val="TOC3"/>
        <w:numPr>
          <w:ilvl w:val="2"/>
          <w:numId w:val="10"/>
        </w:numPr>
      </w:pPr>
      <w:r>
        <w:rPr>
          <w:b/>
        </w:rPr>
        <w:t>A E</w:t>
      </w:r>
      <w:r w:rsidRPr="002A5BA8">
        <w:rPr>
          <w:b/>
        </w:rPr>
        <w:t xml:space="preserve">menda </w:t>
      </w:r>
      <w:r>
        <w:rPr>
          <w:b/>
        </w:rPr>
        <w:t>C</w:t>
      </w:r>
      <w:r w:rsidRPr="002A5BA8">
        <w:rPr>
          <w:b/>
        </w:rPr>
        <w:t xml:space="preserve">onstitucional nº 7, de 13 de abril de 1977 </w:t>
      </w:r>
      <w:r>
        <w:t>.......................... 32</w:t>
      </w:r>
    </w:p>
    <w:p w:rsidR="00D549BC" w:rsidRPr="00646E35" w:rsidRDefault="00D549BC" w:rsidP="00646E35">
      <w:pPr>
        <w:pStyle w:val="TOC3"/>
      </w:pPr>
      <w:r w:rsidRPr="00646E35">
        <w:t>BREVES CONCLUSÕES SOBRE O PERÍODO PRÉ-88 ......................................................</w:t>
      </w:r>
      <w:r>
        <w:t>................................................................... 33</w:t>
      </w:r>
    </w:p>
    <w:p w:rsidR="00D549BC" w:rsidRPr="00646E35" w:rsidRDefault="00D549BC" w:rsidP="00646E35">
      <w:pPr>
        <w:pStyle w:val="TOC3"/>
      </w:pPr>
      <w:r w:rsidRPr="00646E35">
        <w:t>A CONSTITUIÇÃO DA REPÚBLICA DE 1988 E A EMENDA CONSTITUCIONAL Nº 45, DE 8 DE DEZEMBRO DE 2004 .......................................................................................</w:t>
      </w:r>
      <w:r>
        <w:t>.................................. 34</w:t>
      </w:r>
    </w:p>
    <w:p w:rsidR="00D549BC" w:rsidRPr="005A5884" w:rsidRDefault="00D549BC" w:rsidP="002739CC">
      <w:pPr>
        <w:pStyle w:val="TOC2"/>
        <w:tabs>
          <w:tab w:val="right" w:leader="dot" w:pos="9071"/>
        </w:tabs>
        <w:spacing w:after="240"/>
        <w:ind w:left="709" w:hanging="709"/>
      </w:pPr>
      <w:r>
        <w:t>A CRISE DE FUNCIONALIDADE NO SUPREMO TRIBUNAL FEDERAL: REFLEXÕES SOBRE O RECURSO EXTRAORDINÁRIO E AS COMPETÊNCIAS</w:t>
      </w:r>
      <w:r>
        <w:rPr>
          <w:b w:val="0"/>
        </w:rPr>
        <w:tab/>
        <w:t xml:space="preserve"> 39</w:t>
      </w:r>
    </w:p>
    <w:p w:rsidR="00D549BC" w:rsidRPr="00646E35" w:rsidRDefault="00D549BC" w:rsidP="00646E35">
      <w:pPr>
        <w:pStyle w:val="TOC3"/>
      </w:pPr>
      <w:r w:rsidRPr="00646E35">
        <w:t xml:space="preserve">A CRISE DO RECURSO EXTRAORDINÁRIO: OS PRIMEIROS SINAIS DE </w:t>
      </w:r>
      <w:r>
        <w:t>CONGESTIONAMENTO DA CORTE...</w:t>
      </w:r>
      <w:r w:rsidRPr="00646E35">
        <w:t>..............................................</w:t>
      </w:r>
      <w:r>
        <w:t>...</w:t>
      </w:r>
      <w:r w:rsidRPr="00646E35">
        <w:t xml:space="preserve"> </w:t>
      </w:r>
      <w:r>
        <w:t>40</w:t>
      </w:r>
      <w:r w:rsidRPr="00646E35">
        <w:t xml:space="preserve">  </w:t>
      </w:r>
    </w:p>
    <w:p w:rsidR="00D549BC" w:rsidRDefault="00D549BC" w:rsidP="00C40C28">
      <w:pPr>
        <w:pStyle w:val="TOC2"/>
        <w:numPr>
          <w:ilvl w:val="2"/>
          <w:numId w:val="10"/>
        </w:numPr>
        <w:ind w:hanging="240"/>
      </w:pPr>
      <w:r w:rsidRPr="001C197D">
        <w:t>As soluções buscadas nos primeiros momentos</w:t>
      </w:r>
      <w:r>
        <w:rPr>
          <w:b w:val="0"/>
        </w:rPr>
        <w:t xml:space="preserve"> </w:t>
      </w:r>
      <w:r w:rsidRPr="00261A3A">
        <w:rPr>
          <w:b w:val="0"/>
        </w:rPr>
        <w:t>....</w:t>
      </w:r>
      <w:r>
        <w:rPr>
          <w:b w:val="0"/>
        </w:rPr>
        <w:t>............................ 41</w:t>
      </w:r>
      <w:r>
        <w:t xml:space="preserve"> </w:t>
      </w:r>
    </w:p>
    <w:p w:rsidR="00D549BC" w:rsidRDefault="00D549BC" w:rsidP="00C40C28">
      <w:pPr>
        <w:pStyle w:val="TOC2"/>
        <w:numPr>
          <w:ilvl w:val="2"/>
          <w:numId w:val="10"/>
        </w:numPr>
        <w:ind w:hanging="240"/>
      </w:pPr>
      <w:r w:rsidRPr="001C197D">
        <w:t>As medidas legislativas</w:t>
      </w:r>
      <w:r>
        <w:rPr>
          <w:b w:val="0"/>
        </w:rPr>
        <w:t xml:space="preserve"> </w:t>
      </w:r>
      <w:r w:rsidRPr="00261A3A">
        <w:rPr>
          <w:b w:val="0"/>
        </w:rPr>
        <w:t>.......................................................................</w:t>
      </w:r>
      <w:r>
        <w:rPr>
          <w:b w:val="0"/>
        </w:rPr>
        <w:t xml:space="preserve"> 43</w:t>
      </w:r>
      <w:r>
        <w:t xml:space="preserve"> </w:t>
      </w:r>
    </w:p>
    <w:p w:rsidR="00D549BC" w:rsidRDefault="00D549BC" w:rsidP="00C40C28">
      <w:pPr>
        <w:pStyle w:val="TOC2"/>
        <w:numPr>
          <w:ilvl w:val="3"/>
          <w:numId w:val="10"/>
        </w:numPr>
        <w:ind w:firstLine="327"/>
      </w:pPr>
      <w:r w:rsidRPr="00C40C28">
        <w:rPr>
          <w:b w:val="0"/>
        </w:rPr>
        <w:t>A Lei Federal 3.396, de 2 de junho de 1958</w:t>
      </w:r>
      <w:r w:rsidRPr="00261A3A">
        <w:rPr>
          <w:b w:val="0"/>
        </w:rPr>
        <w:t>..........................</w:t>
      </w:r>
      <w:r>
        <w:rPr>
          <w:b w:val="0"/>
        </w:rPr>
        <w:t>..... 43</w:t>
      </w:r>
    </w:p>
    <w:p w:rsidR="00D549BC" w:rsidRDefault="00D549BC" w:rsidP="00C40C28">
      <w:pPr>
        <w:pStyle w:val="TOC2"/>
        <w:numPr>
          <w:ilvl w:val="3"/>
          <w:numId w:val="10"/>
        </w:numPr>
        <w:ind w:firstLine="327"/>
      </w:pPr>
      <w:r w:rsidRPr="00C40C28">
        <w:rPr>
          <w:b w:val="0"/>
        </w:rPr>
        <w:t>A Súmula de Jurisprudência Predominante</w:t>
      </w:r>
      <w:r w:rsidRPr="00261A3A">
        <w:rPr>
          <w:b w:val="0"/>
        </w:rPr>
        <w:t>........................</w:t>
      </w:r>
      <w:r>
        <w:rPr>
          <w:b w:val="0"/>
        </w:rPr>
        <w:t>....... 44</w:t>
      </w:r>
    </w:p>
    <w:p w:rsidR="00D549BC" w:rsidRDefault="00D549BC" w:rsidP="00C40C28">
      <w:pPr>
        <w:pStyle w:val="TOC2"/>
        <w:numPr>
          <w:ilvl w:val="3"/>
          <w:numId w:val="10"/>
        </w:numPr>
        <w:ind w:left="2127" w:firstLine="0"/>
      </w:pPr>
      <w:r w:rsidRPr="00C40C28">
        <w:rPr>
          <w:b w:val="0"/>
        </w:rPr>
        <w:t>A Emenda Constitucional nº 16, de 26 de novembro de 1965</w:t>
      </w:r>
      <w:r>
        <w:rPr>
          <w:b w:val="0"/>
        </w:rPr>
        <w:t>...................................................................................................... 44</w:t>
      </w:r>
    </w:p>
    <w:p w:rsidR="00D549BC" w:rsidRDefault="00D549BC" w:rsidP="00C40C28">
      <w:pPr>
        <w:pStyle w:val="TOC2"/>
        <w:numPr>
          <w:ilvl w:val="3"/>
          <w:numId w:val="10"/>
        </w:numPr>
        <w:ind w:firstLine="327"/>
      </w:pPr>
      <w:r w:rsidRPr="00C40C28">
        <w:rPr>
          <w:b w:val="0"/>
        </w:rPr>
        <w:t>O segundo óbice regimental</w:t>
      </w:r>
      <w:r>
        <w:rPr>
          <w:b w:val="0"/>
        </w:rPr>
        <w:t xml:space="preserve"> </w:t>
      </w:r>
      <w:r w:rsidRPr="0004412D">
        <w:rPr>
          <w:b w:val="0"/>
        </w:rPr>
        <w:t>...............................................</w:t>
      </w:r>
      <w:r>
        <w:rPr>
          <w:b w:val="0"/>
        </w:rPr>
        <w:t>...... 45</w:t>
      </w:r>
    </w:p>
    <w:p w:rsidR="00D549BC" w:rsidRDefault="00D549BC" w:rsidP="00E350D2">
      <w:pPr>
        <w:pStyle w:val="TOC2"/>
        <w:numPr>
          <w:ilvl w:val="3"/>
          <w:numId w:val="10"/>
        </w:numPr>
        <w:ind w:left="2835" w:hanging="708"/>
      </w:pPr>
      <w:r w:rsidRPr="00C40C28">
        <w:rPr>
          <w:b w:val="0"/>
        </w:rPr>
        <w:t>A Emenda Constitucional nº 1, de 17 de outubro de 1969 e o Novo Regimento Interno do Supremo Tribunal Federal de 1970</w:t>
      </w:r>
      <w:r>
        <w:rPr>
          <w:b w:val="0"/>
        </w:rPr>
        <w:t>........ 45</w:t>
      </w:r>
    </w:p>
    <w:p w:rsidR="00D549BC" w:rsidRDefault="00D549BC" w:rsidP="00C40C28">
      <w:pPr>
        <w:pStyle w:val="TOC2"/>
        <w:numPr>
          <w:ilvl w:val="3"/>
          <w:numId w:val="10"/>
        </w:numPr>
        <w:ind w:left="2127" w:firstLine="0"/>
      </w:pPr>
      <w:r>
        <w:rPr>
          <w:b w:val="0"/>
        </w:rPr>
        <w:t>Da argu</w:t>
      </w:r>
      <w:r w:rsidRPr="00C40C28">
        <w:rPr>
          <w:b w:val="0"/>
        </w:rPr>
        <w:t>ição de relevância no Recurso Extraordinário</w:t>
      </w:r>
      <w:r>
        <w:rPr>
          <w:b w:val="0"/>
        </w:rPr>
        <w:t xml:space="preserve"> </w:t>
      </w:r>
      <w:r w:rsidRPr="0004412D">
        <w:rPr>
          <w:b w:val="0"/>
        </w:rPr>
        <w:t>...........</w:t>
      </w:r>
      <w:r>
        <w:rPr>
          <w:b w:val="0"/>
        </w:rPr>
        <w:t>... 48</w:t>
      </w:r>
    </w:p>
    <w:p w:rsidR="00D549BC" w:rsidRDefault="00D549BC" w:rsidP="00646E35">
      <w:pPr>
        <w:pStyle w:val="TOC3"/>
      </w:pPr>
      <w:r w:rsidRPr="004C246B">
        <w:t xml:space="preserve">A </w:t>
      </w:r>
      <w:r>
        <w:t>MANUTENÇÃO DA CRISE E O ADVENTO DA</w:t>
      </w:r>
      <w:r w:rsidRPr="004C246B">
        <w:t xml:space="preserve"> CONSTITUIÇÃO</w:t>
      </w:r>
      <w:r>
        <w:t xml:space="preserve"> DA REPÚBLICA</w:t>
      </w:r>
      <w:r w:rsidRPr="004C246B">
        <w:t xml:space="preserve"> DE 1988</w:t>
      </w:r>
      <w:r>
        <w:t xml:space="preserve"> .............................................................................</w:t>
      </w:r>
      <w:r w:rsidRPr="006A4195">
        <w:t>....</w:t>
      </w:r>
      <w:r>
        <w:t>.. 55</w:t>
      </w:r>
    </w:p>
    <w:p w:rsidR="00D549BC" w:rsidRDefault="00D549BC" w:rsidP="00042C1B">
      <w:pPr>
        <w:pStyle w:val="TOC2"/>
        <w:numPr>
          <w:ilvl w:val="2"/>
          <w:numId w:val="10"/>
        </w:numPr>
        <w:ind w:hanging="240"/>
      </w:pPr>
      <w:r w:rsidRPr="00E6692C">
        <w:t>As (novas) tentativas de solução para a crise</w:t>
      </w:r>
      <w:r>
        <w:rPr>
          <w:b w:val="0"/>
        </w:rPr>
        <w:t xml:space="preserve"> </w:t>
      </w:r>
      <w:r w:rsidRPr="0004412D">
        <w:rPr>
          <w:b w:val="0"/>
        </w:rPr>
        <w:t>...........................</w:t>
      </w:r>
      <w:r>
        <w:rPr>
          <w:b w:val="0"/>
        </w:rPr>
        <w:t>.........</w:t>
      </w:r>
      <w:r>
        <w:t xml:space="preserve"> </w:t>
      </w:r>
      <w:r>
        <w:rPr>
          <w:b w:val="0"/>
        </w:rPr>
        <w:t>56</w:t>
      </w:r>
    </w:p>
    <w:p w:rsidR="00D549BC" w:rsidRDefault="00D549BC" w:rsidP="00042C1B">
      <w:pPr>
        <w:pStyle w:val="TOC2"/>
        <w:numPr>
          <w:ilvl w:val="2"/>
          <w:numId w:val="10"/>
        </w:numPr>
        <w:ind w:hanging="240"/>
      </w:pPr>
      <w:r w:rsidRPr="00E6692C">
        <w:t>A criação do Superior Tribunal de Justiça: considerações gerais</w:t>
      </w:r>
      <w:r>
        <w:rPr>
          <w:b w:val="0"/>
        </w:rPr>
        <w:t xml:space="preserve"> </w:t>
      </w:r>
      <w:r w:rsidRPr="0004412D">
        <w:rPr>
          <w:b w:val="0"/>
        </w:rPr>
        <w:t>..............</w:t>
      </w:r>
      <w:r>
        <w:rPr>
          <w:b w:val="0"/>
        </w:rPr>
        <w:t>...................................................................................................... 57</w:t>
      </w:r>
    </w:p>
    <w:p w:rsidR="00D549BC" w:rsidRDefault="00D549BC" w:rsidP="00654464">
      <w:pPr>
        <w:pStyle w:val="TOC2"/>
        <w:numPr>
          <w:ilvl w:val="3"/>
          <w:numId w:val="10"/>
        </w:numPr>
        <w:ind w:firstLine="327"/>
      </w:pPr>
      <w:r w:rsidRPr="00E528D3">
        <w:rPr>
          <w:b w:val="0"/>
        </w:rPr>
        <w:t>Competência recursal do Superior Tribunal de Justiça</w:t>
      </w:r>
      <w:r>
        <w:rPr>
          <w:b w:val="0"/>
        </w:rPr>
        <w:t xml:space="preserve"> </w:t>
      </w:r>
      <w:r w:rsidRPr="0004412D">
        <w:rPr>
          <w:b w:val="0"/>
        </w:rPr>
        <w:t>...</w:t>
      </w:r>
      <w:r>
        <w:rPr>
          <w:b w:val="0"/>
        </w:rPr>
        <w:t>.......... 60</w:t>
      </w:r>
    </w:p>
    <w:p w:rsidR="00D549BC" w:rsidRPr="00654464" w:rsidRDefault="00D549BC" w:rsidP="00654464">
      <w:pPr>
        <w:pStyle w:val="ListParagraph"/>
        <w:numPr>
          <w:ilvl w:val="3"/>
          <w:numId w:val="10"/>
        </w:numPr>
        <w:ind w:firstLine="327"/>
        <w:rPr>
          <w:rFonts w:ascii="Times New Roman" w:hAnsi="Times New Roman"/>
          <w:sz w:val="24"/>
          <w:szCs w:val="24"/>
          <w:lang w:eastAsia="pt-BR"/>
        </w:rPr>
      </w:pPr>
      <w:r w:rsidRPr="00654464">
        <w:rPr>
          <w:rFonts w:ascii="Times New Roman" w:hAnsi="Times New Roman"/>
          <w:sz w:val="24"/>
          <w:szCs w:val="24"/>
          <w:lang w:eastAsia="pt-BR"/>
        </w:rPr>
        <w:t>A crise chega ao Superior Tribunal de Justiça</w:t>
      </w:r>
      <w:r>
        <w:rPr>
          <w:rFonts w:ascii="Times New Roman" w:hAnsi="Times New Roman"/>
          <w:sz w:val="24"/>
          <w:szCs w:val="24"/>
          <w:lang w:eastAsia="pt-BR"/>
        </w:rPr>
        <w:t xml:space="preserve"> </w:t>
      </w:r>
      <w:r w:rsidRPr="00654464">
        <w:rPr>
          <w:rFonts w:ascii="Times New Roman" w:hAnsi="Times New Roman"/>
          <w:sz w:val="24"/>
          <w:szCs w:val="24"/>
          <w:lang w:eastAsia="pt-BR"/>
        </w:rPr>
        <w:t>.</w:t>
      </w:r>
      <w:r>
        <w:rPr>
          <w:rFonts w:ascii="Times New Roman" w:hAnsi="Times New Roman"/>
          <w:sz w:val="24"/>
          <w:szCs w:val="24"/>
          <w:lang w:eastAsia="pt-BR"/>
        </w:rPr>
        <w:t>.......................... 64</w:t>
      </w:r>
    </w:p>
    <w:p w:rsidR="00D549BC" w:rsidRPr="0074183F" w:rsidRDefault="00D549BC" w:rsidP="00646E35">
      <w:pPr>
        <w:pStyle w:val="TOC3"/>
      </w:pPr>
      <w:r w:rsidRPr="004C246B">
        <w:t xml:space="preserve">A CRISE </w:t>
      </w:r>
      <w:r>
        <w:t xml:space="preserve">NUMÉRICA NO STF </w:t>
      </w:r>
      <w:r w:rsidRPr="004C246B">
        <w:t>E A EMENDA CONSTITUCIONAL N</w:t>
      </w:r>
      <w:r>
        <w:t>º 45 DE 2004: REPERCUSSÃO GERAL E SÚMULA V</w:t>
      </w:r>
      <w:r w:rsidRPr="004C246B">
        <w:t>INCULANTE</w:t>
      </w:r>
      <w:r>
        <w:t xml:space="preserve"> </w:t>
      </w:r>
      <w:r w:rsidRPr="0074183F">
        <w:t>.........................................................</w:t>
      </w:r>
      <w:r>
        <w:t>................................................................ 66</w:t>
      </w:r>
    </w:p>
    <w:p w:rsidR="00D549BC" w:rsidRPr="00942822" w:rsidRDefault="00D549BC" w:rsidP="00361544">
      <w:pPr>
        <w:pStyle w:val="ListParagraph"/>
        <w:numPr>
          <w:ilvl w:val="2"/>
          <w:numId w:val="10"/>
        </w:numPr>
        <w:spacing w:after="240"/>
        <w:ind w:left="2126" w:hanging="567"/>
        <w:contextualSpacing w:val="0"/>
        <w:rPr>
          <w:rFonts w:ascii="Times New Roman" w:hAnsi="Times New Roman"/>
          <w:lang w:eastAsia="pt-BR"/>
        </w:rPr>
      </w:pPr>
      <w:r w:rsidRPr="00A36F5A">
        <w:rPr>
          <w:rFonts w:ascii="Times New Roman" w:hAnsi="Times New Roman"/>
          <w:b/>
          <w:sz w:val="24"/>
          <w:lang w:eastAsia="pt-BR"/>
        </w:rPr>
        <w:t>O múltiplo Supremo: Corte Recursal, Corte Constitucional e Corte Ordinária</w:t>
      </w:r>
      <w:r w:rsidRPr="005F379F">
        <w:rPr>
          <w:rFonts w:ascii="Times New Roman" w:hAnsi="Times New Roman"/>
          <w:sz w:val="24"/>
          <w:lang w:eastAsia="pt-BR"/>
        </w:rPr>
        <w:t>........................................</w:t>
      </w:r>
      <w:r>
        <w:rPr>
          <w:rFonts w:ascii="Times New Roman" w:hAnsi="Times New Roman"/>
          <w:sz w:val="24"/>
          <w:lang w:eastAsia="pt-BR"/>
        </w:rPr>
        <w:t>............................</w:t>
      </w:r>
      <w:r w:rsidRPr="005F379F">
        <w:rPr>
          <w:rFonts w:ascii="Times New Roman" w:hAnsi="Times New Roman"/>
          <w:sz w:val="24"/>
          <w:lang w:eastAsia="pt-BR"/>
        </w:rPr>
        <w:t>..</w:t>
      </w:r>
      <w:r>
        <w:rPr>
          <w:rFonts w:ascii="Times New Roman" w:hAnsi="Times New Roman"/>
          <w:sz w:val="24"/>
          <w:lang w:eastAsia="pt-BR"/>
        </w:rPr>
        <w:t>....................... 67</w:t>
      </w:r>
    </w:p>
    <w:p w:rsidR="00D549BC" w:rsidRDefault="00D549BC" w:rsidP="0001275E">
      <w:pPr>
        <w:pStyle w:val="TOC2"/>
        <w:ind w:left="709" w:hanging="709"/>
      </w:pPr>
      <w:r>
        <w:t>A REPERCUSSÃO GERAL DA QUESTÃO CONSTITUCIONAL E O PLENÁRIO VIRTUAL DA SUPREMA CORTE</w:t>
      </w:r>
      <w:r>
        <w:rPr>
          <w:b w:val="0"/>
        </w:rPr>
        <w:t>....................................................73</w:t>
      </w:r>
      <w:r>
        <w:t xml:space="preserve">   </w:t>
      </w:r>
    </w:p>
    <w:p w:rsidR="00D549BC" w:rsidRDefault="00D549BC" w:rsidP="00646E35">
      <w:pPr>
        <w:pStyle w:val="TOC3"/>
      </w:pPr>
      <w:r w:rsidRPr="00741610">
        <w:t>COMO A</w:t>
      </w:r>
      <w:r>
        <w:t>S</w:t>
      </w:r>
      <w:r w:rsidRPr="00741610">
        <w:t xml:space="preserve"> CORTE</w:t>
      </w:r>
      <w:r>
        <w:t>S SUPERIORES (STF E STJ) VÊ</w:t>
      </w:r>
      <w:r w:rsidRPr="00741610">
        <w:t>M LIDANDO COM O ACÚMULO DE PROCESSOS</w:t>
      </w:r>
      <w:r>
        <w:t xml:space="preserve">: ANÁLISE DA JURISPRUDÊNCIA DEFENSIVA </w:t>
      </w:r>
      <w:r w:rsidRPr="009456D9">
        <w:t>............</w:t>
      </w:r>
      <w:r>
        <w:t>..................................................................</w:t>
      </w:r>
      <w:r w:rsidRPr="009456D9">
        <w:t>....................</w:t>
      </w:r>
      <w:r>
        <w:t xml:space="preserve"> 73</w:t>
      </w:r>
    </w:p>
    <w:p w:rsidR="00D549BC" w:rsidRDefault="00D549BC" w:rsidP="009456D9">
      <w:pPr>
        <w:pStyle w:val="TOC3"/>
        <w:numPr>
          <w:ilvl w:val="2"/>
          <w:numId w:val="10"/>
        </w:numPr>
      </w:pPr>
      <w:r w:rsidRPr="009456D9">
        <w:rPr>
          <w:b/>
        </w:rPr>
        <w:t>A Jurisprudência Defensiva no Supremo Tribunal Federal e no Superior Tribunal de Justiça</w:t>
      </w:r>
      <w:r>
        <w:t xml:space="preserve"> .................................................................. 74</w:t>
      </w:r>
    </w:p>
    <w:p w:rsidR="00D549BC" w:rsidRDefault="00D549BC" w:rsidP="005158D9">
      <w:pPr>
        <w:pStyle w:val="ListParagraph"/>
        <w:numPr>
          <w:ilvl w:val="3"/>
          <w:numId w:val="10"/>
        </w:numPr>
        <w:ind w:firstLine="327"/>
        <w:rPr>
          <w:rFonts w:ascii="Times New Roman" w:hAnsi="Times New Roman"/>
          <w:sz w:val="24"/>
          <w:lang w:eastAsia="pt-BR"/>
        </w:rPr>
      </w:pPr>
      <w:r w:rsidRPr="005158D9">
        <w:rPr>
          <w:rFonts w:ascii="Times New Roman" w:hAnsi="Times New Roman"/>
          <w:sz w:val="24"/>
          <w:lang w:eastAsia="pt-BR"/>
        </w:rPr>
        <w:t>Recursos não assinados</w:t>
      </w:r>
      <w:r>
        <w:rPr>
          <w:rFonts w:ascii="Times New Roman" w:hAnsi="Times New Roman"/>
          <w:sz w:val="24"/>
          <w:lang w:eastAsia="pt-BR"/>
        </w:rPr>
        <w:t xml:space="preserve"> ............................................................. 75</w:t>
      </w:r>
    </w:p>
    <w:p w:rsidR="00D549BC" w:rsidRDefault="00D549BC" w:rsidP="005158D9">
      <w:pPr>
        <w:pStyle w:val="ListParagraph"/>
        <w:numPr>
          <w:ilvl w:val="3"/>
          <w:numId w:val="10"/>
        </w:numPr>
        <w:ind w:firstLine="327"/>
        <w:rPr>
          <w:rFonts w:ascii="Times New Roman" w:hAnsi="Times New Roman"/>
          <w:sz w:val="24"/>
          <w:lang w:eastAsia="pt-BR"/>
        </w:rPr>
      </w:pPr>
      <w:r w:rsidRPr="005158D9">
        <w:rPr>
          <w:rFonts w:ascii="Times New Roman" w:hAnsi="Times New Roman"/>
          <w:sz w:val="24"/>
          <w:lang w:eastAsia="pt-BR"/>
        </w:rPr>
        <w:t>Carimbos</w:t>
      </w:r>
      <w:r>
        <w:rPr>
          <w:rFonts w:ascii="Times New Roman" w:hAnsi="Times New Roman"/>
          <w:sz w:val="24"/>
          <w:lang w:eastAsia="pt-BR"/>
        </w:rPr>
        <w:t xml:space="preserve"> de protocolos</w:t>
      </w:r>
      <w:r w:rsidRPr="005158D9">
        <w:rPr>
          <w:rFonts w:ascii="Times New Roman" w:hAnsi="Times New Roman"/>
          <w:sz w:val="24"/>
          <w:lang w:eastAsia="pt-BR"/>
        </w:rPr>
        <w:t xml:space="preserve"> borrados</w:t>
      </w:r>
      <w:r>
        <w:rPr>
          <w:rFonts w:ascii="Times New Roman" w:hAnsi="Times New Roman"/>
          <w:sz w:val="24"/>
          <w:lang w:eastAsia="pt-BR"/>
        </w:rPr>
        <w:t xml:space="preserve"> ..............................................77</w:t>
      </w:r>
    </w:p>
    <w:p w:rsidR="00D549BC" w:rsidRDefault="00D549BC" w:rsidP="00E350D2">
      <w:pPr>
        <w:pStyle w:val="ListParagraph"/>
        <w:numPr>
          <w:ilvl w:val="3"/>
          <w:numId w:val="10"/>
        </w:numPr>
        <w:ind w:left="2835" w:hanging="708"/>
        <w:rPr>
          <w:rFonts w:ascii="Times New Roman" w:hAnsi="Times New Roman"/>
          <w:sz w:val="24"/>
          <w:lang w:eastAsia="pt-BR"/>
        </w:rPr>
      </w:pPr>
      <w:r>
        <w:rPr>
          <w:rFonts w:ascii="Times New Roman" w:hAnsi="Times New Roman"/>
          <w:sz w:val="24"/>
          <w:lang w:eastAsia="pt-BR"/>
        </w:rPr>
        <w:t>Ausência de comprovação do feriado local ou de suspensão do prazo na origem ........................................................................ 78</w:t>
      </w:r>
    </w:p>
    <w:p w:rsidR="00D549BC" w:rsidRDefault="00D549BC" w:rsidP="005158D9">
      <w:pPr>
        <w:pStyle w:val="ListParagraph"/>
        <w:numPr>
          <w:ilvl w:val="3"/>
          <w:numId w:val="10"/>
        </w:numPr>
        <w:ind w:left="2127" w:firstLine="0"/>
        <w:rPr>
          <w:rFonts w:ascii="Times New Roman" w:hAnsi="Times New Roman"/>
          <w:sz w:val="24"/>
          <w:lang w:eastAsia="pt-BR"/>
        </w:rPr>
      </w:pPr>
      <w:r>
        <w:rPr>
          <w:rFonts w:ascii="Times New Roman" w:hAnsi="Times New Roman"/>
          <w:sz w:val="24"/>
          <w:lang w:eastAsia="pt-BR"/>
        </w:rPr>
        <w:t>Recurso interposto por advogado irregularmente constituído ... 79</w:t>
      </w:r>
    </w:p>
    <w:p w:rsidR="00D549BC" w:rsidRDefault="00D549BC" w:rsidP="00E350D2">
      <w:pPr>
        <w:pStyle w:val="ListParagraph"/>
        <w:numPr>
          <w:ilvl w:val="3"/>
          <w:numId w:val="10"/>
        </w:numPr>
        <w:ind w:left="2835" w:hanging="708"/>
        <w:rPr>
          <w:rFonts w:ascii="Times New Roman" w:hAnsi="Times New Roman"/>
          <w:sz w:val="24"/>
          <w:lang w:eastAsia="pt-BR"/>
        </w:rPr>
      </w:pPr>
      <w:r>
        <w:rPr>
          <w:rFonts w:ascii="Times New Roman" w:hAnsi="Times New Roman"/>
          <w:sz w:val="24"/>
          <w:lang w:eastAsia="pt-BR"/>
        </w:rPr>
        <w:t>Erro no preenchimento da guia de recolhimento das custas judiciárias ................................................................................. 80</w:t>
      </w:r>
    </w:p>
    <w:p w:rsidR="00D549BC" w:rsidRDefault="00D549BC" w:rsidP="00E350D2">
      <w:pPr>
        <w:pStyle w:val="ListParagraph"/>
        <w:numPr>
          <w:ilvl w:val="3"/>
          <w:numId w:val="10"/>
        </w:numPr>
        <w:ind w:left="2835" w:hanging="708"/>
        <w:rPr>
          <w:rFonts w:ascii="Times New Roman" w:hAnsi="Times New Roman"/>
          <w:sz w:val="24"/>
          <w:lang w:eastAsia="pt-BR"/>
        </w:rPr>
      </w:pPr>
      <w:r>
        <w:rPr>
          <w:rFonts w:ascii="Times New Roman" w:hAnsi="Times New Roman"/>
          <w:sz w:val="24"/>
          <w:lang w:eastAsia="pt-BR"/>
        </w:rPr>
        <w:t>Ausência de ratificação de recurso interposto antes do termo inicial ........................................................................................ 81</w:t>
      </w:r>
    </w:p>
    <w:p w:rsidR="00D549BC" w:rsidRDefault="00D549BC" w:rsidP="00E350D2">
      <w:pPr>
        <w:pStyle w:val="ListParagraph"/>
        <w:numPr>
          <w:ilvl w:val="3"/>
          <w:numId w:val="10"/>
        </w:numPr>
        <w:ind w:left="2835" w:hanging="708"/>
        <w:rPr>
          <w:rFonts w:ascii="Times New Roman" w:hAnsi="Times New Roman"/>
          <w:sz w:val="24"/>
          <w:lang w:eastAsia="pt-BR"/>
        </w:rPr>
      </w:pPr>
      <w:r>
        <w:rPr>
          <w:rFonts w:ascii="Times New Roman" w:hAnsi="Times New Roman"/>
          <w:sz w:val="24"/>
          <w:lang w:eastAsia="pt-BR"/>
        </w:rPr>
        <w:t>Impossibilidade de conversão do Recurso Especial em Recurso Extraordinário ........................................................................... 82</w:t>
      </w:r>
    </w:p>
    <w:p w:rsidR="00D549BC" w:rsidRPr="005158D9" w:rsidRDefault="00D549BC" w:rsidP="00E350D2">
      <w:pPr>
        <w:pStyle w:val="ListParagraph"/>
        <w:numPr>
          <w:ilvl w:val="3"/>
          <w:numId w:val="10"/>
        </w:numPr>
        <w:ind w:left="2835" w:hanging="708"/>
        <w:rPr>
          <w:rFonts w:ascii="Times New Roman" w:hAnsi="Times New Roman"/>
          <w:sz w:val="24"/>
          <w:lang w:eastAsia="pt-BR"/>
        </w:rPr>
      </w:pPr>
      <w:r>
        <w:rPr>
          <w:rFonts w:ascii="Times New Roman" w:hAnsi="Times New Roman"/>
          <w:sz w:val="24"/>
          <w:lang w:eastAsia="pt-BR"/>
        </w:rPr>
        <w:t xml:space="preserve"> Embargos de Declaração manejados para fins de Prequestionamento ................................................................... 83</w:t>
      </w:r>
    </w:p>
    <w:p w:rsidR="00D549BC" w:rsidRDefault="00D549BC" w:rsidP="00646E35">
      <w:pPr>
        <w:pStyle w:val="TOC3"/>
      </w:pPr>
      <w:r w:rsidRPr="00741610">
        <w:t>O</w:t>
      </w:r>
      <w:r>
        <w:t xml:space="preserve"> ADVENTO DA R</w:t>
      </w:r>
      <w:r w:rsidRPr="00741610">
        <w:t xml:space="preserve">EPERCUSSÃO </w:t>
      </w:r>
      <w:r>
        <w:t>G</w:t>
      </w:r>
      <w:r w:rsidRPr="00741610">
        <w:t>ERAL</w:t>
      </w:r>
      <w:r>
        <w:t xml:space="preserve"> DA QUESTÃO CONSTITUCIONAL </w:t>
      </w:r>
      <w:r w:rsidRPr="00043238">
        <w:t>.........</w:t>
      </w:r>
      <w:r>
        <w:t>.............................................................</w:t>
      </w:r>
      <w:r w:rsidRPr="00043238">
        <w:t xml:space="preserve">............... </w:t>
      </w:r>
      <w:r>
        <w:t>85</w:t>
      </w:r>
    </w:p>
    <w:p w:rsidR="00D549BC" w:rsidRDefault="00D549BC" w:rsidP="00043238">
      <w:pPr>
        <w:pStyle w:val="TOC3"/>
        <w:numPr>
          <w:ilvl w:val="2"/>
          <w:numId w:val="10"/>
        </w:numPr>
      </w:pPr>
      <w:r w:rsidRPr="00043238">
        <w:rPr>
          <w:b/>
        </w:rPr>
        <w:t>A Repercussão Geral e a Lei 11.418, de 19 de dezembro de 2006</w:t>
      </w:r>
      <w:r>
        <w:t xml:space="preserve"> </w:t>
      </w:r>
      <w:r w:rsidRPr="00FA1986">
        <w:t>...................................</w:t>
      </w:r>
      <w:r>
        <w:t>................................................................................. 86</w:t>
      </w:r>
    </w:p>
    <w:p w:rsidR="00D549BC" w:rsidRDefault="00D549BC" w:rsidP="00043238">
      <w:pPr>
        <w:pStyle w:val="TOC3"/>
        <w:numPr>
          <w:ilvl w:val="3"/>
          <w:numId w:val="10"/>
        </w:numPr>
      </w:pPr>
      <w:r>
        <w:t>Repercussão Geral presumida: art. 543-A, § 3º do CPC ............................ 87</w:t>
      </w:r>
    </w:p>
    <w:p w:rsidR="00D549BC" w:rsidRPr="001348B4" w:rsidRDefault="00D549BC" w:rsidP="001F6EF9">
      <w:pPr>
        <w:pStyle w:val="TOC3"/>
        <w:numPr>
          <w:ilvl w:val="3"/>
          <w:numId w:val="10"/>
        </w:numPr>
      </w:pPr>
      <w:r w:rsidRPr="001348B4">
        <w:t xml:space="preserve">Possibilidade de intervenção do </w:t>
      </w:r>
      <w:r w:rsidRPr="001348B4">
        <w:rPr>
          <w:i/>
        </w:rPr>
        <w:t>Amicus Curiae</w:t>
      </w:r>
      <w:r w:rsidRPr="001348B4">
        <w:t>: art. 543-A, § 6º do CPC</w:t>
      </w:r>
      <w:r>
        <w:t xml:space="preserve"> .................................................................................................................... 91</w:t>
      </w:r>
    </w:p>
    <w:p w:rsidR="00D549BC" w:rsidRPr="00FA1986" w:rsidRDefault="00D549BC" w:rsidP="001F6EF9">
      <w:pPr>
        <w:pStyle w:val="TOC3"/>
        <w:numPr>
          <w:ilvl w:val="2"/>
          <w:numId w:val="10"/>
        </w:numPr>
      </w:pPr>
      <w:r w:rsidRPr="001F6EF9">
        <w:rPr>
          <w:b/>
        </w:rPr>
        <w:t>A Repercussão Geral a partir do Regimento Interno do STF</w:t>
      </w:r>
      <w:r>
        <w:t>............... 94</w:t>
      </w:r>
      <w:r w:rsidRPr="00FA1986">
        <w:t xml:space="preserve"> </w:t>
      </w:r>
    </w:p>
    <w:p w:rsidR="00D549BC" w:rsidRDefault="00D549BC" w:rsidP="001F6EF9">
      <w:pPr>
        <w:pStyle w:val="TOC3"/>
        <w:numPr>
          <w:ilvl w:val="3"/>
          <w:numId w:val="10"/>
        </w:numPr>
      </w:pPr>
      <w:r w:rsidRPr="00FA1986">
        <w:t>A dinâmica do Plenário Virtual</w:t>
      </w:r>
      <w:r>
        <w:t>: considerações gerais ............................... 96</w:t>
      </w:r>
    </w:p>
    <w:p w:rsidR="00D549BC" w:rsidRPr="00FA1986" w:rsidRDefault="00D549BC" w:rsidP="001F6EF9">
      <w:pPr>
        <w:pStyle w:val="TOC3"/>
        <w:numPr>
          <w:ilvl w:val="2"/>
          <w:numId w:val="10"/>
        </w:numPr>
      </w:pPr>
      <w:r w:rsidRPr="001F6EF9">
        <w:rPr>
          <w:b/>
        </w:rPr>
        <w:t>O desvirtuamento da Repercussão Geral</w:t>
      </w:r>
      <w:r>
        <w:t xml:space="preserve"> .............................................</w:t>
      </w:r>
      <w:r w:rsidRPr="00FA1986">
        <w:t xml:space="preserve"> </w:t>
      </w:r>
      <w:r>
        <w:t>101</w:t>
      </w:r>
    </w:p>
    <w:p w:rsidR="00D549BC" w:rsidRDefault="00D549BC" w:rsidP="00646E35">
      <w:pPr>
        <w:pStyle w:val="TOC3"/>
      </w:pPr>
      <w:r w:rsidRPr="0070182C">
        <w:t>A PAUTA INSTITUCIONAL DO SUPREMO TRIBUNAL FEDERAL EM 2014: RACIONALIZAÇÃO DOS TRABALHOS</w:t>
      </w:r>
      <w:r>
        <w:rPr>
          <w:b/>
        </w:rPr>
        <w:t xml:space="preserve"> </w:t>
      </w:r>
      <w:r w:rsidRPr="001F6EF9">
        <w:t>.............................................................................</w:t>
      </w:r>
      <w:r>
        <w:t>.......................................... 106</w:t>
      </w:r>
    </w:p>
    <w:p w:rsidR="00D549BC" w:rsidRDefault="00D549BC" w:rsidP="00066872">
      <w:pPr>
        <w:pStyle w:val="ListParagraph"/>
        <w:numPr>
          <w:ilvl w:val="2"/>
          <w:numId w:val="10"/>
        </w:numPr>
        <w:ind w:hanging="240"/>
        <w:rPr>
          <w:rFonts w:ascii="Times New Roman" w:hAnsi="Times New Roman"/>
          <w:sz w:val="24"/>
          <w:szCs w:val="24"/>
          <w:lang w:eastAsia="pt-BR"/>
        </w:rPr>
      </w:pPr>
      <w:r w:rsidRPr="001F6EF9">
        <w:rPr>
          <w:rFonts w:ascii="Times New Roman" w:hAnsi="Times New Roman"/>
          <w:b/>
          <w:sz w:val="24"/>
          <w:szCs w:val="24"/>
          <w:lang w:eastAsia="pt-BR"/>
        </w:rPr>
        <w:t>O que seria uma pauta institucional?</w:t>
      </w:r>
      <w:r>
        <w:rPr>
          <w:rFonts w:ascii="Times New Roman" w:hAnsi="Times New Roman"/>
          <w:sz w:val="24"/>
          <w:szCs w:val="24"/>
          <w:lang w:eastAsia="pt-BR"/>
        </w:rPr>
        <w:t xml:space="preserve"> ............................................. 106</w:t>
      </w:r>
    </w:p>
    <w:p w:rsidR="00D549BC" w:rsidRDefault="00D549BC" w:rsidP="00066872">
      <w:pPr>
        <w:pStyle w:val="ListParagraph"/>
        <w:numPr>
          <w:ilvl w:val="2"/>
          <w:numId w:val="10"/>
        </w:numPr>
        <w:ind w:hanging="240"/>
        <w:rPr>
          <w:rFonts w:ascii="Times New Roman" w:hAnsi="Times New Roman"/>
          <w:sz w:val="24"/>
          <w:szCs w:val="24"/>
          <w:lang w:eastAsia="pt-BR"/>
        </w:rPr>
      </w:pPr>
      <w:r w:rsidRPr="001F6EF9">
        <w:rPr>
          <w:rFonts w:ascii="Times New Roman" w:hAnsi="Times New Roman"/>
          <w:b/>
          <w:sz w:val="24"/>
          <w:szCs w:val="24"/>
          <w:lang w:eastAsia="pt-BR"/>
        </w:rPr>
        <w:t>O Ministro Luís Roberto Barroso: arquiteto institucional?</w:t>
      </w:r>
      <w:r>
        <w:rPr>
          <w:rFonts w:ascii="Times New Roman" w:hAnsi="Times New Roman"/>
          <w:sz w:val="24"/>
          <w:szCs w:val="24"/>
          <w:lang w:eastAsia="pt-BR"/>
        </w:rPr>
        <w:t xml:space="preserve"> .......... 107</w:t>
      </w:r>
    </w:p>
    <w:p w:rsidR="00D549BC" w:rsidRDefault="00D549BC" w:rsidP="0076750B">
      <w:pPr>
        <w:pStyle w:val="ListParagraph"/>
        <w:numPr>
          <w:ilvl w:val="2"/>
          <w:numId w:val="10"/>
        </w:numPr>
        <w:ind w:left="1560" w:firstLine="0"/>
        <w:rPr>
          <w:rFonts w:ascii="Times New Roman" w:hAnsi="Times New Roman"/>
          <w:sz w:val="24"/>
          <w:szCs w:val="24"/>
          <w:lang w:eastAsia="pt-BR"/>
        </w:rPr>
      </w:pPr>
      <w:r w:rsidRPr="008F2E69">
        <w:rPr>
          <w:rFonts w:ascii="Times New Roman" w:hAnsi="Times New Roman"/>
          <w:b/>
          <w:sz w:val="24"/>
          <w:szCs w:val="24"/>
          <w:lang w:eastAsia="pt-BR"/>
        </w:rPr>
        <w:t>O que foi concretizado em 2014, e o que esperar para os próximos anos?</w:t>
      </w:r>
      <w:r>
        <w:rPr>
          <w:rFonts w:ascii="Times New Roman" w:hAnsi="Times New Roman"/>
          <w:sz w:val="24"/>
          <w:szCs w:val="24"/>
          <w:lang w:eastAsia="pt-BR"/>
        </w:rPr>
        <w:t xml:space="preserve">............................................................................................................ 111     </w:t>
      </w:r>
    </w:p>
    <w:p w:rsidR="00D549BC" w:rsidRDefault="00D549BC" w:rsidP="00672B71">
      <w:pPr>
        <w:pStyle w:val="ListParagraph"/>
        <w:numPr>
          <w:ilvl w:val="3"/>
          <w:numId w:val="10"/>
        </w:numPr>
        <w:ind w:left="2126" w:firstLine="0"/>
        <w:rPr>
          <w:rFonts w:ascii="Times New Roman" w:hAnsi="Times New Roman"/>
          <w:sz w:val="24"/>
          <w:szCs w:val="24"/>
          <w:lang w:eastAsia="pt-BR"/>
        </w:rPr>
      </w:pPr>
      <w:r>
        <w:rPr>
          <w:rFonts w:ascii="Times New Roman" w:hAnsi="Times New Roman"/>
          <w:sz w:val="24"/>
          <w:szCs w:val="24"/>
          <w:lang w:eastAsia="pt-BR"/>
        </w:rPr>
        <w:t>Mudanças nas competências do Plenário: aprovação da Emenda Regimental nº 49, de 3 de junho de 2014 ............................................. 112</w:t>
      </w:r>
    </w:p>
    <w:p w:rsidR="00D549BC" w:rsidRDefault="00D549BC" w:rsidP="00672B71">
      <w:pPr>
        <w:pStyle w:val="ListParagraph"/>
        <w:numPr>
          <w:ilvl w:val="3"/>
          <w:numId w:val="10"/>
        </w:numPr>
        <w:ind w:left="2126" w:firstLine="0"/>
        <w:rPr>
          <w:rFonts w:ascii="Times New Roman" w:hAnsi="Times New Roman"/>
          <w:sz w:val="24"/>
          <w:szCs w:val="24"/>
          <w:lang w:eastAsia="pt-BR"/>
        </w:rPr>
      </w:pPr>
      <w:r>
        <w:rPr>
          <w:rFonts w:ascii="Times New Roman" w:hAnsi="Times New Roman"/>
          <w:sz w:val="24"/>
          <w:szCs w:val="24"/>
          <w:lang w:eastAsia="pt-BR"/>
        </w:rPr>
        <w:t>Priorização no julgamento das Repercussões Gerais: mérito pendente ............................................................................................. 114</w:t>
      </w:r>
    </w:p>
    <w:p w:rsidR="00D549BC" w:rsidRDefault="00D549BC" w:rsidP="00672B71">
      <w:pPr>
        <w:pStyle w:val="ListParagraph"/>
        <w:numPr>
          <w:ilvl w:val="3"/>
          <w:numId w:val="10"/>
        </w:numPr>
        <w:ind w:left="2126" w:firstLine="0"/>
        <w:rPr>
          <w:rFonts w:ascii="Times New Roman" w:hAnsi="Times New Roman"/>
          <w:sz w:val="24"/>
          <w:szCs w:val="24"/>
          <w:lang w:eastAsia="pt-BR"/>
        </w:rPr>
      </w:pPr>
      <w:r>
        <w:rPr>
          <w:rFonts w:ascii="Times New Roman" w:hAnsi="Times New Roman"/>
          <w:sz w:val="24"/>
          <w:szCs w:val="24"/>
          <w:lang w:eastAsia="pt-BR"/>
        </w:rPr>
        <w:t>Distribuição de processos pendentes e publicação de acórdãos: a força-tarefa montada pelo Ministro Ricardo Lewandowski ................ 117</w:t>
      </w:r>
    </w:p>
    <w:p w:rsidR="00D549BC" w:rsidRDefault="00D549BC" w:rsidP="00672B71">
      <w:pPr>
        <w:pStyle w:val="ListParagraph"/>
        <w:numPr>
          <w:ilvl w:val="3"/>
          <w:numId w:val="10"/>
        </w:numPr>
        <w:ind w:left="2126" w:firstLine="0"/>
        <w:rPr>
          <w:rFonts w:ascii="Times New Roman" w:hAnsi="Times New Roman"/>
          <w:sz w:val="24"/>
          <w:szCs w:val="24"/>
          <w:lang w:eastAsia="pt-BR"/>
        </w:rPr>
      </w:pPr>
      <w:r>
        <w:rPr>
          <w:rFonts w:ascii="Times New Roman" w:hAnsi="Times New Roman"/>
          <w:sz w:val="24"/>
          <w:szCs w:val="24"/>
          <w:lang w:eastAsia="pt-BR"/>
        </w:rPr>
        <w:t>Desafogamento do Plenário .................................................... 119</w:t>
      </w:r>
    </w:p>
    <w:p w:rsidR="00D549BC" w:rsidRPr="00F948B4" w:rsidRDefault="00D549BC" w:rsidP="00672B71">
      <w:pPr>
        <w:pStyle w:val="ListParagraph"/>
        <w:numPr>
          <w:ilvl w:val="3"/>
          <w:numId w:val="10"/>
        </w:numPr>
        <w:ind w:left="2126" w:firstLine="0"/>
        <w:rPr>
          <w:rFonts w:ascii="Times New Roman" w:hAnsi="Times New Roman"/>
          <w:sz w:val="24"/>
          <w:szCs w:val="24"/>
          <w:lang w:eastAsia="pt-BR"/>
        </w:rPr>
      </w:pPr>
      <w:r>
        <w:rPr>
          <w:rFonts w:ascii="Times New Roman" w:hAnsi="Times New Roman"/>
          <w:sz w:val="24"/>
          <w:szCs w:val="24"/>
          <w:lang w:eastAsia="pt-BR"/>
        </w:rPr>
        <w:t xml:space="preserve">Aprovação de novas Súmulas Vinculantes ............................. 119 </w:t>
      </w:r>
    </w:p>
    <w:p w:rsidR="00D549BC" w:rsidRDefault="00D549BC" w:rsidP="00F12CDD">
      <w:pPr>
        <w:pStyle w:val="TOC2"/>
        <w:ind w:left="709" w:hanging="709"/>
      </w:pPr>
      <w:r w:rsidRPr="005A5884">
        <w:t>CONCLUSÃO</w:t>
      </w:r>
      <w:r>
        <w:t xml:space="preserve"> </w:t>
      </w:r>
      <w:r w:rsidRPr="00F12CDD">
        <w:rPr>
          <w:b w:val="0"/>
        </w:rPr>
        <w:t>.........................................................................................</w:t>
      </w:r>
      <w:r>
        <w:rPr>
          <w:b w:val="0"/>
        </w:rPr>
        <w:t>................. 123</w:t>
      </w:r>
    </w:p>
    <w:p w:rsidR="00D549BC" w:rsidRDefault="00D549BC" w:rsidP="003A3853">
      <w:pPr>
        <w:pStyle w:val="TOC2"/>
        <w:ind w:left="709" w:hanging="709"/>
        <w:rPr>
          <w:b w:val="0"/>
        </w:rPr>
      </w:pPr>
      <w:r w:rsidRPr="005A5884">
        <w:t>REFERÊNCIAS</w:t>
      </w:r>
      <w:r>
        <w:t xml:space="preserve"> </w:t>
      </w:r>
      <w:r w:rsidRPr="00F12CDD">
        <w:rPr>
          <w:b w:val="0"/>
        </w:rPr>
        <w:t>.................................................................................................</w:t>
      </w:r>
      <w:r>
        <w:rPr>
          <w:b w:val="0"/>
        </w:rPr>
        <w:t>...... 135</w:t>
      </w:r>
    </w:p>
    <w:p w:rsidR="00D549BC" w:rsidRPr="003A3853" w:rsidRDefault="00D549BC" w:rsidP="00F12CDD">
      <w:pPr>
        <w:pStyle w:val="TOC2"/>
        <w:ind w:left="709" w:hanging="709"/>
        <w:rPr>
          <w:b w:val="0"/>
        </w:rPr>
      </w:pPr>
      <w:r>
        <w:t xml:space="preserve">ANEXOS </w:t>
      </w:r>
      <w:r>
        <w:rPr>
          <w:b w:val="0"/>
        </w:rPr>
        <w:t>................................................................................................................... 144</w:t>
      </w:r>
    </w:p>
    <w:p w:rsidR="00D549BC" w:rsidRPr="003A3853" w:rsidRDefault="00D549BC" w:rsidP="003A3853">
      <w:pPr>
        <w:ind w:firstLine="0"/>
        <w:rPr>
          <w:lang w:eastAsia="pt-BR"/>
        </w:rPr>
      </w:pPr>
    </w:p>
    <w:p w:rsidR="00D549BC" w:rsidRDefault="00D549BC" w:rsidP="002971FD"/>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pPr>
    </w:p>
    <w:p w:rsidR="00D549BC" w:rsidRDefault="00D549BC" w:rsidP="007E25D5">
      <w:pPr>
        <w:ind w:firstLine="0"/>
        <w:rPr>
          <w:rFonts w:ascii="Times New Roman" w:hAnsi="Times New Roman"/>
          <w:b/>
          <w:sz w:val="24"/>
        </w:rPr>
        <w:sectPr w:rsidR="00D549BC" w:rsidSect="00722F09">
          <w:headerReference w:type="default" r:id="rId12"/>
          <w:footnotePr>
            <w:numRestart w:val="eachSect"/>
          </w:footnotePr>
          <w:pgSz w:w="11906" w:h="16838" w:code="9"/>
          <w:pgMar w:top="1701" w:right="1134" w:bottom="1134" w:left="1701" w:header="709" w:footer="709" w:gutter="0"/>
          <w:cols w:space="708"/>
          <w:docGrid w:linePitch="360"/>
        </w:sectPr>
      </w:pPr>
    </w:p>
    <w:p w:rsidR="00D549BC" w:rsidRPr="00846EE0" w:rsidRDefault="00D549BC" w:rsidP="007E25D5">
      <w:pPr>
        <w:ind w:firstLine="0"/>
        <w:rPr>
          <w:rFonts w:ascii="Times New Roman" w:hAnsi="Times New Roman"/>
          <w:b/>
          <w:sz w:val="24"/>
        </w:rPr>
      </w:pPr>
      <w:r w:rsidRPr="00846EE0">
        <w:rPr>
          <w:rFonts w:ascii="Times New Roman" w:hAnsi="Times New Roman"/>
          <w:b/>
          <w:sz w:val="24"/>
        </w:rPr>
        <w:t>1</w:t>
      </w:r>
      <w:r>
        <w:rPr>
          <w:rFonts w:ascii="Times New Roman" w:hAnsi="Times New Roman"/>
          <w:b/>
          <w:sz w:val="24"/>
        </w:rPr>
        <w:t xml:space="preserve"> </w:t>
      </w:r>
      <w:r w:rsidRPr="00846EE0">
        <w:rPr>
          <w:rFonts w:ascii="Times New Roman" w:hAnsi="Times New Roman"/>
          <w:b/>
          <w:sz w:val="24"/>
        </w:rPr>
        <w:t>INTRODUÇÃO</w:t>
      </w:r>
    </w:p>
    <w:p w:rsidR="00D549BC" w:rsidRPr="00E8634C" w:rsidRDefault="00D549BC" w:rsidP="007E25D5">
      <w:pPr>
        <w:ind w:firstLine="0"/>
        <w:contextualSpacing/>
        <w:rPr>
          <w:rFonts w:ascii="Times New Roman" w:hAnsi="Times New Roman"/>
          <w:b/>
          <w:sz w:val="24"/>
        </w:rPr>
      </w:pPr>
    </w:p>
    <w:p w:rsidR="00D549BC" w:rsidRDefault="00D549BC" w:rsidP="00FB5DB0">
      <w:pPr>
        <w:contextualSpacing/>
        <w:rPr>
          <w:rFonts w:ascii="Times New Roman" w:hAnsi="Times New Roman"/>
          <w:sz w:val="24"/>
        </w:rPr>
      </w:pPr>
      <w:r w:rsidRPr="004812FD">
        <w:rPr>
          <w:rFonts w:ascii="Times New Roman" w:hAnsi="Times New Roman"/>
          <w:sz w:val="24"/>
        </w:rPr>
        <w:t xml:space="preserve">O </w:t>
      </w:r>
      <w:r>
        <w:rPr>
          <w:rFonts w:ascii="Times New Roman" w:hAnsi="Times New Roman"/>
          <w:sz w:val="24"/>
        </w:rPr>
        <w:t xml:space="preserve">presente </w:t>
      </w:r>
      <w:r w:rsidRPr="004812FD">
        <w:rPr>
          <w:rFonts w:ascii="Times New Roman" w:hAnsi="Times New Roman"/>
          <w:sz w:val="24"/>
        </w:rPr>
        <w:t>trab</w:t>
      </w:r>
      <w:r>
        <w:rPr>
          <w:rFonts w:ascii="Times New Roman" w:hAnsi="Times New Roman"/>
          <w:sz w:val="24"/>
        </w:rPr>
        <w:t xml:space="preserve">alho de dissertação tem como foco investigar as supostas crises funcionais enfrentadas pelo Supremo Tribunal Federal em virtude, principalmente, de dois fatores a serem examinados ao longo da pesquisa: (i) o excesso de feitos que chegam à Corte Suprema, em sua maioria, os da classe recursal; e (ii) o extenso número de competências previsto nos textos constitucionais a partir do advento da República. </w:t>
      </w:r>
    </w:p>
    <w:p w:rsidR="00D549BC" w:rsidRDefault="00D549BC" w:rsidP="00123138">
      <w:pPr>
        <w:contextualSpacing/>
        <w:rPr>
          <w:rFonts w:ascii="Times New Roman" w:hAnsi="Times New Roman"/>
          <w:sz w:val="24"/>
        </w:rPr>
      </w:pPr>
      <w:r>
        <w:rPr>
          <w:rFonts w:ascii="Times New Roman" w:hAnsi="Times New Roman"/>
          <w:sz w:val="24"/>
        </w:rPr>
        <w:t>A crise de funcionalidade, que há muito atinge o órgão de cúpula do Judiciário brasileiro, acabaria por inviabilizar, de certa forma, a devida prestação jurisdicional, que, atualmente, decorre do princípio constitucional da razoável duração do processo, inserido pela Emenda Constitucional nº 45 de 2004 no rol de Direitos e Garantias Fundamentais da Constituição de 1988 (CR, artigo 5º, LXXVIII). Tal problemática não é fato recente, ao contrário, conforme ficará evidenciado, faz parte da história institucional do Supremo Tribunal Federal.</w:t>
      </w:r>
      <w:r>
        <w:rPr>
          <w:rStyle w:val="FootnoteReference"/>
          <w:rFonts w:ascii="Times New Roman" w:hAnsi="Times New Roman"/>
          <w:sz w:val="24"/>
        </w:rPr>
        <w:footnoteReference w:id="2"/>
      </w:r>
      <w:r>
        <w:rPr>
          <w:rFonts w:ascii="Times New Roman" w:hAnsi="Times New Roman"/>
          <w:sz w:val="24"/>
        </w:rPr>
        <w:t xml:space="preserve"> </w:t>
      </w:r>
    </w:p>
    <w:p w:rsidR="00D549BC" w:rsidRDefault="00D549BC" w:rsidP="00092ED1">
      <w:pPr>
        <w:contextualSpacing/>
        <w:rPr>
          <w:rFonts w:ascii="Times New Roman" w:hAnsi="Times New Roman"/>
          <w:sz w:val="24"/>
        </w:rPr>
      </w:pPr>
      <w:r>
        <w:rPr>
          <w:rFonts w:ascii="Times New Roman" w:hAnsi="Times New Roman"/>
          <w:sz w:val="24"/>
        </w:rPr>
        <w:t xml:space="preserve">É claro que existe uma ampla gama de causas que podem ser responsabilizadas por esse excesso de demandas que chegam ao Supremo, </w:t>
      </w:r>
      <w:r w:rsidRPr="0087014B">
        <w:rPr>
          <w:rFonts w:ascii="Times New Roman" w:hAnsi="Times New Roman"/>
          <w:i/>
          <w:sz w:val="24"/>
        </w:rPr>
        <w:t>v</w:t>
      </w:r>
      <w:r>
        <w:rPr>
          <w:rFonts w:ascii="Times New Roman" w:hAnsi="Times New Roman"/>
          <w:sz w:val="24"/>
        </w:rPr>
        <w:t xml:space="preserve">. </w:t>
      </w:r>
      <w:r w:rsidRPr="0087014B">
        <w:rPr>
          <w:rFonts w:ascii="Times New Roman" w:hAnsi="Times New Roman"/>
          <w:i/>
          <w:sz w:val="24"/>
        </w:rPr>
        <w:t>g</w:t>
      </w:r>
      <w:r>
        <w:rPr>
          <w:rFonts w:ascii="Times New Roman" w:hAnsi="Times New Roman"/>
          <w:sz w:val="24"/>
        </w:rPr>
        <w:t xml:space="preserve">., as competências previstas na Constituição, as falhas na legislação processual civil, o número de Ministros do Tribunal etc. Todavia, não objetivamos analisar detalhadamente todas essas supostas razões para o problema de congestionamento da pauta do STF, sendo necessário, portanto, fazermos um corte metodológico. </w:t>
      </w:r>
    </w:p>
    <w:p w:rsidR="00D549BC" w:rsidRDefault="00D549BC" w:rsidP="00CD4AC5">
      <w:pPr>
        <w:contextualSpacing/>
        <w:rPr>
          <w:rFonts w:ascii="Times New Roman" w:hAnsi="Times New Roman"/>
          <w:sz w:val="24"/>
        </w:rPr>
      </w:pPr>
      <w:r>
        <w:rPr>
          <w:rFonts w:ascii="Times New Roman" w:hAnsi="Times New Roman"/>
          <w:sz w:val="24"/>
        </w:rPr>
        <w:t xml:space="preserve">Nesse sentido, torna-se imprescindível, para fins metodológicos da pesquisa, delimitarmos o tema escolhido para evitarmos esforços desnecessários, bem como a produção de resultados enciclopédicos que não se coadunam com os propósitos de uma dissertação de mestrado. Tendo essa preocupação em mente, passamos a delimitar o tema. O tópico selecionado foi </w:t>
      </w:r>
      <w:r>
        <w:rPr>
          <w:rFonts w:ascii="Times New Roman" w:hAnsi="Times New Roman"/>
          <w:i/>
          <w:sz w:val="24"/>
        </w:rPr>
        <w:t xml:space="preserve">A </w:t>
      </w:r>
      <w:r w:rsidRPr="00D50D8E">
        <w:rPr>
          <w:rFonts w:ascii="Times New Roman" w:hAnsi="Times New Roman"/>
          <w:i/>
          <w:sz w:val="24"/>
        </w:rPr>
        <w:t>Crise</w:t>
      </w:r>
      <w:r>
        <w:rPr>
          <w:rFonts w:ascii="Times New Roman" w:hAnsi="Times New Roman"/>
          <w:i/>
          <w:sz w:val="24"/>
        </w:rPr>
        <w:t xml:space="preserve"> do </w:t>
      </w:r>
      <w:r w:rsidRPr="00D50D8E">
        <w:rPr>
          <w:rFonts w:ascii="Times New Roman" w:hAnsi="Times New Roman"/>
          <w:i/>
          <w:sz w:val="24"/>
        </w:rPr>
        <w:t>Recurso Extraordinário</w:t>
      </w:r>
      <w:r w:rsidRPr="00AF6136">
        <w:rPr>
          <w:rFonts w:ascii="Times New Roman" w:hAnsi="Times New Roman"/>
          <w:i/>
          <w:sz w:val="24"/>
        </w:rPr>
        <w:t xml:space="preserve"> </w:t>
      </w:r>
      <w:r w:rsidRPr="00D50D8E">
        <w:rPr>
          <w:rFonts w:ascii="Times New Roman" w:hAnsi="Times New Roman"/>
          <w:i/>
          <w:sz w:val="24"/>
        </w:rPr>
        <w:t>no Supremo Tribunal Federal</w:t>
      </w:r>
      <w:r>
        <w:rPr>
          <w:rFonts w:ascii="Times New Roman" w:hAnsi="Times New Roman"/>
          <w:sz w:val="24"/>
        </w:rPr>
        <w:t>:</w:t>
      </w:r>
      <w:r>
        <w:rPr>
          <w:rFonts w:ascii="Times New Roman" w:hAnsi="Times New Roman"/>
          <w:i/>
          <w:sz w:val="24"/>
        </w:rPr>
        <w:t xml:space="preserve"> </w:t>
      </w:r>
      <w:r w:rsidRPr="00D50D8E">
        <w:rPr>
          <w:rFonts w:ascii="Times New Roman" w:hAnsi="Times New Roman"/>
          <w:i/>
          <w:sz w:val="24"/>
        </w:rPr>
        <w:t>passado, presente e futuro</w:t>
      </w:r>
      <w:r>
        <w:rPr>
          <w:rFonts w:ascii="Times New Roman" w:hAnsi="Times New Roman"/>
          <w:sz w:val="24"/>
        </w:rPr>
        <w:t xml:space="preserve">. </w:t>
      </w:r>
    </w:p>
    <w:p w:rsidR="00D549BC" w:rsidRDefault="00D549BC" w:rsidP="00FB25E8">
      <w:pPr>
        <w:contextualSpacing/>
        <w:rPr>
          <w:rFonts w:ascii="Times New Roman" w:hAnsi="Times New Roman"/>
          <w:sz w:val="24"/>
        </w:rPr>
      </w:pPr>
      <w:r>
        <w:rPr>
          <w:rFonts w:ascii="Times New Roman" w:hAnsi="Times New Roman"/>
          <w:sz w:val="24"/>
        </w:rPr>
        <w:t>Com isso, pretendemos investigar o seguinte objeto:</w:t>
      </w:r>
      <w:r>
        <w:rPr>
          <w:rStyle w:val="FootnoteReference"/>
          <w:rFonts w:ascii="Times New Roman" w:hAnsi="Times New Roman"/>
          <w:sz w:val="24"/>
        </w:rPr>
        <w:footnoteReference w:id="3"/>
      </w:r>
      <w:r>
        <w:rPr>
          <w:rFonts w:ascii="Times New Roman" w:hAnsi="Times New Roman"/>
          <w:sz w:val="24"/>
        </w:rPr>
        <w:t xml:space="preserve"> as supostas crises funcionais no Supremo Tribunal Federal, a partir do advento do Recurso Extraordinário, como principal via de acesso das partes à Corte, assim como as soluções que foram pensadas e concretizadas a fim de debelar os momentos de instabilidade funcional. </w:t>
      </w:r>
    </w:p>
    <w:p w:rsidR="00D549BC" w:rsidRDefault="00D549BC" w:rsidP="00FB25E8">
      <w:pPr>
        <w:contextualSpacing/>
        <w:rPr>
          <w:rFonts w:ascii="Times New Roman" w:hAnsi="Times New Roman"/>
          <w:sz w:val="24"/>
        </w:rPr>
      </w:pPr>
      <w:r>
        <w:rPr>
          <w:rFonts w:ascii="Times New Roman" w:hAnsi="Times New Roman"/>
          <w:sz w:val="24"/>
        </w:rPr>
        <w:t xml:space="preserve">Em síntese, a presente pesquisa se preocupa com: (i) a instituição Supremo Tribunal Federal; (ii) o surgimento do Recurso Extraordinário; (iii) os momentos de crise na história da Corte; por fim, (iv) os meios de solução pensados e suas consequências na Jurisdição Constitucional brasileira. </w:t>
      </w:r>
    </w:p>
    <w:p w:rsidR="00D549BC" w:rsidRDefault="00D549BC" w:rsidP="00CD4AC5">
      <w:pPr>
        <w:contextualSpacing/>
        <w:rPr>
          <w:rFonts w:ascii="Times New Roman" w:hAnsi="Times New Roman"/>
          <w:sz w:val="24"/>
        </w:rPr>
      </w:pPr>
      <w:r>
        <w:rPr>
          <w:rFonts w:ascii="Times New Roman" w:hAnsi="Times New Roman"/>
          <w:sz w:val="24"/>
        </w:rPr>
        <w:t>A problematização do tema em questão mostra-se, igualmente, essencial para melhor direcionarmos a pesquisa, assim como a coleta de dados. Busca-se, portanto, a partir da formulação de problemas, evitar prejuízos para a eficiência do trabalho.</w:t>
      </w:r>
      <w:r>
        <w:rPr>
          <w:rStyle w:val="FootnoteReference"/>
          <w:rFonts w:ascii="Times New Roman" w:hAnsi="Times New Roman"/>
          <w:sz w:val="24"/>
        </w:rPr>
        <w:footnoteReference w:id="4"/>
      </w:r>
      <w:r>
        <w:rPr>
          <w:rFonts w:ascii="Times New Roman" w:hAnsi="Times New Roman"/>
          <w:sz w:val="24"/>
        </w:rPr>
        <w:t xml:space="preserve"> Por conseguinte, foram formulados os seguintes problemas, referentes ao desenvolvimento do tema: (i) A crise que estamos a tratar seria institucional ou funcional</w:t>
      </w:r>
      <w:r w:rsidRPr="001B566A">
        <w:rPr>
          <w:rFonts w:ascii="Times New Roman" w:hAnsi="Times New Roman"/>
          <w:sz w:val="24"/>
        </w:rPr>
        <w:t>?</w:t>
      </w:r>
      <w:r>
        <w:rPr>
          <w:rFonts w:ascii="Times New Roman" w:hAnsi="Times New Roman"/>
          <w:sz w:val="24"/>
        </w:rPr>
        <w:t xml:space="preserve"> (ii) O Recurso Extraordinário foi, incialmente, o principal responsável pela sobrecarga de trabalhos no Tribunal</w:t>
      </w:r>
      <w:r w:rsidRPr="001B566A">
        <w:rPr>
          <w:rFonts w:ascii="Times New Roman" w:hAnsi="Times New Roman"/>
          <w:sz w:val="24"/>
        </w:rPr>
        <w:t>?</w:t>
      </w:r>
      <w:r>
        <w:rPr>
          <w:rFonts w:ascii="Times New Roman" w:hAnsi="Times New Roman"/>
          <w:sz w:val="24"/>
        </w:rPr>
        <w:t xml:space="preserve"> (iii) Quais </w:t>
      </w:r>
      <w:r w:rsidRPr="001B566A">
        <w:rPr>
          <w:rFonts w:ascii="Times New Roman" w:hAnsi="Times New Roman"/>
          <w:sz w:val="24"/>
        </w:rPr>
        <w:t xml:space="preserve">soluções </w:t>
      </w:r>
      <w:r>
        <w:rPr>
          <w:rFonts w:ascii="Times New Roman" w:hAnsi="Times New Roman"/>
          <w:sz w:val="24"/>
        </w:rPr>
        <w:t xml:space="preserve">foram </w:t>
      </w:r>
      <w:r w:rsidRPr="001B566A">
        <w:rPr>
          <w:rFonts w:ascii="Times New Roman" w:hAnsi="Times New Roman"/>
          <w:sz w:val="24"/>
        </w:rPr>
        <w:t>to</w:t>
      </w:r>
      <w:r>
        <w:rPr>
          <w:rFonts w:ascii="Times New Roman" w:hAnsi="Times New Roman"/>
          <w:sz w:val="24"/>
        </w:rPr>
        <w:t>madas no intuito de superar os momentos de crise? Elas</w:t>
      </w:r>
      <w:r w:rsidRPr="001B566A">
        <w:rPr>
          <w:rFonts w:ascii="Times New Roman" w:hAnsi="Times New Roman"/>
          <w:sz w:val="24"/>
        </w:rPr>
        <w:t xml:space="preserve"> produz</w:t>
      </w:r>
      <w:r>
        <w:rPr>
          <w:rFonts w:ascii="Times New Roman" w:hAnsi="Times New Roman"/>
          <w:sz w:val="24"/>
        </w:rPr>
        <w:t>iram o resultado esperado</w:t>
      </w:r>
      <w:r w:rsidRPr="001B566A">
        <w:rPr>
          <w:rFonts w:ascii="Times New Roman" w:hAnsi="Times New Roman"/>
          <w:sz w:val="24"/>
        </w:rPr>
        <w:t>?</w:t>
      </w:r>
      <w:r>
        <w:rPr>
          <w:rFonts w:ascii="Times New Roman" w:hAnsi="Times New Roman"/>
          <w:sz w:val="24"/>
        </w:rPr>
        <w:t xml:space="preserve"> (iv) O</w:t>
      </w:r>
      <w:r w:rsidRPr="001B566A">
        <w:rPr>
          <w:rFonts w:ascii="Times New Roman" w:hAnsi="Times New Roman"/>
          <w:sz w:val="24"/>
        </w:rPr>
        <w:t xml:space="preserve"> instituto da Repercussão Geral</w:t>
      </w:r>
      <w:r>
        <w:rPr>
          <w:rFonts w:ascii="Times New Roman" w:hAnsi="Times New Roman"/>
          <w:sz w:val="24"/>
        </w:rPr>
        <w:t xml:space="preserve"> da Questão Constitucional,</w:t>
      </w:r>
      <w:r w:rsidRPr="001B566A">
        <w:rPr>
          <w:rFonts w:ascii="Times New Roman" w:hAnsi="Times New Roman"/>
          <w:sz w:val="24"/>
        </w:rPr>
        <w:t xml:space="preserve"> surgido com a EC </w:t>
      </w:r>
      <w:r>
        <w:rPr>
          <w:rFonts w:ascii="Times New Roman" w:hAnsi="Times New Roman"/>
          <w:sz w:val="24"/>
        </w:rPr>
        <w:t>nº 45 de 20</w:t>
      </w:r>
      <w:r w:rsidRPr="001B566A">
        <w:rPr>
          <w:rFonts w:ascii="Times New Roman" w:hAnsi="Times New Roman"/>
          <w:sz w:val="24"/>
        </w:rPr>
        <w:t>04, atingiu seu desiderato?</w:t>
      </w:r>
      <w:r>
        <w:rPr>
          <w:rFonts w:ascii="Times New Roman" w:hAnsi="Times New Roman"/>
          <w:sz w:val="24"/>
        </w:rPr>
        <w:t xml:space="preserve"> (v) Quais são os caminhos a serem trilhados que são apontados, principalmente, pela doutrina constitucional, assim como pelo Ministro Luís Roberto Barroso</w:t>
      </w:r>
      <w:r>
        <w:rPr>
          <w:rStyle w:val="FootnoteReference"/>
          <w:rFonts w:ascii="Times New Roman" w:hAnsi="Times New Roman"/>
          <w:sz w:val="24"/>
        </w:rPr>
        <w:footnoteReference w:id="5"/>
      </w:r>
      <w:r>
        <w:rPr>
          <w:rFonts w:ascii="Times New Roman" w:hAnsi="Times New Roman"/>
          <w:sz w:val="24"/>
        </w:rPr>
        <w:t xml:space="preserve"> </w:t>
      </w:r>
      <w:r w:rsidRPr="001B566A">
        <w:rPr>
          <w:rFonts w:ascii="Times New Roman" w:hAnsi="Times New Roman"/>
          <w:sz w:val="24"/>
        </w:rPr>
        <w:t>para a atual crise no STF?</w:t>
      </w:r>
      <w:r>
        <w:rPr>
          <w:rFonts w:ascii="Times New Roman" w:hAnsi="Times New Roman"/>
          <w:sz w:val="24"/>
        </w:rPr>
        <w:t xml:space="preserve"> Por fim, (vi) quais os impactos do Novo Código de Processo Civil (Lei 13.105 de 2015) para a Jurisdição Constitucional brasileira? </w:t>
      </w:r>
    </w:p>
    <w:p w:rsidR="00D549BC" w:rsidRDefault="00D549BC" w:rsidP="00CD4AC5">
      <w:pPr>
        <w:contextualSpacing/>
        <w:rPr>
          <w:rFonts w:ascii="Times New Roman" w:hAnsi="Times New Roman"/>
          <w:sz w:val="24"/>
        </w:rPr>
      </w:pPr>
      <w:r>
        <w:rPr>
          <w:rFonts w:ascii="Times New Roman" w:hAnsi="Times New Roman"/>
          <w:sz w:val="24"/>
        </w:rPr>
        <w:t>A partir da formulação desses problemas, adotaremos os seguintes posicionamentos definidos como hipóteses de trabalho, de caráter provisório: (i) a crise que estamos a tratar não é institucional, mostrando-se, a princípio, ser funcional, na medida em que atinge a pauta do Supremo Tribunal Federal; (ii) a partir da década de 1930, sob a vigência das Cartas Políticas de 1891 e 1934, já era perceptível um quadro de instabilidade funcional no STF, em virtude do aumento progressivo de Recursos Extraordinários. Esse período de crise perdurou até o advento da Constituição da República de 1988; (iii) o segundo momento de crise inicia-se após 1988, caracterizado, ainda, pelo crescente número de Recursos Extraordinários, dentre outros processos recursais, que continuavam a chegar à Corte Suprema. Como consequência desse quadro, tivemos o advento da Emenda Constitucional nº 45 de 2004 (Reforma do Judiciário), que trouxe alguns mecanismos para solução da crise, quais sejam, a Repercussão Geral e a Súmula Vinculante, ambos institutos exclusivos da Corte Suprema brasileira; (iv) todavia, não obstante o número de processos recursais ter caído consideravelmente a partir da entrada em vigor da exigência de Repercussão Geral para os Recursos Extraordinários,  tudo está a indicar que a solução para a crise anterior, na verdade, ensejou o surgimento de uma terceira, isto é, a terceira crise seria o resultado da tentativa de solução da anterior (“a crise da solução”), provocada, em princípio, pelo desvirtuamento da Repercussão Geral. Esse desvirtuamento decorreria do excesso de Repercussões Gerais reconhecidas pelo STF, bem como da lentidão em julgá-las; (v) atualmente, o número de Recursos Extraordinários no STF continua exorbitante do ponto de vista de uma autêntica Corte Constitucional,</w:t>
      </w:r>
      <w:r>
        <w:rPr>
          <w:rStyle w:val="FootnoteReference"/>
          <w:rFonts w:ascii="Times New Roman" w:hAnsi="Times New Roman"/>
          <w:sz w:val="24"/>
        </w:rPr>
        <w:footnoteReference w:id="6"/>
      </w:r>
      <w:r>
        <w:rPr>
          <w:rFonts w:ascii="Times New Roman" w:hAnsi="Times New Roman"/>
          <w:sz w:val="24"/>
        </w:rPr>
        <w:t xml:space="preserve"> embora bem menor se comparado com períodos anteriores a 2007. Somente em 2014, foram distribuídos 9.671 Recursos Extraordinários (RE) e 38.442 Agravos no Recursos Extraordinários (ARE), totalizando mais de 48.000 processos recursais.</w:t>
      </w:r>
      <w:r>
        <w:rPr>
          <w:rStyle w:val="FootnoteReference"/>
          <w:rFonts w:ascii="Times New Roman" w:hAnsi="Times New Roman"/>
          <w:sz w:val="24"/>
        </w:rPr>
        <w:footnoteReference w:id="7"/>
      </w:r>
      <w:r>
        <w:rPr>
          <w:rFonts w:ascii="Times New Roman" w:hAnsi="Times New Roman"/>
          <w:sz w:val="24"/>
        </w:rPr>
        <w:t xml:space="preserve"> </w:t>
      </w:r>
    </w:p>
    <w:p w:rsidR="00D549BC" w:rsidRDefault="00D549BC" w:rsidP="00B04B04">
      <w:pPr>
        <w:contextualSpacing/>
        <w:rPr>
          <w:rFonts w:ascii="Times New Roman" w:hAnsi="Times New Roman"/>
          <w:sz w:val="24"/>
        </w:rPr>
      </w:pPr>
      <w:r>
        <w:rPr>
          <w:rFonts w:ascii="Times New Roman" w:hAnsi="Times New Roman"/>
          <w:sz w:val="24"/>
        </w:rPr>
        <w:t xml:space="preserve">Portanto, o quadro de crise funcional no Supremo Tribunal Federal, órgão de cúpula do Judiciário, é ainda latente, o que demanda uma pesquisa que busque explicar e trazer à tona os principais motivos para essa atual crise que decorreria, mormente, conforme já apontado, do desvirtuamento da Repercussão Geral, porque, em vez de restringir o acesso à Corte, acabou causando efeito diverso do inicialmente pretendido. Não deixamos, contudo, de reconhecer os benefícios que esse instituto trouxe para o STF. </w:t>
      </w:r>
    </w:p>
    <w:p w:rsidR="00D549BC" w:rsidRDefault="00D549BC" w:rsidP="0099436F">
      <w:pPr>
        <w:contextualSpacing/>
        <w:rPr>
          <w:rFonts w:ascii="Times New Roman" w:hAnsi="Times New Roman"/>
          <w:sz w:val="24"/>
        </w:rPr>
      </w:pPr>
      <w:r>
        <w:rPr>
          <w:rFonts w:ascii="Times New Roman" w:hAnsi="Times New Roman"/>
          <w:sz w:val="24"/>
        </w:rPr>
        <w:t>A presente dissertação foi dividida em três capítulos que se complementam e conduzem o leitor à conclusão do trabalho, na qual são expostas as evidências da pesquisa, assim como são deixadas em aberto algumas problemáticas a serem melhor desenvolvidas em outra oportunidade.</w:t>
      </w:r>
    </w:p>
    <w:p w:rsidR="00D549BC" w:rsidRDefault="00D549BC" w:rsidP="000D47F0">
      <w:pPr>
        <w:contextualSpacing/>
        <w:rPr>
          <w:rFonts w:ascii="Times New Roman" w:hAnsi="Times New Roman"/>
          <w:sz w:val="24"/>
        </w:rPr>
      </w:pPr>
      <w:r>
        <w:rPr>
          <w:rFonts w:ascii="Times New Roman" w:hAnsi="Times New Roman"/>
          <w:sz w:val="24"/>
        </w:rPr>
        <w:t>No primeiro capítulo, analisamos a evolução da teoria constitucional brasileira a partir das respectivas Cartas Políticas, adotando-se como marco inicial o advento da República. Ademais, focamos na história institucional do Supremo Tribunal Federal e suas competências constitucionais previstas ao longo do tempo até a atual configuração dada pela Constituição de 1988.</w:t>
      </w:r>
    </w:p>
    <w:p w:rsidR="00D549BC" w:rsidRDefault="00D549BC" w:rsidP="000D47F0">
      <w:pPr>
        <w:contextualSpacing/>
        <w:rPr>
          <w:rFonts w:ascii="Times New Roman" w:hAnsi="Times New Roman"/>
          <w:sz w:val="24"/>
        </w:rPr>
      </w:pPr>
      <w:r>
        <w:rPr>
          <w:rFonts w:ascii="Times New Roman" w:hAnsi="Times New Roman"/>
          <w:sz w:val="24"/>
        </w:rPr>
        <w:t xml:space="preserve">Já no capítulo seguinte, buscamos apontar os momentos de crise na Corte Suprema brasileira, seguindo uma ordem cronológica para tal fim. Assim, iniciamos com os primeiros diagnósticos da crise na década de 1930 até o advento do texto constitucional em vigor, bem como a crive vivenciada na atualidade. São explorados, igualmente, todos os mecanismos utilizados para enfrentar a crise numérica que, inicialmente, era também intitulada, por parte da doutrina, de “crise do recurso extraordinário”. Nesse mesmo capítulo, tentamos, ainda, por meio de dados estatísticos, apontar que o Supremo Tribunal Federal, no contexto pós-1988, caracteriza-se por ser uma Corte Recursal. </w:t>
      </w:r>
    </w:p>
    <w:p w:rsidR="00D549BC" w:rsidRDefault="00D549BC" w:rsidP="000D47F0">
      <w:pPr>
        <w:contextualSpacing/>
        <w:rPr>
          <w:rFonts w:ascii="Times New Roman" w:hAnsi="Times New Roman"/>
          <w:sz w:val="24"/>
        </w:rPr>
      </w:pPr>
      <w:r>
        <w:rPr>
          <w:rFonts w:ascii="Times New Roman" w:hAnsi="Times New Roman"/>
          <w:sz w:val="24"/>
        </w:rPr>
        <w:t xml:space="preserve">No terceiro e último capítulo, a pesquisa dedica-se ao exame do instituto da Repercussão Geral e sua implementação no âmbito do STF com a criação do Plenário Virtual. Com efeito, investigamos a dinâmica do Plenário Virtual e suas consequências para a Jurisdição Constitucional, tentando apontar que, de certa forma, houve, sim, desvirtuamento da Repercussão Geral. Veremos, ainda, que o Ministro Luís Roberto Barroso pode ser considerado um “arquiteto institucional”, tendo em vista suas propostas peculiares a fim de resgatar a real finalidade da Repercussão Geral, bem como de fazer do Supremo Tribunal Federal uma verdadeira Corte Constitucional. </w:t>
      </w:r>
    </w:p>
    <w:p w:rsidR="00D549BC" w:rsidRDefault="00D549BC" w:rsidP="00B92B28">
      <w:pPr>
        <w:contextualSpacing/>
        <w:rPr>
          <w:rFonts w:ascii="Times New Roman" w:hAnsi="Times New Roman"/>
          <w:sz w:val="24"/>
        </w:rPr>
      </w:pPr>
      <w:r>
        <w:rPr>
          <w:rFonts w:ascii="Times New Roman" w:hAnsi="Times New Roman"/>
          <w:sz w:val="24"/>
        </w:rPr>
        <w:t xml:space="preserve">Abordaremos, também, as principais alterações implementadas pelo Novo Código de Processo Civil no âmbito do Recurso Extraordinário e as preocupações daí advindas para o problema da sobrecarga recursal. Será que o NCPC desconsiderou tudo aquilo que foi pensado e construído, ao longo do tempo, para restringir o acesso ao STF? E ainda, as preocupações sobre o </w:t>
      </w:r>
      <w:r w:rsidRPr="00FC24BA">
        <w:rPr>
          <w:rFonts w:ascii="Times New Roman" w:hAnsi="Times New Roman"/>
          <w:i/>
          <w:sz w:val="24"/>
        </w:rPr>
        <w:t>novel</w:t>
      </w:r>
      <w:r>
        <w:rPr>
          <w:rFonts w:ascii="Times New Roman" w:hAnsi="Times New Roman"/>
          <w:sz w:val="24"/>
        </w:rPr>
        <w:t xml:space="preserve"> Código de Processo Civil serão melhores explicadas na conclusão do trabalho.</w:t>
      </w:r>
    </w:p>
    <w:p w:rsidR="00D549BC" w:rsidRDefault="00D549BC" w:rsidP="00B92B28">
      <w:pPr>
        <w:contextualSpacing/>
        <w:rPr>
          <w:rFonts w:ascii="Times New Roman" w:hAnsi="Times New Roman"/>
          <w:sz w:val="24"/>
        </w:rPr>
      </w:pPr>
      <w:r>
        <w:rPr>
          <w:rFonts w:ascii="Times New Roman" w:hAnsi="Times New Roman"/>
          <w:sz w:val="24"/>
        </w:rPr>
        <w:t xml:space="preserve">Por fim, a justificativa para a escolha do presente tema se dá pela necessidade de melhor entendermos o funcionamento de um dos órgãos mais antigos da República, que é o Supremo Tribunal Federal, instituição centenária e de grande importância para a democracia brasileira, principalmente por ser responsável pela guarda da Constituição da República e do Estado Democrático de Direito. São poucos os trabalhos acadêmicos que buscam explorar a eficiência das instituições democráticas a partir de uma perspectiva prática, com foco no aspecto quantitativo, a fim de evidenciar algumas de suas mazelas. </w:t>
      </w:r>
    </w:p>
    <w:p w:rsidR="00D549BC" w:rsidRDefault="00D549BC" w:rsidP="003D278C">
      <w:pPr>
        <w:contextualSpacing/>
        <w:rPr>
          <w:rFonts w:ascii="Times New Roman" w:hAnsi="Times New Roman"/>
          <w:sz w:val="24"/>
        </w:rPr>
      </w:pPr>
      <w:r>
        <w:rPr>
          <w:rFonts w:ascii="Times New Roman" w:hAnsi="Times New Roman"/>
          <w:sz w:val="24"/>
        </w:rPr>
        <w:t xml:space="preserve">Dessa forma, tendo em vista essa escassez de pesquisas na área, o presente estudo faz-se imprescindível como meio de contribuição para melhor compreensão do Supremo Tribunal Federal, além de tentar trazer à tona um diagnóstico recente acerca de seu funcionamento e da crise decorrente da sobrecarga de trabalhos, tudo isso a partir de dados estatísticos retirados diretamente do site do STF. </w:t>
      </w:r>
    </w:p>
    <w:p w:rsidR="00D549BC" w:rsidRDefault="00D549BC" w:rsidP="003D278C">
      <w:pPr>
        <w:contextualSpacing/>
        <w:rPr>
          <w:rFonts w:ascii="Times New Roman" w:hAnsi="Times New Roman"/>
          <w:sz w:val="24"/>
        </w:rPr>
        <w:sectPr w:rsidR="00D549BC" w:rsidSect="00CD4AC5">
          <w:headerReference w:type="default" r:id="rId13"/>
          <w:footnotePr>
            <w:numRestart w:val="eachSect"/>
          </w:footnotePr>
          <w:pgSz w:w="11906" w:h="16838" w:code="9"/>
          <w:pgMar w:top="1701" w:right="1134" w:bottom="1134" w:left="1701" w:header="709" w:footer="709" w:gutter="0"/>
          <w:pgNumType w:start="13"/>
          <w:cols w:space="708"/>
          <w:titlePg/>
          <w:docGrid w:linePitch="360"/>
        </w:sectPr>
      </w:pPr>
      <w:r>
        <w:rPr>
          <w:rFonts w:ascii="Times New Roman" w:hAnsi="Times New Roman"/>
          <w:sz w:val="24"/>
        </w:rPr>
        <w:br w:type="page"/>
      </w:r>
    </w:p>
    <w:p w:rsidR="00D549BC" w:rsidRDefault="00D549BC" w:rsidP="003D278C">
      <w:pPr>
        <w:ind w:firstLine="0"/>
        <w:contextualSpacing/>
        <w:rPr>
          <w:rFonts w:ascii="Times New Roman" w:hAnsi="Times New Roman"/>
          <w:b/>
          <w:sz w:val="24"/>
          <w:szCs w:val="24"/>
        </w:rPr>
      </w:pPr>
      <w:r>
        <w:rPr>
          <w:rFonts w:ascii="Times New Roman" w:hAnsi="Times New Roman"/>
          <w:b/>
          <w:sz w:val="24"/>
          <w:szCs w:val="24"/>
          <w:lang w:eastAsia="pt-BR"/>
        </w:rPr>
        <w:t xml:space="preserve">2 O SUPREMO TRIBUNAL FEDERAL E O </w:t>
      </w:r>
      <w:r w:rsidRPr="00422D91">
        <w:rPr>
          <w:rFonts w:ascii="Times New Roman" w:hAnsi="Times New Roman"/>
          <w:b/>
          <w:sz w:val="24"/>
          <w:szCs w:val="24"/>
        </w:rPr>
        <w:t xml:space="preserve">RECURSO EXTRAORDINÁRIO: ORIGEM E EVOLUÇÃO HISTÓRICA </w:t>
      </w:r>
      <w:r>
        <w:rPr>
          <w:rFonts w:ascii="Times New Roman" w:hAnsi="Times New Roman"/>
          <w:b/>
          <w:sz w:val="24"/>
          <w:szCs w:val="24"/>
        </w:rPr>
        <w:t>A PARTIR DAS CONSTITUIÇÕES REPUBLICANAS</w:t>
      </w:r>
    </w:p>
    <w:p w:rsidR="00D549BC" w:rsidRPr="00422D91" w:rsidRDefault="00D549BC" w:rsidP="00AB1899">
      <w:pPr>
        <w:ind w:firstLine="0"/>
        <w:contextualSpacing/>
        <w:rPr>
          <w:rFonts w:ascii="Times New Roman" w:hAnsi="Times New Roman"/>
          <w:b/>
          <w:sz w:val="24"/>
          <w:szCs w:val="24"/>
        </w:rPr>
      </w:pPr>
    </w:p>
    <w:p w:rsidR="00D549BC" w:rsidRDefault="00D549BC" w:rsidP="00920EA8">
      <w:pPr>
        <w:rPr>
          <w:rFonts w:ascii="Times New Roman" w:hAnsi="Times New Roman"/>
          <w:sz w:val="24"/>
          <w:szCs w:val="24"/>
        </w:rPr>
      </w:pPr>
      <w:r w:rsidRPr="00422D91">
        <w:rPr>
          <w:rFonts w:ascii="Times New Roman" w:hAnsi="Times New Roman"/>
          <w:sz w:val="24"/>
          <w:szCs w:val="24"/>
        </w:rPr>
        <w:t xml:space="preserve">Uma análise da história constitucional brasileira se faz </w:t>
      </w:r>
      <w:r>
        <w:rPr>
          <w:rFonts w:ascii="Times New Roman" w:hAnsi="Times New Roman"/>
          <w:sz w:val="24"/>
          <w:szCs w:val="24"/>
        </w:rPr>
        <w:t>necessária</w:t>
      </w:r>
      <w:r w:rsidRPr="00422D91">
        <w:rPr>
          <w:rFonts w:ascii="Times New Roman" w:hAnsi="Times New Roman"/>
          <w:sz w:val="24"/>
          <w:szCs w:val="24"/>
        </w:rPr>
        <w:t xml:space="preserve"> para desvelar</w:t>
      </w:r>
      <w:r>
        <w:rPr>
          <w:rFonts w:ascii="Times New Roman" w:hAnsi="Times New Roman"/>
          <w:sz w:val="24"/>
          <w:szCs w:val="24"/>
        </w:rPr>
        <w:t>mos</w:t>
      </w:r>
      <w:r w:rsidRPr="00422D91">
        <w:rPr>
          <w:rFonts w:ascii="Times New Roman" w:hAnsi="Times New Roman"/>
          <w:sz w:val="24"/>
          <w:szCs w:val="24"/>
        </w:rPr>
        <w:t xml:space="preserve"> alguns pontos da cultura jurídica do país, </w:t>
      </w:r>
      <w:r>
        <w:rPr>
          <w:rFonts w:ascii="Times New Roman" w:hAnsi="Times New Roman"/>
          <w:sz w:val="24"/>
          <w:szCs w:val="24"/>
        </w:rPr>
        <w:t>porque</w:t>
      </w:r>
      <w:r w:rsidRPr="00422D91">
        <w:rPr>
          <w:rFonts w:ascii="Times New Roman" w:hAnsi="Times New Roman"/>
          <w:sz w:val="24"/>
          <w:szCs w:val="24"/>
        </w:rPr>
        <w:t xml:space="preserve"> as instituições</w:t>
      </w:r>
      <w:r>
        <w:rPr>
          <w:rFonts w:ascii="Times New Roman" w:hAnsi="Times New Roman"/>
          <w:sz w:val="24"/>
          <w:szCs w:val="24"/>
        </w:rPr>
        <w:t>, muitas vezes,</w:t>
      </w:r>
      <w:r w:rsidRPr="00422D91">
        <w:rPr>
          <w:rFonts w:ascii="Times New Roman" w:hAnsi="Times New Roman"/>
          <w:sz w:val="24"/>
          <w:szCs w:val="24"/>
        </w:rPr>
        <w:t xml:space="preserve"> são o reflexo do momento social em que se vive. </w:t>
      </w:r>
      <w:r>
        <w:rPr>
          <w:rFonts w:ascii="Times New Roman" w:hAnsi="Times New Roman"/>
          <w:sz w:val="24"/>
          <w:szCs w:val="24"/>
        </w:rPr>
        <w:t xml:space="preserve">Assim, acreditamos ser possível, por meio de fatos pretéritos, refletir melhor sobre a conjuntura atual ou institucional de determinada sociedade, pois apenas a História é capaz de proporcionar tal tipo de reflexão com o intuito de aprimorarmos as mudanças futuras. </w:t>
      </w:r>
    </w:p>
    <w:p w:rsidR="00D549BC" w:rsidRPr="00422D91" w:rsidRDefault="00D549BC" w:rsidP="00920EA8">
      <w:pPr>
        <w:rPr>
          <w:rFonts w:ascii="Times New Roman" w:hAnsi="Times New Roman"/>
          <w:sz w:val="24"/>
          <w:szCs w:val="24"/>
        </w:rPr>
      </w:pPr>
      <w:r w:rsidRPr="00422D91">
        <w:rPr>
          <w:rFonts w:ascii="Times New Roman" w:hAnsi="Times New Roman"/>
          <w:sz w:val="24"/>
          <w:szCs w:val="24"/>
        </w:rPr>
        <w:t xml:space="preserve">Com efeito, </w:t>
      </w:r>
      <w:r>
        <w:rPr>
          <w:rFonts w:ascii="Times New Roman" w:hAnsi="Times New Roman"/>
          <w:sz w:val="24"/>
          <w:szCs w:val="24"/>
        </w:rPr>
        <w:t xml:space="preserve">é </w:t>
      </w:r>
      <w:r w:rsidRPr="00422D91">
        <w:rPr>
          <w:rFonts w:ascii="Times New Roman" w:hAnsi="Times New Roman"/>
          <w:sz w:val="24"/>
          <w:szCs w:val="24"/>
        </w:rPr>
        <w:t xml:space="preserve">imprescindível para a correta compreensão do estágio jurídico atual, sob a égide da Constituição </w:t>
      </w:r>
      <w:r>
        <w:rPr>
          <w:rFonts w:ascii="Times New Roman" w:hAnsi="Times New Roman"/>
          <w:sz w:val="24"/>
          <w:szCs w:val="24"/>
        </w:rPr>
        <w:t xml:space="preserve">da República </w:t>
      </w:r>
      <w:r w:rsidRPr="00422D91">
        <w:rPr>
          <w:rFonts w:ascii="Times New Roman" w:hAnsi="Times New Roman"/>
          <w:sz w:val="24"/>
          <w:szCs w:val="24"/>
        </w:rPr>
        <w:t>de 1988, fazer</w:t>
      </w:r>
      <w:r>
        <w:rPr>
          <w:rFonts w:ascii="Times New Roman" w:hAnsi="Times New Roman"/>
          <w:sz w:val="24"/>
          <w:szCs w:val="24"/>
        </w:rPr>
        <w:t>mos</w:t>
      </w:r>
      <w:r w:rsidRPr="00422D91">
        <w:rPr>
          <w:rFonts w:ascii="Times New Roman" w:hAnsi="Times New Roman"/>
          <w:sz w:val="24"/>
          <w:szCs w:val="24"/>
        </w:rPr>
        <w:t xml:space="preserve"> um estudo, ainda que breve, sobre as Cartas Políticas dos seguintes anos: 1891, 1934, 1937, 1946 e 1967</w:t>
      </w:r>
      <w:r>
        <w:rPr>
          <w:rFonts w:ascii="Times New Roman" w:hAnsi="Times New Roman"/>
          <w:sz w:val="24"/>
          <w:szCs w:val="24"/>
        </w:rPr>
        <w:t>/69</w:t>
      </w:r>
      <w:r w:rsidRPr="00422D91">
        <w:rPr>
          <w:rFonts w:ascii="Times New Roman" w:hAnsi="Times New Roman"/>
          <w:sz w:val="24"/>
          <w:szCs w:val="24"/>
        </w:rPr>
        <w:t xml:space="preserve">. </w:t>
      </w:r>
    </w:p>
    <w:p w:rsidR="00D549BC" w:rsidRPr="00422D91" w:rsidRDefault="00D549BC" w:rsidP="00920EA8">
      <w:pPr>
        <w:contextualSpacing/>
        <w:rPr>
          <w:rFonts w:ascii="Times New Roman" w:hAnsi="Times New Roman"/>
          <w:sz w:val="24"/>
          <w:szCs w:val="24"/>
        </w:rPr>
      </w:pPr>
      <w:r w:rsidRPr="00422D91">
        <w:rPr>
          <w:rFonts w:ascii="Times New Roman" w:hAnsi="Times New Roman"/>
          <w:sz w:val="24"/>
          <w:szCs w:val="24"/>
        </w:rPr>
        <w:t xml:space="preserve">A escolha do período acima descrito (advento da República) não implica que o passado </w:t>
      </w:r>
      <w:r>
        <w:rPr>
          <w:rFonts w:ascii="Times New Roman" w:hAnsi="Times New Roman"/>
          <w:sz w:val="24"/>
          <w:szCs w:val="24"/>
        </w:rPr>
        <w:t>colo</w:t>
      </w:r>
      <w:r w:rsidRPr="00422D91">
        <w:rPr>
          <w:rFonts w:ascii="Times New Roman" w:hAnsi="Times New Roman"/>
          <w:sz w:val="24"/>
          <w:szCs w:val="24"/>
        </w:rPr>
        <w:t>nia</w:t>
      </w:r>
      <w:r>
        <w:rPr>
          <w:rFonts w:ascii="Times New Roman" w:hAnsi="Times New Roman"/>
          <w:sz w:val="24"/>
          <w:szCs w:val="24"/>
        </w:rPr>
        <w:t>l</w:t>
      </w:r>
      <w:r w:rsidRPr="00422D91">
        <w:rPr>
          <w:rFonts w:ascii="Times New Roman" w:hAnsi="Times New Roman"/>
          <w:sz w:val="24"/>
          <w:szCs w:val="24"/>
        </w:rPr>
        <w:t xml:space="preserve"> não interesse, porém o corte epistemológico na história constitucional brasileira visa</w:t>
      </w:r>
      <w:r>
        <w:rPr>
          <w:rFonts w:ascii="Times New Roman" w:hAnsi="Times New Roman"/>
          <w:sz w:val="24"/>
          <w:szCs w:val="24"/>
        </w:rPr>
        <w:t xml:space="preserve"> a</w:t>
      </w:r>
      <w:r w:rsidRPr="00422D91">
        <w:rPr>
          <w:rFonts w:ascii="Times New Roman" w:hAnsi="Times New Roman"/>
          <w:sz w:val="24"/>
          <w:szCs w:val="24"/>
        </w:rPr>
        <w:t xml:space="preserve"> privilegiar o momento no qual surgiu, com maior nitidez, a teoria do controle de constitucionalidade dos atos normativos</w:t>
      </w:r>
      <w:r>
        <w:rPr>
          <w:rFonts w:ascii="Times New Roman" w:hAnsi="Times New Roman"/>
          <w:sz w:val="24"/>
          <w:szCs w:val="24"/>
        </w:rPr>
        <w:t xml:space="preserve">, propiciada, </w:t>
      </w:r>
      <w:r w:rsidRPr="00AE634F">
        <w:rPr>
          <w:rFonts w:ascii="Times New Roman" w:hAnsi="Times New Roman"/>
          <w:i/>
          <w:sz w:val="24"/>
          <w:szCs w:val="24"/>
        </w:rPr>
        <w:t>a priori</w:t>
      </w:r>
      <w:r>
        <w:rPr>
          <w:rFonts w:ascii="Times New Roman" w:hAnsi="Times New Roman"/>
          <w:sz w:val="24"/>
          <w:szCs w:val="24"/>
        </w:rPr>
        <w:t>, pelo Recurso Extraordinário</w:t>
      </w:r>
      <w:r w:rsidRPr="00422D91">
        <w:rPr>
          <w:rFonts w:ascii="Times New Roman" w:hAnsi="Times New Roman"/>
          <w:sz w:val="24"/>
          <w:szCs w:val="24"/>
        </w:rPr>
        <w:t>.</w:t>
      </w:r>
    </w:p>
    <w:p w:rsidR="00D549BC" w:rsidRDefault="00D549BC" w:rsidP="00920EA8">
      <w:pPr>
        <w:rPr>
          <w:rFonts w:ascii="Times New Roman" w:hAnsi="Times New Roman"/>
          <w:sz w:val="24"/>
          <w:szCs w:val="24"/>
        </w:rPr>
      </w:pPr>
      <w:r>
        <w:rPr>
          <w:rFonts w:ascii="Times New Roman" w:hAnsi="Times New Roman"/>
          <w:sz w:val="24"/>
          <w:szCs w:val="24"/>
        </w:rPr>
        <w:t>Não se pretende</w:t>
      </w:r>
      <w:r w:rsidRPr="00422D91">
        <w:rPr>
          <w:rFonts w:ascii="Times New Roman" w:hAnsi="Times New Roman"/>
          <w:sz w:val="24"/>
          <w:szCs w:val="24"/>
        </w:rPr>
        <w:t xml:space="preserve"> descrever</w:t>
      </w:r>
      <w:r>
        <w:rPr>
          <w:rFonts w:ascii="Times New Roman" w:hAnsi="Times New Roman"/>
          <w:sz w:val="24"/>
          <w:szCs w:val="24"/>
        </w:rPr>
        <w:t>,</w:t>
      </w:r>
      <w:r w:rsidRPr="00422D91">
        <w:rPr>
          <w:rFonts w:ascii="Times New Roman" w:hAnsi="Times New Roman"/>
          <w:sz w:val="24"/>
          <w:szCs w:val="24"/>
        </w:rPr>
        <w:t xml:space="preserve"> pormenorizadamente</w:t>
      </w:r>
      <w:r>
        <w:rPr>
          <w:rFonts w:ascii="Times New Roman" w:hAnsi="Times New Roman"/>
          <w:sz w:val="24"/>
          <w:szCs w:val="24"/>
        </w:rPr>
        <w:t>,</w:t>
      </w:r>
      <w:r w:rsidRPr="00422D91">
        <w:rPr>
          <w:rFonts w:ascii="Times New Roman" w:hAnsi="Times New Roman"/>
          <w:sz w:val="24"/>
          <w:szCs w:val="24"/>
        </w:rPr>
        <w:t xml:space="preserve"> as características de cada uma das Constituições</w:t>
      </w:r>
      <w:r>
        <w:rPr>
          <w:rFonts w:ascii="Times New Roman" w:hAnsi="Times New Roman"/>
          <w:sz w:val="24"/>
          <w:szCs w:val="24"/>
        </w:rPr>
        <w:t xml:space="preserve"> acima citadas</w:t>
      </w:r>
      <w:r w:rsidRPr="00422D91">
        <w:rPr>
          <w:rFonts w:ascii="Times New Roman" w:hAnsi="Times New Roman"/>
          <w:sz w:val="24"/>
          <w:szCs w:val="24"/>
        </w:rPr>
        <w:t xml:space="preserve">, nem as circunstâncias </w:t>
      </w:r>
      <w:r>
        <w:rPr>
          <w:rFonts w:ascii="Times New Roman" w:hAnsi="Times New Roman"/>
          <w:sz w:val="24"/>
          <w:szCs w:val="24"/>
        </w:rPr>
        <w:t xml:space="preserve">políticas </w:t>
      </w:r>
      <w:r w:rsidRPr="00422D91">
        <w:rPr>
          <w:rFonts w:ascii="Times New Roman" w:hAnsi="Times New Roman"/>
          <w:sz w:val="24"/>
          <w:szCs w:val="24"/>
        </w:rPr>
        <w:t>em que foram elaboradas, o foco será n</w:t>
      </w:r>
      <w:r>
        <w:rPr>
          <w:rFonts w:ascii="Times New Roman" w:hAnsi="Times New Roman"/>
          <w:sz w:val="24"/>
          <w:szCs w:val="24"/>
        </w:rPr>
        <w:t xml:space="preserve">as competências constitucionalmente previstas para o Supremo Tribunal Federal desde 1891 até 1988. Assim, demonstrar-se-á que, com o passar do tempo, aquelas competências foram paulatinamente ampliadas.     </w:t>
      </w:r>
    </w:p>
    <w:p w:rsidR="00D549BC" w:rsidRPr="00422D91" w:rsidRDefault="00D549BC" w:rsidP="00422D91">
      <w:pPr>
        <w:rPr>
          <w:rFonts w:ascii="Times New Roman" w:hAnsi="Times New Roman"/>
          <w:sz w:val="24"/>
          <w:szCs w:val="24"/>
        </w:rPr>
      </w:pPr>
    </w:p>
    <w:p w:rsidR="00D549BC" w:rsidRPr="00422D91" w:rsidRDefault="00D549BC" w:rsidP="00422D91">
      <w:pPr>
        <w:ind w:firstLine="0"/>
        <w:rPr>
          <w:rFonts w:ascii="Times New Roman" w:hAnsi="Times New Roman"/>
          <w:b/>
          <w:sz w:val="24"/>
          <w:szCs w:val="26"/>
        </w:rPr>
      </w:pPr>
      <w:r w:rsidRPr="00BB0CD3">
        <w:rPr>
          <w:rFonts w:ascii="Times New Roman" w:hAnsi="Times New Roman"/>
          <w:sz w:val="24"/>
          <w:szCs w:val="26"/>
        </w:rPr>
        <w:t xml:space="preserve">2.1 A CONSTITUIÇÃO DE 1891 E A LEI FEDERAL Nº 221, DE 20 DE NOVEMBRO 1894 </w:t>
      </w:r>
      <w:r w:rsidRPr="00BB0CD3">
        <w:rPr>
          <w:rFonts w:ascii="Times New Roman" w:hAnsi="Times New Roman"/>
          <w:sz w:val="24"/>
          <w:szCs w:val="26"/>
        </w:rPr>
        <w:tab/>
      </w:r>
    </w:p>
    <w:p w:rsidR="00D549BC" w:rsidRPr="00422D91" w:rsidRDefault="00D549BC" w:rsidP="003D278C">
      <w:pPr>
        <w:spacing w:after="200"/>
        <w:contextualSpacing/>
        <w:rPr>
          <w:rFonts w:ascii="Times New Roman" w:hAnsi="Times New Roman"/>
          <w:sz w:val="24"/>
          <w:szCs w:val="24"/>
        </w:rPr>
      </w:pPr>
      <w:r w:rsidRPr="00422D91">
        <w:rPr>
          <w:rFonts w:ascii="Times New Roman" w:hAnsi="Times New Roman"/>
          <w:sz w:val="24"/>
          <w:szCs w:val="24"/>
        </w:rPr>
        <w:t>O Controle da Constitucionalidade no Brasil possui uma característica peculiar que o difere de</w:t>
      </w:r>
      <w:r>
        <w:rPr>
          <w:rFonts w:ascii="Times New Roman" w:hAnsi="Times New Roman"/>
          <w:sz w:val="24"/>
          <w:szCs w:val="24"/>
        </w:rPr>
        <w:t xml:space="preserve"> quase</w:t>
      </w:r>
      <w:r w:rsidRPr="00422D91">
        <w:rPr>
          <w:rFonts w:ascii="Times New Roman" w:hAnsi="Times New Roman"/>
          <w:sz w:val="24"/>
          <w:szCs w:val="24"/>
        </w:rPr>
        <w:t xml:space="preserve"> todos os outros no Direito Comparado, qual seja, e</w:t>
      </w:r>
      <w:r>
        <w:rPr>
          <w:rFonts w:ascii="Times New Roman" w:hAnsi="Times New Roman"/>
          <w:sz w:val="24"/>
          <w:szCs w:val="24"/>
        </w:rPr>
        <w:t>le é misto (ou híbrido)</w:t>
      </w:r>
      <w:r w:rsidRPr="00790B5F">
        <w:rPr>
          <w:rStyle w:val="FootnoteReference"/>
          <w:rFonts w:ascii="Times New Roman" w:hAnsi="Times New Roman"/>
          <w:sz w:val="24"/>
          <w:szCs w:val="24"/>
        </w:rPr>
        <w:t xml:space="preserve"> </w:t>
      </w:r>
      <w:r>
        <w:rPr>
          <w:rStyle w:val="FootnoteReference"/>
          <w:rFonts w:ascii="Times New Roman" w:hAnsi="Times New Roman"/>
          <w:sz w:val="24"/>
          <w:szCs w:val="24"/>
        </w:rPr>
        <w:footnoteReference w:id="8"/>
      </w:r>
      <w:r>
        <w:rPr>
          <w:rFonts w:ascii="Times New Roman" w:hAnsi="Times New Roman"/>
          <w:sz w:val="24"/>
          <w:szCs w:val="24"/>
        </w:rPr>
        <w:t>. Isso significa que</w:t>
      </w:r>
      <w:r w:rsidRPr="00422D91">
        <w:rPr>
          <w:rFonts w:ascii="Times New Roman" w:hAnsi="Times New Roman"/>
          <w:sz w:val="24"/>
          <w:szCs w:val="24"/>
        </w:rPr>
        <w:t xml:space="preserve"> consegue misturar tanto elementos do controle difuso (modelo norte-americano) quanto do controle abstrato de normas (modelo continental europeu de matriz </w:t>
      </w:r>
      <w:r>
        <w:rPr>
          <w:rFonts w:ascii="Times New Roman" w:hAnsi="Times New Roman"/>
          <w:sz w:val="24"/>
          <w:szCs w:val="24"/>
        </w:rPr>
        <w:t>kelseniana</w:t>
      </w:r>
      <w:r w:rsidRPr="00422D91">
        <w:rPr>
          <w:rFonts w:ascii="Times New Roman" w:hAnsi="Times New Roman"/>
          <w:sz w:val="24"/>
          <w:szCs w:val="24"/>
        </w:rPr>
        <w:t>)</w:t>
      </w:r>
      <w:r>
        <w:rPr>
          <w:rFonts w:ascii="Times New Roman" w:hAnsi="Times New Roman"/>
          <w:sz w:val="24"/>
          <w:szCs w:val="24"/>
        </w:rPr>
        <w:t>,</w:t>
      </w:r>
      <w:r w:rsidRPr="00422D91">
        <w:rPr>
          <w:rFonts w:ascii="Times New Roman" w:hAnsi="Times New Roman"/>
          <w:sz w:val="24"/>
          <w:szCs w:val="24"/>
        </w:rPr>
        <w:t xml:space="preserve"> no qual um não se sobrepõe ao outro e vice-versa.</w:t>
      </w:r>
    </w:p>
    <w:p w:rsidR="00D549BC" w:rsidRPr="00174D2E" w:rsidRDefault="00D549BC" w:rsidP="00C841CC">
      <w:pPr>
        <w:spacing w:after="200"/>
        <w:contextualSpacing/>
        <w:rPr>
          <w:rFonts w:ascii="Times New Roman" w:hAnsi="Times New Roman"/>
          <w:sz w:val="24"/>
          <w:szCs w:val="24"/>
        </w:rPr>
      </w:pPr>
      <w:r w:rsidRPr="00422D91">
        <w:rPr>
          <w:rFonts w:ascii="Times New Roman" w:hAnsi="Times New Roman"/>
          <w:sz w:val="24"/>
          <w:szCs w:val="24"/>
        </w:rPr>
        <w:t xml:space="preserve">Todavia nem sempre essa dinâmica entre os dois modelos coexistiu ao longo da história constitucional brasileira, tendo-se, inicialmente, adotado o modelo difuso de </w:t>
      </w:r>
      <w:r>
        <w:rPr>
          <w:rFonts w:ascii="Times New Roman" w:hAnsi="Times New Roman"/>
          <w:sz w:val="24"/>
          <w:szCs w:val="24"/>
        </w:rPr>
        <w:t xml:space="preserve">controle da constitucionalidade, que se tornou paradigmático a partir do famoso precedente </w:t>
      </w:r>
      <w:r w:rsidRPr="00174D2E">
        <w:rPr>
          <w:rFonts w:ascii="Times New Roman" w:hAnsi="Times New Roman"/>
          <w:i/>
          <w:sz w:val="24"/>
          <w:szCs w:val="24"/>
        </w:rPr>
        <w:t>Marbury versus Madison</w:t>
      </w:r>
      <w:r>
        <w:rPr>
          <w:rFonts w:ascii="Times New Roman" w:hAnsi="Times New Roman"/>
          <w:sz w:val="24"/>
          <w:szCs w:val="24"/>
        </w:rPr>
        <w:t>, julgado em 1803 pela Suprema Corte norte-americana.</w:t>
      </w:r>
      <w:r>
        <w:rPr>
          <w:rStyle w:val="FootnoteReference"/>
          <w:rFonts w:ascii="Times New Roman" w:hAnsi="Times New Roman"/>
          <w:sz w:val="24"/>
          <w:szCs w:val="24"/>
        </w:rPr>
        <w:footnoteReference w:id="9"/>
      </w:r>
    </w:p>
    <w:p w:rsidR="00D549BC" w:rsidRDefault="00D549BC" w:rsidP="00C841CC">
      <w:pPr>
        <w:rPr>
          <w:rFonts w:ascii="Times New Roman" w:hAnsi="Times New Roman"/>
          <w:sz w:val="24"/>
          <w:szCs w:val="26"/>
        </w:rPr>
      </w:pPr>
      <w:r w:rsidRPr="00422D91">
        <w:rPr>
          <w:rFonts w:ascii="Times New Roman" w:hAnsi="Times New Roman"/>
          <w:sz w:val="24"/>
          <w:szCs w:val="24"/>
        </w:rPr>
        <w:t>Diante da proclamação da República</w:t>
      </w:r>
      <w:r>
        <w:rPr>
          <w:rFonts w:ascii="Times New Roman" w:hAnsi="Times New Roman"/>
          <w:sz w:val="24"/>
          <w:szCs w:val="24"/>
        </w:rPr>
        <w:t>,</w:t>
      </w:r>
      <w:r w:rsidRPr="00422D91">
        <w:rPr>
          <w:rFonts w:ascii="Times New Roman" w:hAnsi="Times New Roman"/>
          <w:sz w:val="24"/>
          <w:szCs w:val="24"/>
        </w:rPr>
        <w:t xml:space="preserve"> em 15 de novembro de 1889, a doutrina norte-americana incorporou-se</w:t>
      </w:r>
      <w:r>
        <w:rPr>
          <w:rFonts w:ascii="Times New Roman" w:hAnsi="Times New Roman"/>
          <w:sz w:val="24"/>
          <w:szCs w:val="24"/>
        </w:rPr>
        <w:t xml:space="preserve"> </w:t>
      </w:r>
      <w:r w:rsidRPr="00422D91">
        <w:rPr>
          <w:rFonts w:ascii="Times New Roman" w:hAnsi="Times New Roman"/>
          <w:sz w:val="24"/>
          <w:szCs w:val="24"/>
        </w:rPr>
        <w:t>ao nosso sistema constitucional</w:t>
      </w:r>
      <w:r>
        <w:rPr>
          <w:rFonts w:ascii="Times New Roman" w:hAnsi="Times New Roman"/>
          <w:sz w:val="24"/>
          <w:szCs w:val="24"/>
        </w:rPr>
        <w:t>,</w:t>
      </w:r>
      <w:r>
        <w:rPr>
          <w:rStyle w:val="FootnoteReference"/>
          <w:rFonts w:ascii="Times New Roman" w:hAnsi="Times New Roman"/>
          <w:sz w:val="24"/>
          <w:szCs w:val="24"/>
        </w:rPr>
        <w:footnoteReference w:id="10"/>
      </w:r>
      <w:r>
        <w:rPr>
          <w:rFonts w:ascii="Times New Roman" w:hAnsi="Times New Roman"/>
          <w:sz w:val="24"/>
          <w:szCs w:val="24"/>
        </w:rPr>
        <w:t xml:space="preserve"> </w:t>
      </w:r>
      <w:r w:rsidRPr="00422D91">
        <w:rPr>
          <w:rFonts w:ascii="Times New Roman" w:hAnsi="Times New Roman"/>
          <w:sz w:val="24"/>
          <w:szCs w:val="24"/>
        </w:rPr>
        <w:t>aparecendo já perfeitamente nítida na Constituição Provisória de 22 de junho de 1890, instituída pelo Decreto nº 510 de 22 de junho de 1890, que previu a criação do Supremo Tribunal</w:t>
      </w:r>
      <w:r w:rsidRPr="00422D91">
        <w:rPr>
          <w:rFonts w:ascii="Times New Roman" w:hAnsi="Times New Roman"/>
          <w:sz w:val="26"/>
          <w:szCs w:val="26"/>
        </w:rPr>
        <w:t xml:space="preserve"> Federal</w:t>
      </w:r>
      <w:r w:rsidRPr="00422D91">
        <w:rPr>
          <w:rStyle w:val="FootnoteReference"/>
          <w:rFonts w:ascii="Times New Roman" w:hAnsi="Times New Roman"/>
          <w:sz w:val="26"/>
          <w:szCs w:val="26"/>
        </w:rPr>
        <w:footnoteReference w:id="11"/>
      </w:r>
      <w:r w:rsidRPr="00422D91">
        <w:rPr>
          <w:rFonts w:ascii="Times New Roman" w:hAnsi="Times New Roman"/>
          <w:sz w:val="26"/>
          <w:szCs w:val="26"/>
        </w:rPr>
        <w:t xml:space="preserve"> em simetria à Suprema </w:t>
      </w:r>
      <w:r w:rsidRPr="00422D91">
        <w:rPr>
          <w:rFonts w:ascii="Times New Roman" w:hAnsi="Times New Roman"/>
          <w:sz w:val="24"/>
          <w:szCs w:val="26"/>
        </w:rPr>
        <w:t>Corte, inclusive sendo o cargo de ministro do STF</w:t>
      </w:r>
      <w:r>
        <w:rPr>
          <w:rFonts w:ascii="Times New Roman" w:hAnsi="Times New Roman"/>
          <w:sz w:val="24"/>
          <w:szCs w:val="26"/>
        </w:rPr>
        <w:t xml:space="preserve"> também</w:t>
      </w:r>
      <w:r w:rsidRPr="00422D91">
        <w:rPr>
          <w:rFonts w:ascii="Times New Roman" w:hAnsi="Times New Roman"/>
          <w:sz w:val="24"/>
          <w:szCs w:val="26"/>
        </w:rPr>
        <w:t xml:space="preserve"> vitalício</w:t>
      </w:r>
      <w:r>
        <w:rPr>
          <w:rFonts w:ascii="Times New Roman" w:hAnsi="Times New Roman"/>
          <w:sz w:val="24"/>
          <w:szCs w:val="26"/>
        </w:rPr>
        <w:t>,</w:t>
      </w:r>
      <w:r w:rsidRPr="00422D91">
        <w:rPr>
          <w:rStyle w:val="FootnoteReference"/>
          <w:rFonts w:ascii="Times New Roman" w:hAnsi="Times New Roman"/>
          <w:sz w:val="24"/>
          <w:szCs w:val="26"/>
        </w:rPr>
        <w:footnoteReference w:id="12"/>
      </w:r>
      <w:r w:rsidRPr="00422D91">
        <w:rPr>
          <w:rFonts w:ascii="Times New Roman" w:hAnsi="Times New Roman"/>
          <w:sz w:val="24"/>
          <w:szCs w:val="26"/>
        </w:rPr>
        <w:t xml:space="preserve"> tal qual previsto na Constituição </w:t>
      </w:r>
      <w:r>
        <w:rPr>
          <w:rFonts w:ascii="Times New Roman" w:hAnsi="Times New Roman"/>
          <w:sz w:val="24"/>
          <w:szCs w:val="26"/>
        </w:rPr>
        <w:t>norte-</w:t>
      </w:r>
      <w:r w:rsidRPr="00422D91">
        <w:rPr>
          <w:rFonts w:ascii="Times New Roman" w:hAnsi="Times New Roman"/>
          <w:sz w:val="24"/>
          <w:szCs w:val="26"/>
        </w:rPr>
        <w:t>americana</w:t>
      </w:r>
      <w:r>
        <w:rPr>
          <w:rFonts w:ascii="Times New Roman" w:hAnsi="Times New Roman"/>
          <w:sz w:val="24"/>
          <w:szCs w:val="26"/>
        </w:rPr>
        <w:t>.</w:t>
      </w:r>
      <w:r w:rsidRPr="00422D91">
        <w:rPr>
          <w:rStyle w:val="FootnoteReference"/>
          <w:rFonts w:ascii="Times New Roman" w:hAnsi="Times New Roman"/>
          <w:sz w:val="24"/>
          <w:szCs w:val="26"/>
        </w:rPr>
        <w:footnoteReference w:id="13"/>
      </w:r>
      <w:r>
        <w:rPr>
          <w:rFonts w:ascii="Times New Roman" w:hAnsi="Times New Roman"/>
          <w:sz w:val="24"/>
          <w:szCs w:val="26"/>
        </w:rPr>
        <w:t xml:space="preserve"> </w:t>
      </w:r>
    </w:p>
    <w:p w:rsidR="00D549BC" w:rsidRPr="00422D91" w:rsidRDefault="00D549BC" w:rsidP="00C841CC">
      <w:pPr>
        <w:rPr>
          <w:rFonts w:ascii="Times New Roman" w:hAnsi="Times New Roman"/>
          <w:sz w:val="24"/>
          <w:szCs w:val="26"/>
        </w:rPr>
      </w:pPr>
      <w:r w:rsidRPr="00422D91">
        <w:rPr>
          <w:rFonts w:ascii="Times New Roman" w:hAnsi="Times New Roman"/>
          <w:sz w:val="24"/>
          <w:szCs w:val="26"/>
        </w:rPr>
        <w:t>A Constituição Provisória</w:t>
      </w:r>
      <w:r>
        <w:rPr>
          <w:rFonts w:ascii="Times New Roman" w:hAnsi="Times New Roman"/>
          <w:sz w:val="24"/>
          <w:szCs w:val="26"/>
        </w:rPr>
        <w:t xml:space="preserve"> de 1890</w:t>
      </w:r>
      <w:r w:rsidRPr="00422D91">
        <w:rPr>
          <w:rFonts w:ascii="Times New Roman" w:hAnsi="Times New Roman"/>
          <w:sz w:val="24"/>
          <w:szCs w:val="26"/>
        </w:rPr>
        <w:t xml:space="preserve"> foi posteriormente referendada pela primeira Constituição republicana de 24 de fevereiro de 1891, reproduzindo, quase que integralmente, o conteúdo daquela</w:t>
      </w:r>
      <w:r>
        <w:rPr>
          <w:rFonts w:ascii="Times New Roman" w:hAnsi="Times New Roman"/>
          <w:sz w:val="24"/>
          <w:szCs w:val="26"/>
        </w:rPr>
        <w:t>.</w:t>
      </w:r>
      <w:r w:rsidRPr="00422D91">
        <w:rPr>
          <w:rStyle w:val="FootnoteReference"/>
          <w:rFonts w:ascii="Times New Roman" w:hAnsi="Times New Roman"/>
          <w:sz w:val="24"/>
          <w:szCs w:val="26"/>
        </w:rPr>
        <w:footnoteReference w:id="14"/>
      </w:r>
      <w:r w:rsidRPr="00422D91">
        <w:rPr>
          <w:rFonts w:ascii="Times New Roman" w:hAnsi="Times New Roman"/>
          <w:sz w:val="24"/>
          <w:szCs w:val="26"/>
        </w:rPr>
        <w:t xml:space="preserve"> </w:t>
      </w:r>
    </w:p>
    <w:p w:rsidR="00D549BC" w:rsidRPr="00422D91" w:rsidRDefault="00D549BC" w:rsidP="00207EDE">
      <w:pPr>
        <w:spacing w:after="200"/>
        <w:contextualSpacing/>
        <w:rPr>
          <w:rFonts w:ascii="Times New Roman" w:hAnsi="Times New Roman"/>
          <w:sz w:val="24"/>
          <w:szCs w:val="26"/>
        </w:rPr>
      </w:pPr>
      <w:r w:rsidRPr="00422D91">
        <w:rPr>
          <w:rFonts w:ascii="Times New Roman" w:hAnsi="Times New Roman"/>
          <w:sz w:val="24"/>
          <w:szCs w:val="26"/>
        </w:rPr>
        <w:t xml:space="preserve">No que diz respeito ao </w:t>
      </w:r>
      <w:r>
        <w:rPr>
          <w:rFonts w:ascii="Times New Roman" w:hAnsi="Times New Roman"/>
          <w:sz w:val="24"/>
          <w:szCs w:val="26"/>
        </w:rPr>
        <w:t xml:space="preserve">controle de constitucionalidade </w:t>
      </w:r>
      <w:r w:rsidRPr="00422D91">
        <w:rPr>
          <w:rFonts w:ascii="Times New Roman" w:hAnsi="Times New Roman"/>
          <w:sz w:val="24"/>
          <w:szCs w:val="26"/>
        </w:rPr>
        <w:t>no bojo da primeira Carta republicana, pode-se dizer que reproduziu</w:t>
      </w:r>
      <w:r w:rsidRPr="00422D91">
        <w:rPr>
          <w:rStyle w:val="FootnoteReference"/>
          <w:rFonts w:ascii="Times New Roman" w:hAnsi="Times New Roman"/>
          <w:sz w:val="24"/>
          <w:szCs w:val="26"/>
        </w:rPr>
        <w:footnoteReference w:id="15"/>
      </w:r>
      <w:r w:rsidRPr="00422D91">
        <w:rPr>
          <w:rFonts w:ascii="Times New Roman" w:hAnsi="Times New Roman"/>
          <w:sz w:val="24"/>
          <w:szCs w:val="26"/>
        </w:rPr>
        <w:t xml:space="preserve"> o que fora prescrito no Decreto nº 848 de 11 de outubro de 1890</w:t>
      </w:r>
      <w:r>
        <w:rPr>
          <w:rFonts w:ascii="Times New Roman" w:hAnsi="Times New Roman"/>
          <w:sz w:val="24"/>
          <w:szCs w:val="26"/>
        </w:rPr>
        <w:t>,</w:t>
      </w:r>
      <w:r w:rsidRPr="00422D91">
        <w:rPr>
          <w:rStyle w:val="FootnoteReference"/>
          <w:rFonts w:ascii="Times New Roman" w:hAnsi="Times New Roman"/>
          <w:sz w:val="24"/>
          <w:szCs w:val="26"/>
        </w:rPr>
        <w:footnoteReference w:id="16"/>
      </w:r>
      <w:r w:rsidRPr="00422D91">
        <w:rPr>
          <w:rFonts w:ascii="Times New Roman" w:hAnsi="Times New Roman"/>
          <w:sz w:val="24"/>
          <w:szCs w:val="26"/>
        </w:rPr>
        <w:t xml:space="preserve"> o qual instituiu a Justiça Federal.</w:t>
      </w:r>
    </w:p>
    <w:p w:rsidR="00D549BC" w:rsidRPr="00422D91" w:rsidRDefault="00D549BC" w:rsidP="00C22EBE">
      <w:pPr>
        <w:contextualSpacing/>
        <w:rPr>
          <w:rFonts w:ascii="Times New Roman" w:hAnsi="Times New Roman"/>
          <w:sz w:val="24"/>
          <w:szCs w:val="26"/>
        </w:rPr>
      </w:pPr>
      <w:r w:rsidRPr="00422D91">
        <w:rPr>
          <w:rFonts w:ascii="Times New Roman" w:hAnsi="Times New Roman"/>
          <w:sz w:val="24"/>
          <w:szCs w:val="26"/>
        </w:rPr>
        <w:t>Importante esclarecer que o Regimento Interno do Supremo Tribunal Feder</w:t>
      </w:r>
      <w:r>
        <w:rPr>
          <w:rFonts w:ascii="Times New Roman" w:hAnsi="Times New Roman"/>
          <w:sz w:val="24"/>
          <w:szCs w:val="26"/>
        </w:rPr>
        <w:t>al, de 26 de fevereiro de 1891 –</w:t>
      </w:r>
      <w:r w:rsidRPr="00422D91">
        <w:rPr>
          <w:rFonts w:ascii="Times New Roman" w:hAnsi="Times New Roman"/>
          <w:sz w:val="24"/>
          <w:szCs w:val="26"/>
        </w:rPr>
        <w:t xml:space="preserve"> não obstante</w:t>
      </w:r>
      <w:r>
        <w:rPr>
          <w:rFonts w:ascii="Times New Roman" w:hAnsi="Times New Roman"/>
          <w:sz w:val="24"/>
          <w:szCs w:val="26"/>
        </w:rPr>
        <w:t xml:space="preserve"> o fato de a Constituição de 1</w:t>
      </w:r>
      <w:r w:rsidRPr="00422D91">
        <w:rPr>
          <w:rFonts w:ascii="Times New Roman" w:hAnsi="Times New Roman"/>
          <w:sz w:val="24"/>
          <w:szCs w:val="26"/>
        </w:rPr>
        <w:t>8</w:t>
      </w:r>
      <w:r>
        <w:rPr>
          <w:rFonts w:ascii="Times New Roman" w:hAnsi="Times New Roman"/>
          <w:sz w:val="24"/>
          <w:szCs w:val="26"/>
        </w:rPr>
        <w:t xml:space="preserve">91 </w:t>
      </w:r>
      <w:r w:rsidRPr="00422D91">
        <w:rPr>
          <w:rFonts w:ascii="Times New Roman" w:hAnsi="Times New Roman"/>
          <w:sz w:val="24"/>
          <w:szCs w:val="26"/>
        </w:rPr>
        <w:t>designar apenas “</w:t>
      </w:r>
      <w:r w:rsidRPr="00422D91">
        <w:rPr>
          <w:rFonts w:ascii="Times New Roman" w:hAnsi="Times New Roman"/>
          <w:i/>
          <w:sz w:val="24"/>
          <w:szCs w:val="26"/>
        </w:rPr>
        <w:t>recurso</w:t>
      </w:r>
      <w:r w:rsidRPr="00422D91">
        <w:rPr>
          <w:rFonts w:ascii="Times New Roman" w:hAnsi="Times New Roman"/>
          <w:sz w:val="24"/>
          <w:szCs w:val="26"/>
        </w:rPr>
        <w:t xml:space="preserve">”, </w:t>
      </w:r>
      <w:r>
        <w:rPr>
          <w:rFonts w:ascii="Times New Roman" w:hAnsi="Times New Roman"/>
          <w:sz w:val="24"/>
          <w:szCs w:val="26"/>
        </w:rPr>
        <w:t>não o nominando –,</w:t>
      </w:r>
      <w:r w:rsidRPr="00422D91">
        <w:rPr>
          <w:rFonts w:ascii="Times New Roman" w:hAnsi="Times New Roman"/>
          <w:sz w:val="24"/>
          <w:szCs w:val="26"/>
        </w:rPr>
        <w:t xml:space="preserve"> </w:t>
      </w:r>
      <w:r>
        <w:rPr>
          <w:rFonts w:ascii="Times New Roman" w:hAnsi="Times New Roman"/>
          <w:sz w:val="24"/>
          <w:szCs w:val="26"/>
        </w:rPr>
        <w:t>adotou</w:t>
      </w:r>
      <w:r w:rsidRPr="00422D91">
        <w:rPr>
          <w:rFonts w:ascii="Times New Roman" w:hAnsi="Times New Roman"/>
          <w:sz w:val="24"/>
          <w:szCs w:val="26"/>
        </w:rPr>
        <w:t xml:space="preserve"> a expressão complementar “</w:t>
      </w:r>
      <w:r w:rsidRPr="00422D91">
        <w:rPr>
          <w:rFonts w:ascii="Times New Roman" w:hAnsi="Times New Roman"/>
          <w:i/>
          <w:sz w:val="24"/>
          <w:szCs w:val="26"/>
        </w:rPr>
        <w:t>extraordinário</w:t>
      </w:r>
      <w:r w:rsidRPr="00422D91">
        <w:rPr>
          <w:rFonts w:ascii="Times New Roman" w:hAnsi="Times New Roman"/>
          <w:sz w:val="24"/>
          <w:szCs w:val="26"/>
        </w:rPr>
        <w:t>” ao recurso em comento</w:t>
      </w:r>
      <w:r w:rsidRPr="00422D91">
        <w:rPr>
          <w:rStyle w:val="FootnoteReference"/>
          <w:rFonts w:ascii="Times New Roman" w:hAnsi="Times New Roman"/>
          <w:sz w:val="24"/>
          <w:szCs w:val="26"/>
        </w:rPr>
        <w:footnoteReference w:id="17"/>
      </w:r>
      <w:r>
        <w:rPr>
          <w:rFonts w:ascii="Times New Roman" w:hAnsi="Times New Roman"/>
          <w:sz w:val="24"/>
          <w:szCs w:val="26"/>
        </w:rPr>
        <w:t xml:space="preserve"> </w:t>
      </w:r>
      <w:r w:rsidRPr="00422D91">
        <w:rPr>
          <w:rFonts w:ascii="Times New Roman" w:hAnsi="Times New Roman"/>
          <w:sz w:val="24"/>
          <w:szCs w:val="26"/>
        </w:rPr>
        <w:t>(e</w:t>
      </w:r>
      <w:r>
        <w:rPr>
          <w:rFonts w:ascii="Times New Roman" w:hAnsi="Times New Roman"/>
          <w:sz w:val="24"/>
          <w:szCs w:val="26"/>
        </w:rPr>
        <w:t>m vista da excepcionalidade dess</w:t>
      </w:r>
      <w:r w:rsidRPr="00422D91">
        <w:rPr>
          <w:rFonts w:ascii="Times New Roman" w:hAnsi="Times New Roman"/>
          <w:sz w:val="24"/>
          <w:szCs w:val="26"/>
        </w:rPr>
        <w:t>e meio de impugnação)</w:t>
      </w:r>
      <w:r>
        <w:rPr>
          <w:rFonts w:ascii="Times New Roman" w:hAnsi="Times New Roman"/>
          <w:sz w:val="24"/>
          <w:szCs w:val="26"/>
        </w:rPr>
        <w:t>, a qual passou a ser adotada em todas as Cartas posteriores.</w:t>
      </w:r>
      <w:r w:rsidRPr="00422D91">
        <w:rPr>
          <w:rFonts w:ascii="Times New Roman" w:hAnsi="Times New Roman"/>
          <w:sz w:val="24"/>
          <w:szCs w:val="26"/>
        </w:rPr>
        <w:t xml:space="preserve"> </w:t>
      </w:r>
    </w:p>
    <w:p w:rsidR="00D549BC" w:rsidRPr="00422D91" w:rsidRDefault="00D549BC" w:rsidP="00C22EBE">
      <w:pPr>
        <w:contextualSpacing/>
        <w:rPr>
          <w:rFonts w:ascii="Times New Roman" w:hAnsi="Times New Roman"/>
          <w:sz w:val="24"/>
          <w:szCs w:val="26"/>
        </w:rPr>
      </w:pPr>
      <w:r w:rsidRPr="00422D91">
        <w:rPr>
          <w:rFonts w:ascii="Times New Roman" w:hAnsi="Times New Roman"/>
          <w:sz w:val="24"/>
          <w:szCs w:val="26"/>
        </w:rPr>
        <w:t xml:space="preserve">Conclui-se, assim, que o objetivo do Recurso Extraordinário, inaugurado em nosso ordenamento jurídico com a Constituição da República de 1891, era o de levar ao conhecimento do Supremo Tribunal Federal as decisões proferidas pelos Tribunais estaduais, em última instância, que questionassem/contrariassem a validade ou aplicação de tratados e leis federais; bem como, quando se contestasse a validade de leis e atos dos governos locais, em face da Constituição ou das leis federais, e a decisão do Tribunal </w:t>
      </w:r>
      <w:r>
        <w:rPr>
          <w:rFonts w:ascii="Times New Roman" w:hAnsi="Times New Roman"/>
          <w:sz w:val="24"/>
          <w:szCs w:val="26"/>
        </w:rPr>
        <w:t xml:space="preserve">de Justiça </w:t>
      </w:r>
      <w:r w:rsidRPr="00422D91">
        <w:rPr>
          <w:rFonts w:ascii="Times New Roman" w:hAnsi="Times New Roman"/>
          <w:sz w:val="24"/>
          <w:szCs w:val="26"/>
        </w:rPr>
        <w:t>considerasse válido</w:t>
      </w:r>
      <w:r>
        <w:rPr>
          <w:rFonts w:ascii="Times New Roman" w:hAnsi="Times New Roman"/>
          <w:sz w:val="24"/>
          <w:szCs w:val="26"/>
        </w:rPr>
        <w:t>s</w:t>
      </w:r>
      <w:r w:rsidRPr="00422D91">
        <w:rPr>
          <w:rFonts w:ascii="Times New Roman" w:hAnsi="Times New Roman"/>
          <w:sz w:val="24"/>
          <w:szCs w:val="26"/>
        </w:rPr>
        <w:t xml:space="preserve"> esses atos ou leis impugnadas. </w:t>
      </w:r>
    </w:p>
    <w:p w:rsidR="00D549BC" w:rsidRPr="00422D91" w:rsidRDefault="00D549BC" w:rsidP="00C22EBE">
      <w:pPr>
        <w:contextualSpacing/>
        <w:rPr>
          <w:rFonts w:ascii="Times New Roman" w:hAnsi="Times New Roman"/>
          <w:sz w:val="24"/>
          <w:szCs w:val="26"/>
        </w:rPr>
      </w:pPr>
      <w:r w:rsidRPr="00422D91">
        <w:rPr>
          <w:rFonts w:ascii="Times New Roman" w:hAnsi="Times New Roman"/>
          <w:sz w:val="24"/>
          <w:szCs w:val="26"/>
        </w:rPr>
        <w:t>A segunda conclusão</w:t>
      </w:r>
      <w:r>
        <w:rPr>
          <w:rFonts w:ascii="Times New Roman" w:hAnsi="Times New Roman"/>
          <w:sz w:val="24"/>
          <w:szCs w:val="26"/>
        </w:rPr>
        <w:t>, a ser extraída a partir da exegese do texto constitucional à época,</w:t>
      </w:r>
      <w:r w:rsidRPr="00422D91">
        <w:rPr>
          <w:rFonts w:ascii="Times New Roman" w:hAnsi="Times New Roman"/>
          <w:sz w:val="24"/>
          <w:szCs w:val="26"/>
        </w:rPr>
        <w:t xml:space="preserve"> refere-se ao papel da Corte Suprema</w:t>
      </w:r>
      <w:r>
        <w:rPr>
          <w:rFonts w:ascii="Times New Roman" w:hAnsi="Times New Roman"/>
          <w:sz w:val="24"/>
          <w:szCs w:val="26"/>
        </w:rPr>
        <w:t xml:space="preserve"> brasileira</w:t>
      </w:r>
      <w:r w:rsidRPr="00422D91">
        <w:rPr>
          <w:rFonts w:ascii="Times New Roman" w:hAnsi="Times New Roman"/>
          <w:sz w:val="24"/>
          <w:szCs w:val="26"/>
        </w:rPr>
        <w:t xml:space="preserve"> em 1891, podendo-se afirmar</w:t>
      </w:r>
      <w:r>
        <w:rPr>
          <w:rFonts w:ascii="Times New Roman" w:hAnsi="Times New Roman"/>
          <w:sz w:val="24"/>
          <w:szCs w:val="26"/>
        </w:rPr>
        <w:t xml:space="preserve"> </w:t>
      </w:r>
      <w:r w:rsidRPr="00422D91">
        <w:rPr>
          <w:rFonts w:ascii="Times New Roman" w:hAnsi="Times New Roman"/>
          <w:sz w:val="24"/>
          <w:szCs w:val="26"/>
        </w:rPr>
        <w:t>que consistia em: tutelar a autoridade e aplicação da Constituição da República, dos tratados internacionais e, por fim, das leis federais em todo território nacional.</w:t>
      </w:r>
      <w:r>
        <w:rPr>
          <w:rFonts w:ascii="Times New Roman" w:hAnsi="Times New Roman"/>
          <w:sz w:val="24"/>
          <w:szCs w:val="26"/>
        </w:rPr>
        <w:t xml:space="preserve"> Em suma, tratava-se de um verdadeiro Tribunal da Federação. </w:t>
      </w:r>
    </w:p>
    <w:p w:rsidR="00D549BC" w:rsidRDefault="00D549BC" w:rsidP="00AB5950">
      <w:pPr>
        <w:spacing w:after="200"/>
        <w:contextualSpacing/>
        <w:rPr>
          <w:rFonts w:ascii="Times New Roman" w:hAnsi="Times New Roman"/>
          <w:sz w:val="24"/>
          <w:szCs w:val="26"/>
        </w:rPr>
      </w:pPr>
      <w:r w:rsidRPr="00422D91">
        <w:rPr>
          <w:rFonts w:ascii="Times New Roman" w:hAnsi="Times New Roman"/>
          <w:sz w:val="24"/>
          <w:szCs w:val="26"/>
        </w:rPr>
        <w:t>Finalmente, a Lei Federal nº 221</w:t>
      </w:r>
      <w:r>
        <w:rPr>
          <w:rFonts w:ascii="Times New Roman" w:hAnsi="Times New Roman"/>
          <w:sz w:val="24"/>
          <w:szCs w:val="26"/>
        </w:rPr>
        <w:t>,</w:t>
      </w:r>
      <w:r w:rsidRPr="00422D91">
        <w:rPr>
          <w:rFonts w:ascii="Times New Roman" w:hAnsi="Times New Roman"/>
          <w:sz w:val="24"/>
          <w:szCs w:val="26"/>
        </w:rPr>
        <w:t xml:space="preserve"> de 20 de novembro de 1894, a qual completou a organização da Justiça Federal, veio a explicitar, ainda mais, o sistema judicial de controle</w:t>
      </w:r>
      <w:r>
        <w:rPr>
          <w:rFonts w:ascii="Times New Roman" w:hAnsi="Times New Roman"/>
          <w:sz w:val="24"/>
          <w:szCs w:val="26"/>
        </w:rPr>
        <w:t xml:space="preserve"> difuso</w:t>
      </w:r>
      <w:r w:rsidRPr="00422D91">
        <w:rPr>
          <w:rFonts w:ascii="Times New Roman" w:hAnsi="Times New Roman"/>
          <w:sz w:val="24"/>
          <w:szCs w:val="26"/>
        </w:rPr>
        <w:t xml:space="preserve"> </w:t>
      </w:r>
      <w:r>
        <w:rPr>
          <w:rFonts w:ascii="Times New Roman" w:hAnsi="Times New Roman"/>
          <w:sz w:val="24"/>
          <w:szCs w:val="26"/>
        </w:rPr>
        <w:t>da</w:t>
      </w:r>
      <w:r w:rsidRPr="00422D91">
        <w:rPr>
          <w:rFonts w:ascii="Times New Roman" w:hAnsi="Times New Roman"/>
          <w:sz w:val="24"/>
          <w:szCs w:val="26"/>
        </w:rPr>
        <w:t xml:space="preserve"> constitucionalidade, consagrando no art. 13, § 10</w:t>
      </w:r>
      <w:r>
        <w:rPr>
          <w:rFonts w:ascii="Times New Roman" w:hAnsi="Times New Roman"/>
          <w:sz w:val="24"/>
          <w:szCs w:val="26"/>
        </w:rPr>
        <w:t>º</w:t>
      </w:r>
      <w:r w:rsidRPr="00422D91">
        <w:rPr>
          <w:rFonts w:ascii="Times New Roman" w:hAnsi="Times New Roman"/>
          <w:sz w:val="24"/>
          <w:szCs w:val="26"/>
        </w:rPr>
        <w:t>, a seguinte cláusula: “</w:t>
      </w:r>
      <w:r w:rsidRPr="00422D91">
        <w:rPr>
          <w:rFonts w:ascii="Times New Roman" w:hAnsi="Times New Roman"/>
          <w:i/>
          <w:sz w:val="24"/>
          <w:szCs w:val="26"/>
        </w:rPr>
        <w:t>os juízes e tribunais apreciarão a validade das leis e regulamentos e deixarão de aplicar aos casos ocorrentes as leis manifestamente inconstitucionais e os regulamentos manifestamente incompatíveis com as leis ou com a Constituição</w:t>
      </w:r>
      <w:r w:rsidRPr="00422D91">
        <w:rPr>
          <w:rFonts w:ascii="Times New Roman" w:hAnsi="Times New Roman"/>
          <w:sz w:val="24"/>
          <w:szCs w:val="26"/>
        </w:rPr>
        <w:t xml:space="preserve">”. A citada lei, também previu, expressamente, o </w:t>
      </w:r>
      <w:r>
        <w:rPr>
          <w:rFonts w:ascii="Times New Roman" w:hAnsi="Times New Roman"/>
          <w:sz w:val="24"/>
          <w:szCs w:val="26"/>
        </w:rPr>
        <w:t>R</w:t>
      </w:r>
      <w:r w:rsidRPr="00422D91">
        <w:rPr>
          <w:rFonts w:ascii="Times New Roman" w:hAnsi="Times New Roman"/>
          <w:sz w:val="24"/>
          <w:szCs w:val="26"/>
        </w:rPr>
        <w:t xml:space="preserve">ecurso </w:t>
      </w:r>
      <w:r>
        <w:rPr>
          <w:rFonts w:ascii="Times New Roman" w:hAnsi="Times New Roman"/>
          <w:sz w:val="24"/>
          <w:szCs w:val="26"/>
        </w:rPr>
        <w:t>E</w:t>
      </w:r>
      <w:r w:rsidRPr="00422D91">
        <w:rPr>
          <w:rFonts w:ascii="Times New Roman" w:hAnsi="Times New Roman"/>
          <w:sz w:val="24"/>
          <w:szCs w:val="26"/>
        </w:rPr>
        <w:t xml:space="preserve">xtraordinário, </w:t>
      </w:r>
      <w:r>
        <w:rPr>
          <w:rFonts w:ascii="Times New Roman" w:hAnsi="Times New Roman"/>
          <w:sz w:val="24"/>
          <w:szCs w:val="26"/>
        </w:rPr>
        <w:t xml:space="preserve">além de ter </w:t>
      </w:r>
      <w:r w:rsidRPr="00422D91">
        <w:rPr>
          <w:rFonts w:ascii="Times New Roman" w:hAnsi="Times New Roman"/>
          <w:sz w:val="24"/>
          <w:szCs w:val="26"/>
        </w:rPr>
        <w:t>utilizado a mesma nomenclatura que fora adotada pelo Regimento Interno do STF em 1891</w:t>
      </w:r>
      <w:r>
        <w:rPr>
          <w:rFonts w:ascii="Times New Roman" w:hAnsi="Times New Roman"/>
          <w:sz w:val="24"/>
          <w:szCs w:val="26"/>
        </w:rPr>
        <w:t>.</w:t>
      </w:r>
      <w:r w:rsidRPr="00422D91">
        <w:rPr>
          <w:rStyle w:val="FootnoteReference"/>
          <w:rFonts w:ascii="Times New Roman" w:hAnsi="Times New Roman"/>
          <w:sz w:val="24"/>
          <w:szCs w:val="26"/>
        </w:rPr>
        <w:footnoteReference w:id="18"/>
      </w:r>
      <w:r w:rsidRPr="00422D91">
        <w:rPr>
          <w:rFonts w:ascii="Times New Roman" w:hAnsi="Times New Roman"/>
          <w:sz w:val="24"/>
          <w:szCs w:val="26"/>
        </w:rPr>
        <w:t xml:space="preserve">  </w:t>
      </w:r>
    </w:p>
    <w:p w:rsidR="00D549BC" w:rsidRPr="00AB5950" w:rsidRDefault="00D549BC" w:rsidP="00AB5950">
      <w:pPr>
        <w:spacing w:after="200"/>
        <w:contextualSpacing/>
        <w:rPr>
          <w:rFonts w:ascii="Times New Roman" w:hAnsi="Times New Roman"/>
          <w:sz w:val="24"/>
          <w:szCs w:val="26"/>
        </w:rPr>
      </w:pPr>
      <w:r>
        <w:rPr>
          <w:rFonts w:ascii="Times New Roman" w:hAnsi="Times New Roman"/>
          <w:sz w:val="24"/>
          <w:szCs w:val="26"/>
        </w:rPr>
        <w:t>Sobre a configuração do controle difuso de constitucionalidade brasileiro, inaugurado em 1891, importante destacarmos a análise foi feita por Rui Barbosa:</w:t>
      </w:r>
    </w:p>
    <w:p w:rsidR="00D549BC" w:rsidRDefault="00D549BC" w:rsidP="0075264E">
      <w:pPr>
        <w:spacing w:after="200" w:line="240" w:lineRule="auto"/>
        <w:ind w:left="2268" w:firstLine="0"/>
        <w:contextualSpacing/>
        <w:rPr>
          <w:rFonts w:ascii="Times New Roman" w:hAnsi="Times New Roman"/>
          <w:sz w:val="24"/>
          <w:szCs w:val="26"/>
        </w:rPr>
      </w:pPr>
      <w:r>
        <w:rPr>
          <w:rFonts w:ascii="Times New Roman" w:hAnsi="Times New Roman"/>
        </w:rPr>
        <w:t>A redação é claríssima [do art. 59 da Constituição de 1891]. Nela se reconhece, não só a competência das justiças da União, como a das justiças dos Estados, para conhecer da legitimidade das leis perante a Constituição. Somente se estabelece, a favor das leis federais, a garantia de que, sendo contrária à subsistência delas a decisão do tribunal do Estado, o feito pode passar, por via de recurso, para o Supremo Tribunal Federal. Este ou revogará a sentença, por não procederem as razões da nulidade, ou a confirmará pelo motivo oposto. Mas, numa ou noutra hipótese, o princípio fundamental é a autoridade reconhecida expressamente no texto constitucional, a todos os tribunais, federais ou locais, de discutir a constitucionalidade das leis da União, e aplicá-las, ou desaplicá-las, segundo esse critério.  É o que se dá, por efeito do espírito do sistema, nos Estados Unidos, onde a letra constitucional, diversamente do que ocorre entre nós, é muda a este propósito.</w:t>
      </w:r>
      <w:r>
        <w:rPr>
          <w:rStyle w:val="FootnoteReference"/>
          <w:rFonts w:ascii="Times New Roman" w:hAnsi="Times New Roman"/>
        </w:rPr>
        <w:footnoteReference w:id="19"/>
      </w:r>
      <w:r>
        <w:rPr>
          <w:rFonts w:ascii="Times New Roman" w:hAnsi="Times New Roman"/>
        </w:rPr>
        <w:t xml:space="preserve">    </w:t>
      </w:r>
      <w:r>
        <w:rPr>
          <w:rFonts w:ascii="Times New Roman" w:hAnsi="Times New Roman"/>
          <w:sz w:val="24"/>
          <w:szCs w:val="26"/>
        </w:rPr>
        <w:t xml:space="preserve">  </w:t>
      </w:r>
    </w:p>
    <w:p w:rsidR="00D549BC" w:rsidRDefault="00D549BC" w:rsidP="0075264E">
      <w:pPr>
        <w:spacing w:after="200"/>
        <w:ind w:firstLine="851"/>
        <w:contextualSpacing/>
        <w:rPr>
          <w:rFonts w:ascii="Times New Roman" w:hAnsi="Times New Roman"/>
          <w:sz w:val="24"/>
          <w:szCs w:val="26"/>
        </w:rPr>
      </w:pPr>
    </w:p>
    <w:p w:rsidR="00D549BC" w:rsidRDefault="00D549BC" w:rsidP="00B45224">
      <w:pPr>
        <w:spacing w:after="200"/>
        <w:contextualSpacing/>
        <w:rPr>
          <w:rFonts w:ascii="Times New Roman" w:hAnsi="Times New Roman"/>
          <w:sz w:val="24"/>
          <w:szCs w:val="26"/>
        </w:rPr>
      </w:pPr>
      <w:r>
        <w:rPr>
          <w:rFonts w:ascii="Times New Roman" w:hAnsi="Times New Roman"/>
          <w:sz w:val="24"/>
          <w:szCs w:val="26"/>
        </w:rPr>
        <w:t>A seguir, far-se-á um breve histórico acerca do Supremo Tribunal Federal, o qual surgiu na vigência da Constituição Provisória de 1890.</w:t>
      </w:r>
    </w:p>
    <w:p w:rsidR="00D549BC" w:rsidRDefault="00D549BC" w:rsidP="0075264E">
      <w:pPr>
        <w:spacing w:after="200"/>
        <w:ind w:firstLine="851"/>
        <w:contextualSpacing/>
        <w:rPr>
          <w:rFonts w:ascii="Times New Roman" w:hAnsi="Times New Roman"/>
          <w:sz w:val="24"/>
          <w:szCs w:val="26"/>
        </w:rPr>
      </w:pPr>
      <w:r>
        <w:rPr>
          <w:rFonts w:ascii="Times New Roman" w:hAnsi="Times New Roman"/>
          <w:sz w:val="24"/>
          <w:szCs w:val="26"/>
        </w:rPr>
        <w:t xml:space="preserve"> </w:t>
      </w:r>
    </w:p>
    <w:p w:rsidR="00D549BC" w:rsidRPr="00BB0CD3" w:rsidRDefault="00D549BC" w:rsidP="0075264E">
      <w:pPr>
        <w:spacing w:after="200"/>
        <w:ind w:firstLine="0"/>
        <w:contextualSpacing/>
        <w:rPr>
          <w:rFonts w:ascii="Times New Roman" w:hAnsi="Times New Roman"/>
          <w:b/>
          <w:sz w:val="24"/>
          <w:szCs w:val="26"/>
        </w:rPr>
      </w:pPr>
      <w:r w:rsidRPr="00BB0CD3">
        <w:rPr>
          <w:rFonts w:ascii="Times New Roman" w:hAnsi="Times New Roman"/>
          <w:b/>
          <w:sz w:val="24"/>
          <w:szCs w:val="26"/>
        </w:rPr>
        <w:t xml:space="preserve">2.1.1 O surgimento do Supremo Tribunal Federal </w:t>
      </w:r>
    </w:p>
    <w:p w:rsidR="00D549BC" w:rsidRDefault="00D549BC" w:rsidP="0075264E">
      <w:pPr>
        <w:spacing w:after="200"/>
        <w:ind w:firstLine="851"/>
        <w:contextualSpacing/>
        <w:rPr>
          <w:rFonts w:ascii="Times New Roman" w:hAnsi="Times New Roman"/>
          <w:b/>
          <w:sz w:val="24"/>
          <w:szCs w:val="26"/>
        </w:rPr>
      </w:pPr>
    </w:p>
    <w:p w:rsidR="00D549BC" w:rsidRDefault="00D549BC" w:rsidP="00DA5DE6">
      <w:pPr>
        <w:spacing w:after="200"/>
        <w:contextualSpacing/>
        <w:rPr>
          <w:rFonts w:ascii="Times New Roman" w:hAnsi="Times New Roman"/>
          <w:sz w:val="24"/>
          <w:szCs w:val="26"/>
        </w:rPr>
      </w:pPr>
      <w:r w:rsidRPr="001E2CF0">
        <w:rPr>
          <w:rFonts w:ascii="Times New Roman" w:hAnsi="Times New Roman"/>
          <w:sz w:val="24"/>
          <w:szCs w:val="26"/>
        </w:rPr>
        <w:t xml:space="preserve">A denominação “Supremo </w:t>
      </w:r>
      <w:r>
        <w:rPr>
          <w:rFonts w:ascii="Times New Roman" w:hAnsi="Times New Roman"/>
          <w:sz w:val="24"/>
          <w:szCs w:val="26"/>
        </w:rPr>
        <w:t>Tribunal Federal”</w:t>
      </w:r>
      <w:r>
        <w:rPr>
          <w:rStyle w:val="FootnoteReference"/>
          <w:rFonts w:ascii="Times New Roman" w:hAnsi="Times New Roman"/>
          <w:sz w:val="24"/>
          <w:szCs w:val="26"/>
        </w:rPr>
        <w:footnoteReference w:id="20"/>
      </w:r>
      <w:r>
        <w:rPr>
          <w:rFonts w:ascii="Times New Roman" w:hAnsi="Times New Roman"/>
          <w:sz w:val="24"/>
          <w:szCs w:val="26"/>
        </w:rPr>
        <w:t xml:space="preserve"> foi adotada a partir da</w:t>
      </w:r>
      <w:r w:rsidRPr="001E2CF0">
        <w:rPr>
          <w:rFonts w:ascii="Times New Roman" w:hAnsi="Times New Roman"/>
          <w:sz w:val="24"/>
          <w:szCs w:val="26"/>
        </w:rPr>
        <w:t xml:space="preserve"> Constituição Provisória publicada</w:t>
      </w:r>
      <w:r>
        <w:rPr>
          <w:rFonts w:ascii="Times New Roman" w:hAnsi="Times New Roman"/>
          <w:sz w:val="24"/>
          <w:szCs w:val="26"/>
        </w:rPr>
        <w:t xml:space="preserve"> a partir do Decreto n</w:t>
      </w:r>
      <w:r w:rsidRPr="001E2CF0">
        <w:rPr>
          <w:rFonts w:ascii="Times New Roman" w:hAnsi="Times New Roman"/>
          <w:sz w:val="24"/>
          <w:szCs w:val="26"/>
        </w:rPr>
        <w:t xml:space="preserve">º 510, de 22 de junho de </w:t>
      </w:r>
      <w:r>
        <w:rPr>
          <w:rFonts w:ascii="Times New Roman" w:hAnsi="Times New Roman"/>
          <w:sz w:val="24"/>
          <w:szCs w:val="26"/>
        </w:rPr>
        <w:t>1890, e repetiu-se no Decreto n</w:t>
      </w:r>
      <w:r w:rsidRPr="001E2CF0">
        <w:rPr>
          <w:rFonts w:ascii="Times New Roman" w:hAnsi="Times New Roman"/>
          <w:sz w:val="24"/>
          <w:szCs w:val="26"/>
        </w:rPr>
        <w:t>º 848, de 11 de outubro do mesmo ano, que organizou a Justiça Federal</w:t>
      </w:r>
      <w:r>
        <w:rPr>
          <w:rFonts w:ascii="Times New Roman" w:hAnsi="Times New Roman"/>
          <w:sz w:val="24"/>
          <w:szCs w:val="26"/>
        </w:rPr>
        <w:t>, surgindo em substituição ao extinto Supremo Tribunal de Justiça, que permaneceu ativo até a data de 27 de fevereiro de 1891</w:t>
      </w:r>
      <w:r w:rsidRPr="001E2CF0">
        <w:rPr>
          <w:rFonts w:ascii="Times New Roman" w:hAnsi="Times New Roman"/>
          <w:sz w:val="24"/>
          <w:szCs w:val="26"/>
        </w:rPr>
        <w:t>.</w:t>
      </w:r>
      <w:r>
        <w:rPr>
          <w:rFonts w:ascii="Times New Roman" w:hAnsi="Times New Roman"/>
          <w:sz w:val="24"/>
          <w:szCs w:val="26"/>
        </w:rPr>
        <w:t xml:space="preserve"> </w:t>
      </w:r>
    </w:p>
    <w:p w:rsidR="00D549BC" w:rsidRDefault="00D549BC" w:rsidP="00B46DC7">
      <w:pPr>
        <w:spacing w:after="200"/>
        <w:contextualSpacing/>
        <w:rPr>
          <w:rFonts w:ascii="Times New Roman" w:hAnsi="Times New Roman"/>
          <w:sz w:val="24"/>
          <w:szCs w:val="26"/>
        </w:rPr>
      </w:pPr>
      <w:r w:rsidRPr="00A0412B">
        <w:rPr>
          <w:rFonts w:ascii="Times New Roman" w:hAnsi="Times New Roman"/>
          <w:sz w:val="24"/>
          <w:szCs w:val="26"/>
        </w:rPr>
        <w:t xml:space="preserve">A Constituição </w:t>
      </w:r>
      <w:r>
        <w:rPr>
          <w:rFonts w:ascii="Times New Roman" w:hAnsi="Times New Roman"/>
          <w:sz w:val="24"/>
          <w:szCs w:val="26"/>
        </w:rPr>
        <w:t xml:space="preserve">da República dos Estados Unidos do Brasil, </w:t>
      </w:r>
      <w:r w:rsidRPr="00A0412B">
        <w:rPr>
          <w:rFonts w:ascii="Times New Roman" w:hAnsi="Times New Roman"/>
          <w:sz w:val="24"/>
          <w:szCs w:val="26"/>
        </w:rPr>
        <w:t>promulgada em 24 de fevereiro de 1891, que instituiu o controle da constitucionalidade das leis, dedicou ao Supremo Tribunal Federal os artigos 55 a 59.</w:t>
      </w:r>
      <w:r>
        <w:rPr>
          <w:rFonts w:ascii="Times New Roman" w:hAnsi="Times New Roman"/>
          <w:sz w:val="24"/>
          <w:szCs w:val="26"/>
        </w:rPr>
        <w:t xml:space="preserve"> </w:t>
      </w:r>
    </w:p>
    <w:p w:rsidR="00D549BC" w:rsidRDefault="00D549BC" w:rsidP="00B46DC7">
      <w:pPr>
        <w:spacing w:after="200"/>
        <w:contextualSpacing/>
        <w:rPr>
          <w:rFonts w:ascii="Times New Roman" w:hAnsi="Times New Roman"/>
          <w:sz w:val="24"/>
          <w:szCs w:val="26"/>
        </w:rPr>
      </w:pPr>
      <w:r w:rsidRPr="00A0412B">
        <w:rPr>
          <w:rFonts w:ascii="Times New Roman" w:hAnsi="Times New Roman"/>
          <w:sz w:val="24"/>
          <w:szCs w:val="26"/>
        </w:rPr>
        <w:t xml:space="preserve">O </w:t>
      </w:r>
      <w:r>
        <w:rPr>
          <w:rFonts w:ascii="Times New Roman" w:hAnsi="Times New Roman"/>
          <w:sz w:val="24"/>
          <w:szCs w:val="26"/>
        </w:rPr>
        <w:t>STF</w:t>
      </w:r>
      <w:r w:rsidRPr="00A0412B">
        <w:rPr>
          <w:rFonts w:ascii="Times New Roman" w:hAnsi="Times New Roman"/>
          <w:sz w:val="24"/>
          <w:szCs w:val="26"/>
        </w:rPr>
        <w:t xml:space="preserve"> era composto por quinze Juízes, nomeados pelo Presidente da República com posterior aprovação do Senado. A instalação </w:t>
      </w:r>
      <w:r>
        <w:rPr>
          <w:rFonts w:ascii="Times New Roman" w:hAnsi="Times New Roman"/>
          <w:sz w:val="24"/>
          <w:szCs w:val="26"/>
        </w:rPr>
        <w:t xml:space="preserve">da Corte </w:t>
      </w:r>
      <w:r w:rsidRPr="00A0412B">
        <w:rPr>
          <w:rFonts w:ascii="Times New Roman" w:hAnsi="Times New Roman"/>
          <w:sz w:val="24"/>
          <w:szCs w:val="26"/>
        </w:rPr>
        <w:t>ocorreu em 28 de fevereiro de 1891, conforme estabele</w:t>
      </w:r>
      <w:r>
        <w:rPr>
          <w:rFonts w:ascii="Times New Roman" w:hAnsi="Times New Roman"/>
          <w:sz w:val="24"/>
          <w:szCs w:val="26"/>
        </w:rPr>
        <w:t>cido no Decreto nº 1, de 26 de fevereiro de 1891</w:t>
      </w:r>
      <w:r w:rsidRPr="00A0412B">
        <w:rPr>
          <w:rFonts w:ascii="Times New Roman" w:hAnsi="Times New Roman"/>
          <w:sz w:val="24"/>
          <w:szCs w:val="26"/>
        </w:rPr>
        <w:t>.</w:t>
      </w:r>
      <w:r>
        <w:rPr>
          <w:rFonts w:ascii="Times New Roman" w:hAnsi="Times New Roman"/>
          <w:sz w:val="24"/>
          <w:szCs w:val="26"/>
        </w:rPr>
        <w:t xml:space="preserve"> </w:t>
      </w:r>
      <w:r w:rsidRPr="00A0412B">
        <w:rPr>
          <w:rFonts w:ascii="Times New Roman" w:hAnsi="Times New Roman"/>
          <w:sz w:val="24"/>
          <w:szCs w:val="26"/>
        </w:rPr>
        <w:t>Após a Revolução de 1930, o Governo Pro</w:t>
      </w:r>
      <w:r>
        <w:rPr>
          <w:rFonts w:ascii="Times New Roman" w:hAnsi="Times New Roman"/>
          <w:sz w:val="24"/>
          <w:szCs w:val="26"/>
        </w:rPr>
        <w:t>visório decidiu, por meio do Decreto n</w:t>
      </w:r>
      <w:r w:rsidRPr="00A0412B">
        <w:rPr>
          <w:rFonts w:ascii="Times New Roman" w:hAnsi="Times New Roman"/>
          <w:sz w:val="24"/>
          <w:szCs w:val="26"/>
        </w:rPr>
        <w:t>º 19.656, de 3 de fevereiro de 1931, reduzir o número de Ministros para onze.</w:t>
      </w:r>
      <w:r>
        <w:rPr>
          <w:rFonts w:ascii="Times New Roman" w:hAnsi="Times New Roman"/>
          <w:sz w:val="24"/>
          <w:szCs w:val="26"/>
        </w:rPr>
        <w:t xml:space="preserve"> </w:t>
      </w:r>
    </w:p>
    <w:p w:rsidR="00D549BC" w:rsidRDefault="00D549BC" w:rsidP="0075264E">
      <w:pPr>
        <w:spacing w:after="200"/>
        <w:ind w:firstLine="851"/>
        <w:contextualSpacing/>
        <w:rPr>
          <w:rFonts w:ascii="Times New Roman" w:hAnsi="Times New Roman"/>
          <w:sz w:val="24"/>
          <w:szCs w:val="26"/>
        </w:rPr>
      </w:pPr>
    </w:p>
    <w:p w:rsidR="00D549BC" w:rsidRPr="00673F10" w:rsidRDefault="00D549BC" w:rsidP="0075264E">
      <w:pPr>
        <w:spacing w:after="200"/>
        <w:ind w:firstLine="0"/>
        <w:contextualSpacing/>
        <w:rPr>
          <w:rFonts w:ascii="Times New Roman" w:hAnsi="Times New Roman"/>
          <w:sz w:val="24"/>
          <w:szCs w:val="26"/>
        </w:rPr>
      </w:pPr>
      <w:r w:rsidRPr="00673F10">
        <w:rPr>
          <w:rFonts w:ascii="Times New Roman" w:hAnsi="Times New Roman"/>
          <w:sz w:val="24"/>
          <w:szCs w:val="26"/>
        </w:rPr>
        <w:t>2.2 A REFORMA DE 1926 E O ADVENTO DA CONSTITUIÇÃO DE 1934</w:t>
      </w:r>
    </w:p>
    <w:p w:rsidR="00D549BC" w:rsidRDefault="00D549BC" w:rsidP="0075264E">
      <w:pPr>
        <w:spacing w:after="200"/>
        <w:ind w:firstLine="851"/>
        <w:contextualSpacing/>
        <w:rPr>
          <w:rFonts w:ascii="Times New Roman" w:hAnsi="Times New Roman"/>
          <w:b/>
          <w:sz w:val="24"/>
          <w:szCs w:val="26"/>
        </w:rPr>
      </w:pPr>
    </w:p>
    <w:p w:rsidR="00D549BC" w:rsidRDefault="00D549BC" w:rsidP="00233670">
      <w:pPr>
        <w:spacing w:after="200"/>
        <w:contextualSpacing/>
        <w:rPr>
          <w:rFonts w:ascii="Times New Roman" w:hAnsi="Times New Roman"/>
          <w:sz w:val="24"/>
          <w:szCs w:val="26"/>
        </w:rPr>
      </w:pPr>
      <w:r>
        <w:rPr>
          <w:rFonts w:ascii="Times New Roman" w:hAnsi="Times New Roman"/>
          <w:sz w:val="24"/>
          <w:szCs w:val="26"/>
        </w:rPr>
        <w:t>A Emenda Constitucional de 3 de setembro de 1926 alterou alguns dispositivos da Constituição de 1891, tornando mais objetiva a redação do art. 59, que tratava do Recurso Extraordinário para o STF. De fato, a redação original do dispositivo em comento era bastante confusa,</w:t>
      </w:r>
      <w:r>
        <w:rPr>
          <w:rStyle w:val="FootnoteReference"/>
          <w:rFonts w:ascii="Times New Roman" w:hAnsi="Times New Roman"/>
          <w:sz w:val="24"/>
          <w:szCs w:val="26"/>
        </w:rPr>
        <w:footnoteReference w:id="21"/>
      </w:r>
      <w:r>
        <w:rPr>
          <w:rFonts w:ascii="Times New Roman" w:hAnsi="Times New Roman"/>
          <w:sz w:val="24"/>
          <w:szCs w:val="26"/>
        </w:rPr>
        <w:t xml:space="preserve"> deixando de ser a partir de 1926.</w:t>
      </w:r>
      <w:r>
        <w:rPr>
          <w:rStyle w:val="FootnoteReference"/>
          <w:rFonts w:ascii="Times New Roman" w:hAnsi="Times New Roman"/>
          <w:sz w:val="24"/>
          <w:szCs w:val="26"/>
        </w:rPr>
        <w:footnoteReference w:id="22"/>
      </w:r>
    </w:p>
    <w:p w:rsidR="00D549BC" w:rsidRDefault="00D549BC" w:rsidP="00233670">
      <w:pPr>
        <w:spacing w:after="200"/>
        <w:contextualSpacing/>
        <w:rPr>
          <w:rFonts w:ascii="Times New Roman" w:hAnsi="Times New Roman"/>
          <w:sz w:val="24"/>
          <w:szCs w:val="26"/>
        </w:rPr>
      </w:pPr>
      <w:r>
        <w:rPr>
          <w:rFonts w:ascii="Times New Roman" w:hAnsi="Times New Roman"/>
          <w:sz w:val="24"/>
          <w:szCs w:val="26"/>
        </w:rPr>
        <w:t xml:space="preserve">Além de alterar o conteúdo do artigo 59 da Constituição de 1891, foi acrescentada mais uma competência privativa do Supremo Tribunal Federal, dentre aquelas já previstas anteriormente (art. 59, § 1º, </w:t>
      </w:r>
      <w:r w:rsidRPr="00310071">
        <w:rPr>
          <w:rFonts w:ascii="Times New Roman" w:hAnsi="Times New Roman"/>
          <w:i/>
          <w:sz w:val="24"/>
          <w:szCs w:val="26"/>
        </w:rPr>
        <w:t>a</w:t>
      </w:r>
      <w:r>
        <w:rPr>
          <w:rFonts w:ascii="Times New Roman" w:hAnsi="Times New Roman"/>
          <w:sz w:val="24"/>
          <w:szCs w:val="26"/>
        </w:rPr>
        <w:t xml:space="preserve"> e </w:t>
      </w:r>
      <w:r w:rsidRPr="00310071">
        <w:rPr>
          <w:rFonts w:ascii="Times New Roman" w:hAnsi="Times New Roman"/>
          <w:i/>
          <w:sz w:val="24"/>
          <w:szCs w:val="26"/>
        </w:rPr>
        <w:t>b</w:t>
      </w:r>
      <w:r>
        <w:rPr>
          <w:rFonts w:ascii="Times New Roman" w:hAnsi="Times New Roman"/>
          <w:sz w:val="24"/>
          <w:szCs w:val="26"/>
        </w:rPr>
        <w:t xml:space="preserve"> da CR/1891), que consistia na tarefa de uniformizar a jurisprudência dos demais Tribunais quanto à interpretação da legislação federal (art. 60, § 1º, </w:t>
      </w:r>
      <w:r w:rsidRPr="005E2D75">
        <w:rPr>
          <w:rFonts w:ascii="Times New Roman" w:hAnsi="Times New Roman"/>
          <w:i/>
          <w:sz w:val="24"/>
          <w:szCs w:val="26"/>
        </w:rPr>
        <w:t>c</w:t>
      </w:r>
      <w:r>
        <w:rPr>
          <w:rFonts w:ascii="Times New Roman" w:hAnsi="Times New Roman"/>
          <w:i/>
          <w:sz w:val="24"/>
          <w:szCs w:val="26"/>
        </w:rPr>
        <w:t xml:space="preserve"> </w:t>
      </w:r>
      <w:r>
        <w:rPr>
          <w:rFonts w:ascii="Times New Roman" w:hAnsi="Times New Roman"/>
          <w:sz w:val="24"/>
          <w:szCs w:val="26"/>
        </w:rPr>
        <w:t>da CR/1891).</w:t>
      </w:r>
      <w:r w:rsidRPr="00D27119">
        <w:rPr>
          <w:rStyle w:val="FootnoteReference"/>
          <w:rFonts w:ascii="Times New Roman" w:hAnsi="Times New Roman"/>
          <w:sz w:val="24"/>
          <w:szCs w:val="26"/>
        </w:rPr>
        <w:t xml:space="preserve"> </w:t>
      </w:r>
      <w:r>
        <w:rPr>
          <w:rStyle w:val="FootnoteReference"/>
          <w:rFonts w:ascii="Times New Roman" w:hAnsi="Times New Roman"/>
          <w:sz w:val="24"/>
          <w:szCs w:val="26"/>
        </w:rPr>
        <w:footnoteReference w:id="23"/>
      </w:r>
      <w:r>
        <w:rPr>
          <w:rFonts w:ascii="Times New Roman" w:hAnsi="Times New Roman"/>
          <w:sz w:val="24"/>
          <w:szCs w:val="26"/>
        </w:rPr>
        <w:t xml:space="preserve"> </w:t>
      </w:r>
    </w:p>
    <w:p w:rsidR="00D549BC" w:rsidRDefault="00D549BC" w:rsidP="001C67E6">
      <w:pPr>
        <w:spacing w:after="200"/>
        <w:contextualSpacing/>
        <w:rPr>
          <w:rFonts w:ascii="Times New Roman" w:hAnsi="Times New Roman"/>
          <w:sz w:val="24"/>
          <w:szCs w:val="26"/>
        </w:rPr>
      </w:pPr>
      <w:r>
        <w:rPr>
          <w:rFonts w:ascii="Times New Roman" w:hAnsi="Times New Roman"/>
          <w:sz w:val="24"/>
          <w:szCs w:val="26"/>
        </w:rPr>
        <w:t xml:space="preserve">Nesse contexto, atribuiu-se ao Recurso Extraordinário, a ser julgado pelo STF, uma nova finalidade, qual seja, a de assegurar a uniformidade de interpretação das leis federais. Segundo o processualista Barbosa Moreira, “tinha-se, destarte, um recurso extraordinário </w:t>
      </w:r>
      <w:r w:rsidRPr="00951A14">
        <w:rPr>
          <w:rFonts w:ascii="Times New Roman" w:hAnsi="Times New Roman"/>
          <w:i/>
          <w:sz w:val="24"/>
          <w:szCs w:val="26"/>
        </w:rPr>
        <w:t>ex officio</w:t>
      </w:r>
      <w:r>
        <w:rPr>
          <w:rFonts w:ascii="Times New Roman" w:hAnsi="Times New Roman"/>
          <w:sz w:val="24"/>
          <w:szCs w:val="26"/>
        </w:rPr>
        <w:t xml:space="preserve">, com caráter </w:t>
      </w:r>
      <w:r w:rsidRPr="00951A14">
        <w:rPr>
          <w:rFonts w:ascii="Times New Roman" w:hAnsi="Times New Roman"/>
          <w:i/>
          <w:sz w:val="24"/>
          <w:szCs w:val="26"/>
        </w:rPr>
        <w:t>facultativo</w:t>
      </w:r>
      <w:r>
        <w:rPr>
          <w:rFonts w:ascii="Times New Roman" w:hAnsi="Times New Roman"/>
          <w:i/>
          <w:sz w:val="24"/>
          <w:szCs w:val="26"/>
        </w:rPr>
        <w:t>”.</w:t>
      </w:r>
      <w:r w:rsidRPr="00364FE4">
        <w:rPr>
          <w:rStyle w:val="FootnoteReference"/>
          <w:rFonts w:ascii="Times New Roman" w:hAnsi="Times New Roman"/>
          <w:sz w:val="24"/>
          <w:szCs w:val="26"/>
        </w:rPr>
        <w:footnoteReference w:id="24"/>
      </w:r>
      <w:r>
        <w:rPr>
          <w:rFonts w:ascii="Times New Roman" w:hAnsi="Times New Roman"/>
          <w:sz w:val="24"/>
          <w:szCs w:val="26"/>
        </w:rPr>
        <w:t xml:space="preserve"> </w:t>
      </w:r>
    </w:p>
    <w:p w:rsidR="00D549BC" w:rsidRDefault="00D549BC" w:rsidP="0099685E">
      <w:pPr>
        <w:spacing w:after="200"/>
        <w:contextualSpacing/>
        <w:rPr>
          <w:rFonts w:ascii="Times New Roman" w:hAnsi="Times New Roman"/>
          <w:sz w:val="24"/>
          <w:szCs w:val="26"/>
        </w:rPr>
      </w:pPr>
      <w:r>
        <w:rPr>
          <w:rFonts w:ascii="Times New Roman" w:hAnsi="Times New Roman"/>
          <w:sz w:val="24"/>
          <w:szCs w:val="26"/>
        </w:rPr>
        <w:t>A Constituição de 1934 seguiu o mesmo rumo da anterior (1891), mantendo a fiscalização incidental de constitucionalidade das leis e atos normativos pelo Supremo Tribunal Federal,</w:t>
      </w:r>
      <w:r>
        <w:rPr>
          <w:rStyle w:val="FootnoteReference"/>
          <w:rFonts w:ascii="Times New Roman" w:hAnsi="Times New Roman"/>
          <w:sz w:val="24"/>
          <w:szCs w:val="26"/>
        </w:rPr>
        <w:footnoteReference w:id="25"/>
      </w:r>
      <w:r>
        <w:rPr>
          <w:rFonts w:ascii="Times New Roman" w:hAnsi="Times New Roman"/>
          <w:sz w:val="24"/>
          <w:szCs w:val="26"/>
        </w:rPr>
        <w:t xml:space="preserve"> porém foi a partir dela que o controle difuso ganhou maiores contornos, pois introduziu dois novos mecanismos até então inéditos na história constitucional brasileira, além de ter previsto a primeira fórmula, segundo a doutrina constitucional, de controle abstrato de normas no ordenamento jurídico, por meio da Representação Interventiva, privativa do Procurador Geral da República.</w:t>
      </w:r>
      <w:r>
        <w:rPr>
          <w:rStyle w:val="FootnoteReference"/>
          <w:rFonts w:ascii="Times New Roman" w:hAnsi="Times New Roman"/>
          <w:sz w:val="24"/>
          <w:szCs w:val="26"/>
        </w:rPr>
        <w:footnoteReference w:id="26"/>
      </w:r>
      <w:r>
        <w:rPr>
          <w:rFonts w:ascii="Times New Roman" w:hAnsi="Times New Roman"/>
          <w:sz w:val="24"/>
          <w:szCs w:val="26"/>
        </w:rPr>
        <w:t xml:space="preserve"> </w:t>
      </w:r>
    </w:p>
    <w:p w:rsidR="00D549BC" w:rsidRDefault="00D549BC" w:rsidP="00F74A61">
      <w:pPr>
        <w:spacing w:after="200"/>
        <w:contextualSpacing/>
        <w:rPr>
          <w:rFonts w:ascii="Times New Roman" w:hAnsi="Times New Roman"/>
          <w:sz w:val="24"/>
          <w:szCs w:val="26"/>
        </w:rPr>
      </w:pPr>
      <w:r>
        <w:rPr>
          <w:rFonts w:ascii="Times New Roman" w:hAnsi="Times New Roman"/>
          <w:sz w:val="24"/>
          <w:szCs w:val="26"/>
        </w:rPr>
        <w:t xml:space="preserve">O primeiro mecanismo referia-se à competência privativa do Senado Federal para suspender a execução de lei, decreto, regulamento ou deliberação, declarados inconstitucionais pelo Poder Judiciário, atribuindo efeito </w:t>
      </w:r>
      <w:r w:rsidRPr="008412B8">
        <w:rPr>
          <w:rFonts w:ascii="Times New Roman" w:hAnsi="Times New Roman"/>
          <w:i/>
          <w:sz w:val="24"/>
          <w:szCs w:val="26"/>
        </w:rPr>
        <w:t>erga omnes</w:t>
      </w:r>
      <w:r>
        <w:rPr>
          <w:rFonts w:ascii="Times New Roman" w:hAnsi="Times New Roman"/>
          <w:sz w:val="24"/>
          <w:szCs w:val="26"/>
        </w:rPr>
        <w:t xml:space="preserve"> às decisões do Supremo Tribunal Federal.</w:t>
      </w:r>
      <w:r>
        <w:rPr>
          <w:rStyle w:val="FootnoteReference"/>
          <w:rFonts w:ascii="Times New Roman" w:hAnsi="Times New Roman"/>
          <w:sz w:val="24"/>
          <w:szCs w:val="26"/>
        </w:rPr>
        <w:footnoteReference w:id="27"/>
      </w:r>
      <w:r>
        <w:rPr>
          <w:rFonts w:ascii="Times New Roman" w:hAnsi="Times New Roman"/>
          <w:sz w:val="24"/>
          <w:szCs w:val="26"/>
        </w:rPr>
        <w:t xml:space="preserve"> O Poder Legislativo inseria-se, a partir de então, na dinâmica do controle difuso da constitucionalidade, com o fito de resolver o problema relativo à falta de eficácia geral das decisões tomadas pelo STF.</w:t>
      </w:r>
    </w:p>
    <w:p w:rsidR="00D549BC" w:rsidRDefault="00D549BC" w:rsidP="00F74A61">
      <w:pPr>
        <w:contextualSpacing/>
        <w:rPr>
          <w:rFonts w:ascii="Times New Roman" w:hAnsi="Times New Roman"/>
          <w:sz w:val="24"/>
          <w:szCs w:val="26"/>
        </w:rPr>
      </w:pPr>
      <w:r>
        <w:rPr>
          <w:rFonts w:ascii="Times New Roman" w:hAnsi="Times New Roman"/>
          <w:sz w:val="24"/>
          <w:szCs w:val="26"/>
        </w:rPr>
        <w:t>O segundo importante instituto inaugurado pela Carta de 34 foi a exigência de quó</w:t>
      </w:r>
      <w:r w:rsidRPr="004C0CBE">
        <w:rPr>
          <w:rFonts w:ascii="Times New Roman" w:hAnsi="Times New Roman"/>
          <w:sz w:val="24"/>
          <w:szCs w:val="26"/>
        </w:rPr>
        <w:t xml:space="preserve">rum </w:t>
      </w:r>
      <w:r>
        <w:rPr>
          <w:rFonts w:ascii="Times New Roman" w:hAnsi="Times New Roman"/>
          <w:sz w:val="24"/>
          <w:szCs w:val="26"/>
        </w:rPr>
        <w:t>qualificado para a declaração de inconstitucionalidade, pelos Tribunais (locais ou federais), das leis e atos do poder público.</w:t>
      </w:r>
      <w:r>
        <w:rPr>
          <w:rStyle w:val="FootnoteReference"/>
          <w:rFonts w:ascii="Times New Roman" w:hAnsi="Times New Roman"/>
          <w:sz w:val="24"/>
          <w:szCs w:val="26"/>
        </w:rPr>
        <w:footnoteReference w:id="28"/>
      </w:r>
      <w:r>
        <w:rPr>
          <w:rFonts w:ascii="Times New Roman" w:hAnsi="Times New Roman"/>
          <w:sz w:val="24"/>
          <w:szCs w:val="26"/>
        </w:rPr>
        <w:t xml:space="preserve"> Com essa determinação, o constituinte originário buscou garantir maior segurança jurídica nas decisões acerca da inconstitucionalidade de leis e atos normativos emanados do poder público, a fim de evitar flutuações de entendimento na jurisprudência dos Tribunais.</w:t>
      </w:r>
      <w:r>
        <w:rPr>
          <w:rStyle w:val="FootnoteReference"/>
          <w:rFonts w:ascii="Times New Roman" w:hAnsi="Times New Roman"/>
          <w:sz w:val="24"/>
          <w:szCs w:val="26"/>
        </w:rPr>
        <w:footnoteReference w:id="29"/>
      </w:r>
    </w:p>
    <w:p w:rsidR="00D549BC" w:rsidRDefault="00D549BC" w:rsidP="002A323D">
      <w:pPr>
        <w:contextualSpacing/>
        <w:rPr>
          <w:rFonts w:ascii="Times New Roman" w:hAnsi="Times New Roman"/>
          <w:sz w:val="24"/>
          <w:szCs w:val="26"/>
        </w:rPr>
      </w:pPr>
      <w:r>
        <w:rPr>
          <w:rFonts w:ascii="Times New Roman" w:hAnsi="Times New Roman"/>
          <w:sz w:val="24"/>
          <w:szCs w:val="26"/>
        </w:rPr>
        <w:t xml:space="preserve">Por fim, a terceira alteração significativa, advinda com o texto constitucional de 1934, tratava da hipótese de intervenção, por parte da União, nos Estados membros que não observassem os princípios constitucionais elencados no art. 7º, inciso I, </w:t>
      </w:r>
      <w:r w:rsidRPr="00EA2758">
        <w:rPr>
          <w:rFonts w:ascii="Times New Roman" w:hAnsi="Times New Roman"/>
          <w:i/>
          <w:sz w:val="24"/>
          <w:szCs w:val="26"/>
        </w:rPr>
        <w:t>a</w:t>
      </w:r>
      <w:r>
        <w:rPr>
          <w:rFonts w:ascii="Times New Roman" w:hAnsi="Times New Roman"/>
          <w:sz w:val="24"/>
          <w:szCs w:val="26"/>
        </w:rPr>
        <w:t xml:space="preserve"> a </w:t>
      </w:r>
      <w:r w:rsidRPr="00EA2758">
        <w:rPr>
          <w:rFonts w:ascii="Times New Roman" w:hAnsi="Times New Roman"/>
          <w:i/>
          <w:sz w:val="24"/>
          <w:szCs w:val="26"/>
        </w:rPr>
        <w:t>h</w:t>
      </w:r>
      <w:r>
        <w:rPr>
          <w:rFonts w:ascii="Times New Roman" w:hAnsi="Times New Roman"/>
          <w:sz w:val="24"/>
          <w:szCs w:val="26"/>
        </w:rPr>
        <w:t xml:space="preserve"> da CR/34. Acontece que tal possibilidade de intervenção ficava condicionada ao preenchimento de dois requisitos: (i) lei do Congresso Nacional, de iniciativa privativa do Senado;</w:t>
      </w:r>
      <w:r>
        <w:rPr>
          <w:rStyle w:val="FootnoteReference"/>
          <w:rFonts w:ascii="Times New Roman" w:hAnsi="Times New Roman"/>
          <w:sz w:val="24"/>
          <w:szCs w:val="26"/>
        </w:rPr>
        <w:footnoteReference w:id="30"/>
      </w:r>
      <w:r>
        <w:rPr>
          <w:rFonts w:ascii="Times New Roman" w:hAnsi="Times New Roman"/>
          <w:sz w:val="24"/>
          <w:szCs w:val="26"/>
        </w:rPr>
        <w:t xml:space="preserve"> e (ii) declaração de constitucionalidade, pelo Supremo Tribunal Federal, da lei que previa a intervenção federal.</w:t>
      </w:r>
      <w:r>
        <w:rPr>
          <w:rStyle w:val="FootnoteReference"/>
          <w:rFonts w:ascii="Times New Roman" w:hAnsi="Times New Roman"/>
          <w:sz w:val="24"/>
          <w:szCs w:val="26"/>
        </w:rPr>
        <w:footnoteReference w:id="31"/>
      </w:r>
      <w:r>
        <w:rPr>
          <w:rFonts w:ascii="Times New Roman" w:hAnsi="Times New Roman"/>
          <w:sz w:val="24"/>
          <w:szCs w:val="26"/>
        </w:rPr>
        <w:t xml:space="preserve"> </w:t>
      </w:r>
    </w:p>
    <w:p w:rsidR="00D549BC" w:rsidRDefault="00D549BC" w:rsidP="002A323D">
      <w:pPr>
        <w:contextualSpacing/>
        <w:rPr>
          <w:rFonts w:ascii="Times New Roman" w:hAnsi="Times New Roman"/>
          <w:sz w:val="24"/>
          <w:szCs w:val="26"/>
        </w:rPr>
      </w:pPr>
      <w:r>
        <w:rPr>
          <w:rFonts w:ascii="Times New Roman" w:hAnsi="Times New Roman"/>
          <w:sz w:val="24"/>
          <w:szCs w:val="26"/>
        </w:rPr>
        <w:t xml:space="preserve">Dessa forma, a intervenção federal somente seria inadmitida se o STF declarasse a inconstitucionalidade da lei que a decretou. Segundo a doutrina de Oswaldo Aranha Bandeira de Mello, esse mecanismo passou a ser denominado de </w:t>
      </w:r>
      <w:r w:rsidRPr="004101FF">
        <w:rPr>
          <w:rFonts w:ascii="Times New Roman" w:hAnsi="Times New Roman"/>
          <w:i/>
          <w:sz w:val="24"/>
          <w:szCs w:val="26"/>
        </w:rPr>
        <w:t>representação interventiva</w:t>
      </w:r>
      <w:r>
        <w:rPr>
          <w:rFonts w:ascii="Times New Roman" w:hAnsi="Times New Roman"/>
          <w:i/>
          <w:sz w:val="24"/>
          <w:szCs w:val="26"/>
        </w:rPr>
        <w:t>.</w:t>
      </w:r>
      <w:r w:rsidRPr="00296EEB">
        <w:rPr>
          <w:rStyle w:val="FootnoteReference"/>
          <w:rFonts w:ascii="Times New Roman" w:hAnsi="Times New Roman"/>
          <w:sz w:val="24"/>
          <w:szCs w:val="26"/>
        </w:rPr>
        <w:footnoteReference w:id="32"/>
      </w:r>
    </w:p>
    <w:p w:rsidR="00D549BC" w:rsidRDefault="00D549BC" w:rsidP="002A323D">
      <w:pPr>
        <w:contextualSpacing/>
        <w:rPr>
          <w:rFonts w:ascii="Times New Roman" w:hAnsi="Times New Roman"/>
          <w:sz w:val="24"/>
          <w:szCs w:val="26"/>
        </w:rPr>
      </w:pPr>
      <w:r>
        <w:rPr>
          <w:rFonts w:ascii="Times New Roman" w:hAnsi="Times New Roman"/>
          <w:sz w:val="24"/>
          <w:szCs w:val="26"/>
        </w:rPr>
        <w:t>O constitucionalista PAULO BONAVIDES afirma que há um consenso entre quase todos os historiadores constitucionais no sentido de que a Carta de 1934 foi um marco na progressão do país rumo a um controle direto de constitucionalidade ou por via de ação, acrescentando que a mais importante inovação foi justamente aquela acerca da Representação Interventiva, pois, segundo o autor, o exame de constitucionalidade pelo STF já não ocorreria apenas incidentalmente, no transcurso de uma demanda, mas por efeito de uma provocação (do Procurador Geral da República), cujo objeto era a declaração mesma de constitucionalidade da lei que decretara a intervenção federal.</w:t>
      </w:r>
      <w:r>
        <w:rPr>
          <w:rStyle w:val="FootnoteReference"/>
          <w:rFonts w:ascii="Times New Roman" w:hAnsi="Times New Roman"/>
          <w:sz w:val="24"/>
          <w:szCs w:val="26"/>
        </w:rPr>
        <w:footnoteReference w:id="33"/>
      </w:r>
      <w:r>
        <w:rPr>
          <w:rFonts w:ascii="Times New Roman" w:hAnsi="Times New Roman"/>
          <w:sz w:val="24"/>
          <w:szCs w:val="26"/>
        </w:rPr>
        <w:t xml:space="preserve"> </w:t>
      </w:r>
    </w:p>
    <w:p w:rsidR="00D549BC" w:rsidRDefault="00D549BC" w:rsidP="000E2EB5">
      <w:pPr>
        <w:contextualSpacing/>
        <w:rPr>
          <w:rFonts w:ascii="Times New Roman" w:hAnsi="Times New Roman"/>
          <w:sz w:val="24"/>
          <w:szCs w:val="26"/>
        </w:rPr>
      </w:pPr>
      <w:r>
        <w:rPr>
          <w:rFonts w:ascii="Times New Roman" w:hAnsi="Times New Roman"/>
          <w:sz w:val="24"/>
          <w:szCs w:val="26"/>
        </w:rPr>
        <w:t>Apenas a título de curiosidade jurídica, o constituinte de 1934, talvez prevendo o que viria no futuro, optou por vedar expressamente a possibilidade de o Judiciário imiscuir-se nos assuntos privativos do Poder Legislativo e, assim, determinou no art. 68: “</w:t>
      </w:r>
      <w:r w:rsidRPr="00697CA9">
        <w:rPr>
          <w:rFonts w:ascii="Times New Roman" w:hAnsi="Times New Roman"/>
          <w:i/>
          <w:sz w:val="24"/>
          <w:szCs w:val="26"/>
        </w:rPr>
        <w:t>É vedado ao Poder Judiciário conhecer de questões exclusivamente políticas</w:t>
      </w:r>
      <w:r>
        <w:rPr>
          <w:rFonts w:ascii="Times New Roman" w:hAnsi="Times New Roman"/>
          <w:sz w:val="24"/>
          <w:szCs w:val="26"/>
        </w:rPr>
        <w:t>”</w:t>
      </w:r>
      <w:r w:rsidRPr="00697CA9">
        <w:rPr>
          <w:rFonts w:ascii="Times New Roman" w:hAnsi="Times New Roman"/>
          <w:sz w:val="24"/>
          <w:szCs w:val="26"/>
        </w:rPr>
        <w:t>.</w:t>
      </w:r>
    </w:p>
    <w:p w:rsidR="00D549BC" w:rsidRDefault="00D549BC" w:rsidP="000E2EB5">
      <w:pPr>
        <w:contextualSpacing/>
        <w:rPr>
          <w:rFonts w:ascii="Times New Roman" w:hAnsi="Times New Roman"/>
          <w:sz w:val="24"/>
          <w:szCs w:val="26"/>
        </w:rPr>
      </w:pPr>
      <w:r>
        <w:rPr>
          <w:rFonts w:ascii="Times New Roman" w:hAnsi="Times New Roman"/>
          <w:sz w:val="24"/>
          <w:szCs w:val="26"/>
        </w:rPr>
        <w:t xml:space="preserve">Com o intuito de aproximar o presente estudo à prática do órgão de cúpula do Judiciário, é oportuno trazermos à tona, no que se refere ao processamento do Recurso Extraordinário, alguns dispositivos do Regimento Interno do Supremo Tribunal Federal de 1909. </w:t>
      </w:r>
    </w:p>
    <w:p w:rsidR="00D549BC" w:rsidRDefault="00D549BC" w:rsidP="00D22FF8">
      <w:pPr>
        <w:tabs>
          <w:tab w:val="left" w:pos="851"/>
        </w:tabs>
        <w:contextualSpacing/>
        <w:rPr>
          <w:rFonts w:ascii="Times New Roman" w:hAnsi="Times New Roman"/>
          <w:sz w:val="24"/>
          <w:szCs w:val="26"/>
        </w:rPr>
      </w:pPr>
      <w:r>
        <w:rPr>
          <w:rFonts w:ascii="Times New Roman" w:hAnsi="Times New Roman"/>
          <w:sz w:val="24"/>
          <w:szCs w:val="26"/>
        </w:rPr>
        <w:t xml:space="preserve">O Título I do Capítulo II tratava das competências do Tribunal previstas na Constituição, dessa forma, o Regimento Interno reproduzia a literalidade do texto constitucional. Convém destacarmos o conteúdo do artigo 16, § 5º, </w:t>
      </w:r>
      <w:r w:rsidRPr="00D053F4">
        <w:rPr>
          <w:rFonts w:ascii="Times New Roman" w:hAnsi="Times New Roman"/>
          <w:i/>
          <w:sz w:val="24"/>
          <w:szCs w:val="26"/>
        </w:rPr>
        <w:t>b</w:t>
      </w:r>
      <w:r>
        <w:rPr>
          <w:rFonts w:ascii="Times New Roman" w:hAnsi="Times New Roman"/>
          <w:sz w:val="24"/>
          <w:szCs w:val="26"/>
        </w:rPr>
        <w:t>, 1º e 2º do RISTF, que dispunha sobre o cabimento do Recurso Extraordinário. Vejamos:</w:t>
      </w:r>
    </w:p>
    <w:p w:rsidR="00D549BC" w:rsidRDefault="00D549BC" w:rsidP="0075264E">
      <w:pPr>
        <w:spacing w:line="240" w:lineRule="auto"/>
        <w:ind w:left="2268" w:firstLine="0"/>
        <w:contextualSpacing/>
        <w:rPr>
          <w:rFonts w:ascii="Times New Roman" w:hAnsi="Times New Roman"/>
        </w:rPr>
      </w:pPr>
      <w:r>
        <w:rPr>
          <w:rFonts w:ascii="Times New Roman" w:hAnsi="Times New Roman"/>
        </w:rPr>
        <w:t xml:space="preserve">Art. 16: Compete ao Tribunal: </w:t>
      </w:r>
      <w:r w:rsidRPr="00BC0CFB">
        <w:rPr>
          <w:rFonts w:ascii="Times New Roman" w:hAnsi="Times New Roman"/>
        </w:rPr>
        <w:t>§ 5º</w:t>
      </w:r>
      <w:r>
        <w:rPr>
          <w:rFonts w:ascii="Times New Roman" w:hAnsi="Times New Roman"/>
        </w:rPr>
        <w:t xml:space="preserve">: Julgar, </w:t>
      </w:r>
      <w:r w:rsidRPr="00BC0CFB">
        <w:rPr>
          <w:rFonts w:ascii="Times New Roman" w:hAnsi="Times New Roman"/>
          <w:i/>
        </w:rPr>
        <w:t>b</w:t>
      </w:r>
      <w:r>
        <w:rPr>
          <w:rFonts w:ascii="Times New Roman" w:hAnsi="Times New Roman"/>
        </w:rPr>
        <w:t xml:space="preserve">) os recursos extraordinários, interpostos das sentenças da justiça local em última instância: 1º, quando se questionar sobre a validade ou a aplicação de tratados ou leis federais, e decisão do tribunal for contra ela; 2º, quando se contestar a validade de leis ou de atos dos governos locais, em face da Constituição ou das leis federais, e a decisão do Tribunal local considerar válidos os atos ou as leis impugnadas; </w:t>
      </w:r>
    </w:p>
    <w:p w:rsidR="00D549BC" w:rsidRDefault="00D549BC" w:rsidP="00F50ED7">
      <w:pPr>
        <w:spacing w:line="240" w:lineRule="auto"/>
        <w:ind w:firstLine="851"/>
        <w:contextualSpacing/>
        <w:rPr>
          <w:rFonts w:ascii="Times New Roman" w:hAnsi="Times New Roman"/>
        </w:rPr>
      </w:pPr>
      <w:r>
        <w:rPr>
          <w:rFonts w:ascii="Times New Roman" w:hAnsi="Times New Roman"/>
        </w:rPr>
        <w:tab/>
      </w:r>
      <w:r>
        <w:rPr>
          <w:rFonts w:ascii="Times New Roman" w:hAnsi="Times New Roman"/>
        </w:rPr>
        <w:tab/>
      </w:r>
    </w:p>
    <w:p w:rsidR="00D549BC" w:rsidRDefault="00D549BC" w:rsidP="00F50ED7">
      <w:pPr>
        <w:contextualSpacing/>
        <w:rPr>
          <w:rFonts w:ascii="Times New Roman" w:hAnsi="Times New Roman"/>
          <w:sz w:val="24"/>
        </w:rPr>
      </w:pPr>
      <w:r>
        <w:rPr>
          <w:rFonts w:ascii="Times New Roman" w:hAnsi="Times New Roman"/>
          <w:sz w:val="24"/>
        </w:rPr>
        <w:t>Conforme anteriormente demonstrado, a Reforma Constitucional de 1926 acrescentou uma terceira competência ao STF, que consistia na uniformização da interpretação da legislação federal nos casos em que houvesse divergência entre Tribunais. Todavia o texto original do Regimento Interno do STF não continha as alterações posteriores a 1909, por isso reproduziu-se apenas aquelas duas hipóteses de cabimento do RE.</w:t>
      </w:r>
      <w:r>
        <w:rPr>
          <w:rStyle w:val="FootnoteReference"/>
          <w:rFonts w:ascii="Times New Roman" w:hAnsi="Times New Roman"/>
          <w:sz w:val="24"/>
        </w:rPr>
        <w:footnoteReference w:id="34"/>
      </w:r>
      <w:r>
        <w:rPr>
          <w:rFonts w:ascii="Times New Roman" w:hAnsi="Times New Roman"/>
          <w:sz w:val="24"/>
        </w:rPr>
        <w:t xml:space="preserve"> </w:t>
      </w:r>
    </w:p>
    <w:p w:rsidR="00D549BC" w:rsidRDefault="00D549BC" w:rsidP="00F50ED7">
      <w:pPr>
        <w:contextualSpacing/>
        <w:rPr>
          <w:rFonts w:ascii="Times New Roman" w:hAnsi="Times New Roman"/>
          <w:sz w:val="24"/>
        </w:rPr>
      </w:pPr>
      <w:r>
        <w:rPr>
          <w:rFonts w:ascii="Times New Roman" w:hAnsi="Times New Roman"/>
          <w:sz w:val="24"/>
        </w:rPr>
        <w:t xml:space="preserve">Por sua vez, o Título III do Capítulo XIII tratava especificamente do processamento do Recurso Extraordinário perante o STF, merecendo destaque os seguintes artigos do RISTF: 167, 169 e 172. </w:t>
      </w:r>
    </w:p>
    <w:p w:rsidR="00D549BC" w:rsidRDefault="00D549BC" w:rsidP="0075264E">
      <w:pPr>
        <w:spacing w:after="240" w:line="240" w:lineRule="auto"/>
        <w:ind w:left="2268" w:firstLine="0"/>
        <w:rPr>
          <w:rFonts w:ascii="Times New Roman" w:hAnsi="Times New Roman"/>
        </w:rPr>
      </w:pPr>
      <w:r>
        <w:rPr>
          <w:rFonts w:ascii="Times New Roman" w:hAnsi="Times New Roman"/>
        </w:rPr>
        <w:t>Art. 167. O recurso extraordinário deve ser interposto dentro de dez dias contínuos contados de momento a momento, ainda que sobrevenham as férias, da publicação da sentença, se as partes ou seus procuradores estiverem presentes à audiência, ou da intimação estando ausentes; e apresentado no Tribunal no prazo de seis meses a partir do termo da interposição (Lei n. 211, art. 58.)</w:t>
      </w:r>
    </w:p>
    <w:p w:rsidR="00D549BC" w:rsidRDefault="00D549BC" w:rsidP="0075264E">
      <w:pPr>
        <w:spacing w:after="240" w:line="240" w:lineRule="auto"/>
        <w:ind w:left="2268" w:firstLine="0"/>
        <w:rPr>
          <w:rFonts w:ascii="Times New Roman" w:hAnsi="Times New Roman"/>
        </w:rPr>
      </w:pPr>
      <w:r>
        <w:rPr>
          <w:rFonts w:ascii="Times New Roman" w:hAnsi="Times New Roman"/>
        </w:rPr>
        <w:t>Art. 169. Uma vez recebido o recurso no Tribunal, não poderão mais as partes juntar-lhes razões ou documentos. (Decis. do Sup. Trib. de 23 de março de 1895.)</w:t>
      </w:r>
    </w:p>
    <w:p w:rsidR="00D549BC" w:rsidRDefault="00D549BC" w:rsidP="0075264E">
      <w:pPr>
        <w:spacing w:after="240" w:line="240" w:lineRule="auto"/>
        <w:ind w:left="2268" w:firstLine="0"/>
        <w:rPr>
          <w:rFonts w:ascii="Times New Roman" w:hAnsi="Times New Roman"/>
          <w:sz w:val="24"/>
        </w:rPr>
      </w:pPr>
      <w:r>
        <w:rPr>
          <w:rFonts w:ascii="Times New Roman" w:hAnsi="Times New Roman"/>
        </w:rPr>
        <w:t>Art. 172. Se a Justiça local não receber o recurso e a parte prejudicada ou o Ministério Público apresentar carta testemunhável devidamente ratificada, o Tribunal poderá mandar, ou não, à vista da dita carta, que o recurso seja tomado por termo e subam os autos conforme for de direito. (Lei n. 221, art. 58, § 1º.)</w:t>
      </w:r>
      <w:r w:rsidRPr="001A7D68">
        <w:rPr>
          <w:rStyle w:val="FootnoteReference"/>
          <w:rFonts w:ascii="Times New Roman" w:hAnsi="Times New Roman"/>
          <w:sz w:val="24"/>
        </w:rPr>
        <w:t xml:space="preserve"> </w:t>
      </w:r>
      <w:r>
        <w:rPr>
          <w:rStyle w:val="FootnoteReference"/>
          <w:rFonts w:ascii="Times New Roman" w:hAnsi="Times New Roman"/>
          <w:sz w:val="24"/>
        </w:rPr>
        <w:footnoteReference w:id="35"/>
      </w:r>
    </w:p>
    <w:p w:rsidR="00D549BC" w:rsidRDefault="00D549BC" w:rsidP="0075264E">
      <w:pPr>
        <w:spacing w:after="240" w:line="240" w:lineRule="auto"/>
        <w:ind w:left="2268" w:firstLine="0"/>
        <w:rPr>
          <w:rFonts w:ascii="Times New Roman" w:hAnsi="Times New Roman"/>
          <w:sz w:val="24"/>
        </w:rPr>
      </w:pPr>
    </w:p>
    <w:p w:rsidR="00D549BC" w:rsidRDefault="00D549BC" w:rsidP="0075264E">
      <w:pPr>
        <w:spacing w:after="240" w:line="240" w:lineRule="auto"/>
        <w:ind w:left="2268" w:firstLine="0"/>
        <w:rPr>
          <w:rFonts w:ascii="Times New Roman" w:hAnsi="Times New Roman"/>
          <w:sz w:val="24"/>
        </w:rPr>
      </w:pPr>
    </w:p>
    <w:p w:rsidR="00D549BC" w:rsidRDefault="00D549BC" w:rsidP="00014436">
      <w:pPr>
        <w:contextualSpacing/>
        <w:rPr>
          <w:rFonts w:ascii="Times New Roman" w:hAnsi="Times New Roman"/>
          <w:sz w:val="24"/>
        </w:rPr>
      </w:pPr>
      <w:r>
        <w:rPr>
          <w:rFonts w:ascii="Times New Roman" w:hAnsi="Times New Roman"/>
          <w:sz w:val="24"/>
        </w:rPr>
        <w:t>Mais uma vez, insta alertar ao leitor que os dispositivos acima colacionados, não se encontram em consonância com o texto constitucional de 1934, nem mesmo com a Reforma de 1926, sendo fiéis, portanto, à Carta de 1891.</w:t>
      </w:r>
    </w:p>
    <w:p w:rsidR="00D549BC" w:rsidRDefault="00D549BC" w:rsidP="0075264E">
      <w:pPr>
        <w:spacing w:after="240"/>
        <w:ind w:firstLine="851"/>
        <w:contextualSpacing/>
        <w:rPr>
          <w:rFonts w:ascii="Times New Roman" w:hAnsi="Times New Roman"/>
          <w:b/>
          <w:sz w:val="24"/>
        </w:rPr>
      </w:pPr>
    </w:p>
    <w:p w:rsidR="00D549BC" w:rsidRPr="009E4106" w:rsidRDefault="00D549BC" w:rsidP="0075264E">
      <w:pPr>
        <w:spacing w:after="240"/>
        <w:ind w:firstLine="0"/>
        <w:contextualSpacing/>
        <w:rPr>
          <w:rFonts w:ascii="Times New Roman" w:hAnsi="Times New Roman"/>
          <w:sz w:val="24"/>
        </w:rPr>
      </w:pPr>
      <w:r w:rsidRPr="009E4106">
        <w:rPr>
          <w:rFonts w:ascii="Times New Roman" w:hAnsi="Times New Roman"/>
          <w:sz w:val="24"/>
        </w:rPr>
        <w:t xml:space="preserve">2.3 A CONSTITUIÇÃO DE 1937 </w:t>
      </w:r>
    </w:p>
    <w:p w:rsidR="00D549BC" w:rsidRDefault="00D549BC" w:rsidP="0075264E">
      <w:pPr>
        <w:spacing w:after="240"/>
        <w:ind w:firstLine="0"/>
        <w:contextualSpacing/>
        <w:rPr>
          <w:rFonts w:ascii="Times New Roman" w:hAnsi="Times New Roman"/>
          <w:b/>
          <w:sz w:val="24"/>
        </w:rPr>
      </w:pPr>
    </w:p>
    <w:p w:rsidR="00D549BC" w:rsidRDefault="00D549BC" w:rsidP="00014436">
      <w:pPr>
        <w:spacing w:after="240"/>
        <w:contextualSpacing/>
        <w:rPr>
          <w:rFonts w:ascii="Times New Roman" w:hAnsi="Times New Roman"/>
          <w:sz w:val="24"/>
        </w:rPr>
      </w:pPr>
      <w:r>
        <w:rPr>
          <w:rFonts w:ascii="Times New Roman" w:hAnsi="Times New Roman"/>
          <w:sz w:val="24"/>
        </w:rPr>
        <w:t>A Constituição do Estado-Novo, assim denominada a Carta de 37, representou um inequívoco retrocesso no sistema de controle de constitucionalidade, mormente com relação ao controle por via de ação, pois a Representação Interventiva fora suprimida do texto constitucional em vigor, passando os poderes interventivos ao controle do Poder Executivo, aspecto típico de um governo ditatorial.</w:t>
      </w:r>
      <w:r>
        <w:rPr>
          <w:rStyle w:val="FootnoteReference"/>
          <w:rFonts w:ascii="Times New Roman" w:hAnsi="Times New Roman"/>
          <w:sz w:val="24"/>
        </w:rPr>
        <w:footnoteReference w:id="36"/>
      </w:r>
      <w:r>
        <w:rPr>
          <w:rFonts w:ascii="Times New Roman" w:hAnsi="Times New Roman"/>
          <w:sz w:val="24"/>
        </w:rPr>
        <w:t xml:space="preserve"> </w:t>
      </w:r>
    </w:p>
    <w:p w:rsidR="00D549BC" w:rsidRDefault="00D549BC" w:rsidP="00014436">
      <w:pPr>
        <w:spacing w:after="240"/>
        <w:contextualSpacing/>
        <w:rPr>
          <w:rFonts w:ascii="Times New Roman" w:hAnsi="Times New Roman"/>
          <w:sz w:val="24"/>
        </w:rPr>
      </w:pPr>
      <w:r>
        <w:rPr>
          <w:rFonts w:ascii="Times New Roman" w:hAnsi="Times New Roman"/>
          <w:sz w:val="24"/>
        </w:rPr>
        <w:t>O modelo de controle difuso da constitucionalidade foi mantido, sendo previstas as mesmas hipóteses de cabimento do Recurso Extraordinário para o STF,</w:t>
      </w:r>
      <w:r>
        <w:rPr>
          <w:rStyle w:val="FootnoteReference"/>
          <w:rFonts w:ascii="Times New Roman" w:hAnsi="Times New Roman"/>
          <w:sz w:val="24"/>
        </w:rPr>
        <w:footnoteReference w:id="37"/>
      </w:r>
      <w:r>
        <w:rPr>
          <w:rFonts w:ascii="Times New Roman" w:hAnsi="Times New Roman"/>
          <w:sz w:val="24"/>
        </w:rPr>
        <w:t xml:space="preserve"> também presentes na Constituição de 1934. O quórum qualificado para declaração de inconstitucionalidade de leis e atos normativos emanados do Presidente da República ficou, igualmente, inalterado, sendo exigida maioria absoluta de votos dos membros dos Tribunais.</w:t>
      </w:r>
      <w:r>
        <w:rPr>
          <w:rStyle w:val="FootnoteReference"/>
          <w:rFonts w:ascii="Times New Roman" w:hAnsi="Times New Roman"/>
          <w:sz w:val="24"/>
        </w:rPr>
        <w:footnoteReference w:id="38"/>
      </w:r>
      <w:r>
        <w:rPr>
          <w:rFonts w:ascii="Times New Roman" w:hAnsi="Times New Roman"/>
          <w:sz w:val="24"/>
        </w:rPr>
        <w:t xml:space="preserve"> </w:t>
      </w:r>
    </w:p>
    <w:p w:rsidR="00D549BC" w:rsidRDefault="00D549BC" w:rsidP="00014436">
      <w:pPr>
        <w:spacing w:after="240"/>
        <w:contextualSpacing/>
        <w:rPr>
          <w:rFonts w:ascii="Times New Roman" w:hAnsi="Times New Roman"/>
          <w:sz w:val="24"/>
        </w:rPr>
      </w:pPr>
      <w:r>
        <w:rPr>
          <w:rFonts w:ascii="Times New Roman" w:hAnsi="Times New Roman"/>
          <w:sz w:val="24"/>
        </w:rPr>
        <w:t>Apesar de mantida a exigência de quórum qualificado para a derrubada de leis e atos do Presidente da República incompatíveis com a Constituição (art. 96 da CR/1937), tal prerrogativa do Judiciário foi mitigada pela possibilidade de o Chefe do Executivo Federal submeter ao Parlamento a lei declarada inconstitucional (art. 96, § único da CR/37), ou seja, tratava-se, na prática, de verdadeira revisão constitucional da decisão do Tribunal pelo Poder Legislativo.</w:t>
      </w:r>
      <w:r>
        <w:rPr>
          <w:rStyle w:val="FootnoteReference"/>
          <w:rFonts w:ascii="Times New Roman" w:hAnsi="Times New Roman"/>
          <w:sz w:val="24"/>
        </w:rPr>
        <w:footnoteReference w:id="39"/>
      </w:r>
      <w:r>
        <w:rPr>
          <w:rFonts w:ascii="Times New Roman" w:hAnsi="Times New Roman"/>
          <w:sz w:val="24"/>
        </w:rPr>
        <w:t xml:space="preserve"> </w:t>
      </w:r>
    </w:p>
    <w:p w:rsidR="00D549BC" w:rsidRDefault="00D549BC" w:rsidP="00422F11">
      <w:pPr>
        <w:spacing w:after="240"/>
        <w:contextualSpacing/>
        <w:rPr>
          <w:rFonts w:ascii="Times New Roman" w:hAnsi="Times New Roman"/>
          <w:sz w:val="24"/>
        </w:rPr>
      </w:pPr>
      <w:r>
        <w:rPr>
          <w:rFonts w:ascii="Times New Roman" w:hAnsi="Times New Roman"/>
          <w:sz w:val="24"/>
        </w:rPr>
        <w:t xml:space="preserve">O principal exemplo do uso dessa prerrogativa pelo Presidente da República foi o Decreto-Lei n. 1.564, de 5 de setembro de 1939, editado por Getúlio Vargas, com a finalidade de confirmar os textos de lei que </w:t>
      </w:r>
      <w:r w:rsidRPr="006D49D5">
        <w:rPr>
          <w:rFonts w:ascii="Times New Roman" w:hAnsi="Times New Roman"/>
          <w:sz w:val="24"/>
        </w:rPr>
        <w:t xml:space="preserve">sujeitaram ao </w:t>
      </w:r>
      <w:r>
        <w:rPr>
          <w:rFonts w:ascii="Times New Roman" w:hAnsi="Times New Roman"/>
          <w:sz w:val="24"/>
        </w:rPr>
        <w:t>I</w:t>
      </w:r>
      <w:r w:rsidRPr="006D49D5">
        <w:rPr>
          <w:rFonts w:ascii="Times New Roman" w:hAnsi="Times New Roman"/>
          <w:sz w:val="24"/>
        </w:rPr>
        <w:t xml:space="preserve">mposto de </w:t>
      </w:r>
      <w:r>
        <w:rPr>
          <w:rFonts w:ascii="Times New Roman" w:hAnsi="Times New Roman"/>
          <w:sz w:val="24"/>
        </w:rPr>
        <w:t>R</w:t>
      </w:r>
      <w:r w:rsidRPr="006D49D5">
        <w:rPr>
          <w:rFonts w:ascii="Times New Roman" w:hAnsi="Times New Roman"/>
          <w:sz w:val="24"/>
        </w:rPr>
        <w:t>enda os vencimentos pagos pelos cofres públicos estaduais e municipais; ficando</w:t>
      </w:r>
      <w:r>
        <w:rPr>
          <w:rFonts w:ascii="Times New Roman" w:hAnsi="Times New Roman"/>
          <w:sz w:val="24"/>
        </w:rPr>
        <w:t>, por conseguinte,</w:t>
      </w:r>
      <w:r w:rsidRPr="006D49D5">
        <w:rPr>
          <w:rFonts w:ascii="Times New Roman" w:hAnsi="Times New Roman"/>
          <w:sz w:val="24"/>
        </w:rPr>
        <w:t xml:space="preserve"> sem efeito as decisões do Supremo Tribunal Federal e de quaisquer outros </w:t>
      </w:r>
      <w:r>
        <w:rPr>
          <w:rFonts w:ascii="Times New Roman" w:hAnsi="Times New Roman"/>
          <w:sz w:val="24"/>
        </w:rPr>
        <w:t>T</w:t>
      </w:r>
      <w:r w:rsidRPr="006D49D5">
        <w:rPr>
          <w:rFonts w:ascii="Times New Roman" w:hAnsi="Times New Roman"/>
          <w:sz w:val="24"/>
        </w:rPr>
        <w:t>ribunais e juízes</w:t>
      </w:r>
      <w:r>
        <w:rPr>
          <w:rFonts w:ascii="Times New Roman" w:hAnsi="Times New Roman"/>
          <w:sz w:val="24"/>
        </w:rPr>
        <w:t xml:space="preserve"> que tivessem</w:t>
      </w:r>
      <w:r w:rsidRPr="006D49D5">
        <w:rPr>
          <w:rFonts w:ascii="Times New Roman" w:hAnsi="Times New Roman"/>
          <w:sz w:val="24"/>
        </w:rPr>
        <w:t xml:space="preserve"> declarado a inconstitucionalidade desses mesmos textos</w:t>
      </w:r>
      <w:r>
        <w:rPr>
          <w:rFonts w:ascii="Times New Roman" w:hAnsi="Times New Roman"/>
          <w:sz w:val="24"/>
        </w:rPr>
        <w:t>.</w:t>
      </w:r>
      <w:r>
        <w:rPr>
          <w:rStyle w:val="FootnoteReference"/>
          <w:rFonts w:ascii="Times New Roman" w:hAnsi="Times New Roman"/>
          <w:sz w:val="24"/>
        </w:rPr>
        <w:footnoteReference w:id="40"/>
      </w:r>
      <w:r>
        <w:rPr>
          <w:rFonts w:ascii="Times New Roman" w:hAnsi="Times New Roman"/>
          <w:sz w:val="24"/>
        </w:rPr>
        <w:t xml:space="preserve"> </w:t>
      </w:r>
    </w:p>
    <w:p w:rsidR="00D549BC" w:rsidRDefault="00D549BC" w:rsidP="009E4106">
      <w:pPr>
        <w:spacing w:after="240"/>
        <w:contextualSpacing/>
        <w:rPr>
          <w:rFonts w:ascii="Times New Roman" w:hAnsi="Times New Roman"/>
          <w:sz w:val="24"/>
        </w:rPr>
      </w:pPr>
      <w:r>
        <w:rPr>
          <w:rFonts w:ascii="Times New Roman" w:hAnsi="Times New Roman"/>
          <w:sz w:val="24"/>
        </w:rPr>
        <w:t xml:space="preserve">No artigo 94, reiterou-se a vedação trazida pela Constituição de 1934 acerca da impossibilidade de o Poder Judiciário conhecer de questões exclusivamente políticas (art. 94 da CR/1937).    </w:t>
      </w:r>
    </w:p>
    <w:p w:rsidR="00D549BC" w:rsidRDefault="00D549BC" w:rsidP="009E4106">
      <w:pPr>
        <w:spacing w:after="240"/>
        <w:contextualSpacing/>
        <w:rPr>
          <w:rFonts w:ascii="Times New Roman" w:hAnsi="Times New Roman"/>
        </w:rPr>
      </w:pPr>
      <w:r>
        <w:rPr>
          <w:rFonts w:ascii="Times New Roman" w:hAnsi="Times New Roman"/>
          <w:sz w:val="24"/>
        </w:rPr>
        <w:t xml:space="preserve">O Regimento Interno do STF de 1940, que tem por base a Constituição de 1937, não trouxe grandes alterações no processamento do Recurso Extraordinário, cabendo destacar a possibilidade de Agravo para o caso de denegação do RE, presente no art. 189: </w:t>
      </w:r>
    </w:p>
    <w:p w:rsidR="00D549BC" w:rsidRDefault="00D549BC" w:rsidP="0075264E">
      <w:pPr>
        <w:spacing w:after="240" w:line="240" w:lineRule="auto"/>
        <w:ind w:left="2268" w:firstLine="0"/>
        <w:contextualSpacing/>
        <w:rPr>
          <w:rFonts w:ascii="Times New Roman" w:hAnsi="Times New Roman"/>
        </w:rPr>
      </w:pPr>
      <w:r>
        <w:rPr>
          <w:rFonts w:ascii="Times New Roman" w:hAnsi="Times New Roman"/>
        </w:rPr>
        <w:t>Art. 189. Os Recursos Extraordinários e Agravos por sua denegação serão julgados pelas Turmas; observado quanto àqueles, o que se dispôs sobre as apelações (exceto quanto aos agravos no auto do processo), e quanto aos agravos pela denegação do recurso, o que se prescreveu para os agravos em geral.</w:t>
      </w:r>
      <w:r>
        <w:rPr>
          <w:rStyle w:val="FootnoteReference"/>
          <w:rFonts w:ascii="Times New Roman" w:hAnsi="Times New Roman"/>
        </w:rPr>
        <w:footnoteReference w:id="41"/>
      </w:r>
      <w:r>
        <w:rPr>
          <w:rFonts w:ascii="Times New Roman" w:hAnsi="Times New Roman"/>
        </w:rPr>
        <w:t xml:space="preserve"> </w:t>
      </w:r>
    </w:p>
    <w:p w:rsidR="00D549BC" w:rsidRDefault="00D549BC" w:rsidP="0075264E">
      <w:pPr>
        <w:spacing w:after="240" w:line="240" w:lineRule="auto"/>
        <w:ind w:firstLine="851"/>
        <w:contextualSpacing/>
        <w:rPr>
          <w:rFonts w:ascii="Times New Roman" w:hAnsi="Times New Roman"/>
        </w:rPr>
      </w:pPr>
    </w:p>
    <w:p w:rsidR="00D549BC" w:rsidRDefault="00D549BC" w:rsidP="0075264E">
      <w:pPr>
        <w:spacing w:after="240" w:line="240" w:lineRule="auto"/>
        <w:ind w:firstLine="851"/>
        <w:contextualSpacing/>
        <w:rPr>
          <w:rFonts w:ascii="Times New Roman" w:hAnsi="Times New Roman"/>
          <w:b/>
          <w:sz w:val="24"/>
        </w:rPr>
      </w:pPr>
    </w:p>
    <w:p w:rsidR="00D549BC" w:rsidRPr="009E4106" w:rsidRDefault="00D549BC" w:rsidP="007C2E81">
      <w:pPr>
        <w:spacing w:after="240"/>
        <w:ind w:firstLine="0"/>
        <w:contextualSpacing/>
        <w:rPr>
          <w:rFonts w:ascii="Times New Roman" w:hAnsi="Times New Roman"/>
          <w:sz w:val="24"/>
        </w:rPr>
      </w:pPr>
      <w:r w:rsidRPr="009E4106">
        <w:rPr>
          <w:rFonts w:ascii="Times New Roman" w:hAnsi="Times New Roman"/>
          <w:sz w:val="24"/>
        </w:rPr>
        <w:t>2.4 A CONSTITUIÇÃO DE 1946 E A EMENDA CONSTITUCIONAL Nº 16, DE 26 DE NOVEMBRO DE 1965</w:t>
      </w:r>
    </w:p>
    <w:p w:rsidR="00D549BC" w:rsidRDefault="00D549BC" w:rsidP="0075264E">
      <w:pPr>
        <w:spacing w:after="240"/>
        <w:ind w:firstLine="851"/>
        <w:contextualSpacing/>
        <w:rPr>
          <w:rFonts w:ascii="Times New Roman" w:hAnsi="Times New Roman"/>
          <w:sz w:val="24"/>
        </w:rPr>
      </w:pPr>
    </w:p>
    <w:p w:rsidR="00D549BC" w:rsidRDefault="00D549BC" w:rsidP="009E4106">
      <w:pPr>
        <w:spacing w:after="240"/>
        <w:contextualSpacing/>
        <w:rPr>
          <w:rFonts w:ascii="Times New Roman" w:hAnsi="Times New Roman"/>
          <w:sz w:val="24"/>
        </w:rPr>
      </w:pPr>
      <w:r w:rsidRPr="003B321F">
        <w:rPr>
          <w:rFonts w:ascii="Times New Roman" w:hAnsi="Times New Roman"/>
          <w:sz w:val="24"/>
        </w:rPr>
        <w:t xml:space="preserve">Findo o autoritarismo, </w:t>
      </w:r>
      <w:r>
        <w:rPr>
          <w:rFonts w:ascii="Times New Roman" w:hAnsi="Times New Roman"/>
          <w:sz w:val="24"/>
        </w:rPr>
        <w:t>temos</w:t>
      </w:r>
      <w:r w:rsidRPr="003B321F">
        <w:rPr>
          <w:rFonts w:ascii="Times New Roman" w:hAnsi="Times New Roman"/>
          <w:sz w:val="24"/>
        </w:rPr>
        <w:t xml:space="preserve"> a Constituição de 1946</w:t>
      </w:r>
      <w:r>
        <w:rPr>
          <w:rFonts w:ascii="Times New Roman" w:hAnsi="Times New Roman"/>
          <w:sz w:val="24"/>
        </w:rPr>
        <w:t>,</w:t>
      </w:r>
      <w:r w:rsidRPr="003B321F">
        <w:rPr>
          <w:rFonts w:ascii="Times New Roman" w:hAnsi="Times New Roman"/>
          <w:sz w:val="24"/>
        </w:rPr>
        <w:t xml:space="preserve"> que </w:t>
      </w:r>
      <w:r>
        <w:rPr>
          <w:rFonts w:ascii="Times New Roman" w:hAnsi="Times New Roman"/>
          <w:sz w:val="24"/>
        </w:rPr>
        <w:t>restaurou</w:t>
      </w:r>
      <w:r w:rsidRPr="003B321F">
        <w:rPr>
          <w:rFonts w:ascii="Times New Roman" w:hAnsi="Times New Roman"/>
          <w:sz w:val="24"/>
        </w:rPr>
        <w:t xml:space="preserve"> o modelo </w:t>
      </w:r>
      <w:r>
        <w:rPr>
          <w:rFonts w:ascii="Times New Roman" w:hAnsi="Times New Roman"/>
          <w:sz w:val="24"/>
        </w:rPr>
        <w:t xml:space="preserve">jurisdicional de </w:t>
      </w:r>
      <w:r w:rsidRPr="003B321F">
        <w:rPr>
          <w:rFonts w:ascii="Times New Roman" w:hAnsi="Times New Roman"/>
          <w:sz w:val="24"/>
        </w:rPr>
        <w:t xml:space="preserve">constitucionalidade </w:t>
      </w:r>
      <w:r>
        <w:rPr>
          <w:rFonts w:ascii="Times New Roman" w:hAnsi="Times New Roman"/>
          <w:sz w:val="24"/>
        </w:rPr>
        <w:t>no Brasil</w:t>
      </w:r>
      <w:r w:rsidRPr="003B321F">
        <w:rPr>
          <w:rFonts w:ascii="Times New Roman" w:hAnsi="Times New Roman"/>
          <w:sz w:val="24"/>
        </w:rPr>
        <w:t>, recuperando, ainda, as supressões feitas pela Carta Política de 37.</w:t>
      </w:r>
      <w:r>
        <w:rPr>
          <w:rFonts w:ascii="Times New Roman" w:hAnsi="Times New Roman"/>
          <w:sz w:val="24"/>
        </w:rPr>
        <w:t xml:space="preserve"> </w:t>
      </w:r>
    </w:p>
    <w:p w:rsidR="00D549BC" w:rsidRDefault="00D549BC" w:rsidP="00CE42BD">
      <w:pPr>
        <w:spacing w:after="240"/>
        <w:contextualSpacing/>
        <w:rPr>
          <w:rFonts w:ascii="Times New Roman" w:hAnsi="Times New Roman"/>
          <w:sz w:val="24"/>
        </w:rPr>
      </w:pPr>
      <w:r>
        <w:rPr>
          <w:rFonts w:ascii="Times New Roman" w:hAnsi="Times New Roman"/>
          <w:sz w:val="24"/>
        </w:rPr>
        <w:t>Com efeito, a Constituição de 1946 permitiu que o controle difuso fosse exercido pelo STF em sede de Recurso Extraordinário;</w:t>
      </w:r>
      <w:r>
        <w:rPr>
          <w:rStyle w:val="FootnoteReference"/>
          <w:rFonts w:ascii="Times New Roman" w:hAnsi="Times New Roman"/>
          <w:sz w:val="24"/>
        </w:rPr>
        <w:footnoteReference w:id="42"/>
      </w:r>
      <w:r>
        <w:rPr>
          <w:rFonts w:ascii="Times New Roman" w:hAnsi="Times New Roman"/>
          <w:sz w:val="24"/>
        </w:rPr>
        <w:t xml:space="preserve"> preservou a exigência de maioria absoluta dos membros do Tribunal para a eficácia da decisão declaratória de inconstitucionalidade;</w:t>
      </w:r>
      <w:r>
        <w:rPr>
          <w:rStyle w:val="FootnoteReference"/>
          <w:rFonts w:ascii="Times New Roman" w:hAnsi="Times New Roman"/>
          <w:sz w:val="24"/>
        </w:rPr>
        <w:footnoteReference w:id="43"/>
      </w:r>
      <w:r>
        <w:rPr>
          <w:rFonts w:ascii="Times New Roman" w:hAnsi="Times New Roman"/>
          <w:sz w:val="24"/>
        </w:rPr>
        <w:t xml:space="preserve"> manteve a atribuição do Senado Federal para suspender a execução de lei declarada inconstitucional pelo Pretório Excelso;</w:t>
      </w:r>
      <w:r>
        <w:rPr>
          <w:rStyle w:val="FootnoteReference"/>
          <w:rFonts w:ascii="Times New Roman" w:hAnsi="Times New Roman"/>
          <w:sz w:val="24"/>
        </w:rPr>
        <w:footnoteReference w:id="44"/>
      </w:r>
      <w:r>
        <w:rPr>
          <w:rFonts w:ascii="Times New Roman" w:hAnsi="Times New Roman"/>
          <w:sz w:val="24"/>
        </w:rPr>
        <w:t xml:space="preserve"> por fim, emprestou nova conformação à Representação Interventiva, alterando a dinâmica para a decretação de intervenção federal (que, na Carta de 34, ficava condicionada à declaração de constitucionalidade pelo STF) nos casos de inobservância dos princípios constitucionais elencados no art. 7º, VII. Para que houvesse a intervenção, deveria o Procurador Geral da República submeter o ato arguido de inconstitucional ao exame do Supremo Tribunal Federal, e sendo confirmada a inconstitucionalidade, somente assim estaria autorizada a decretação de intervenção mediante lei federal.</w:t>
      </w:r>
      <w:r>
        <w:rPr>
          <w:rStyle w:val="FootnoteReference"/>
          <w:rFonts w:ascii="Times New Roman" w:hAnsi="Times New Roman"/>
          <w:sz w:val="24"/>
        </w:rPr>
        <w:footnoteReference w:id="45"/>
      </w:r>
      <w:r>
        <w:rPr>
          <w:rFonts w:ascii="Times New Roman" w:hAnsi="Times New Roman"/>
          <w:sz w:val="24"/>
        </w:rPr>
        <w:t xml:space="preserve"> </w:t>
      </w:r>
    </w:p>
    <w:p w:rsidR="00D549BC" w:rsidRDefault="00D549BC" w:rsidP="00CE42BD">
      <w:pPr>
        <w:spacing w:after="240"/>
        <w:contextualSpacing/>
        <w:rPr>
          <w:rFonts w:ascii="Times New Roman" w:hAnsi="Times New Roman"/>
          <w:sz w:val="24"/>
        </w:rPr>
      </w:pPr>
      <w:r>
        <w:rPr>
          <w:rFonts w:ascii="Times New Roman" w:hAnsi="Times New Roman"/>
          <w:sz w:val="24"/>
        </w:rPr>
        <w:t xml:space="preserve">Sob a égide da Constituição de 1946, a Representação Interventiva </w:t>
      </w:r>
      <w:r w:rsidRPr="00A85614">
        <w:rPr>
          <w:rFonts w:ascii="Times New Roman" w:hAnsi="Times New Roman"/>
          <w:sz w:val="24"/>
        </w:rPr>
        <w:t>ganhou ma</w:t>
      </w:r>
      <w:r>
        <w:rPr>
          <w:rFonts w:ascii="Times New Roman" w:hAnsi="Times New Roman"/>
          <w:sz w:val="24"/>
        </w:rPr>
        <w:t xml:space="preserve">ior amplitude, pois a regulação </w:t>
      </w:r>
      <w:r w:rsidRPr="00A85614">
        <w:rPr>
          <w:rFonts w:ascii="Times New Roman" w:hAnsi="Times New Roman"/>
          <w:sz w:val="24"/>
        </w:rPr>
        <w:t>dada pela Lei 2.271, de 22 de julho de 1954</w:t>
      </w:r>
      <w:r>
        <w:rPr>
          <w:rFonts w:ascii="Times New Roman" w:hAnsi="Times New Roman"/>
          <w:sz w:val="24"/>
        </w:rPr>
        <w:t>,</w:t>
      </w:r>
      <w:r>
        <w:rPr>
          <w:rStyle w:val="FootnoteReference"/>
          <w:rFonts w:ascii="Times New Roman" w:hAnsi="Times New Roman"/>
          <w:sz w:val="24"/>
        </w:rPr>
        <w:footnoteReference w:id="46"/>
      </w:r>
      <w:r w:rsidRPr="00A85614">
        <w:rPr>
          <w:rFonts w:ascii="Times New Roman" w:hAnsi="Times New Roman"/>
          <w:sz w:val="24"/>
        </w:rPr>
        <w:t xml:space="preserve"> e, posteriormente, pela Lei 4.377,</w:t>
      </w:r>
      <w:r>
        <w:rPr>
          <w:rFonts w:ascii="Times New Roman" w:hAnsi="Times New Roman"/>
          <w:sz w:val="24"/>
        </w:rPr>
        <w:t xml:space="preserve"> </w:t>
      </w:r>
      <w:r w:rsidRPr="00A85614">
        <w:rPr>
          <w:rFonts w:ascii="Times New Roman" w:hAnsi="Times New Roman"/>
          <w:sz w:val="24"/>
        </w:rPr>
        <w:t>de 1º de junho de 1964, admitia a iniciativa da provocação ao Procurador-Geral</w:t>
      </w:r>
      <w:r>
        <w:rPr>
          <w:rFonts w:ascii="Times New Roman" w:hAnsi="Times New Roman"/>
          <w:sz w:val="24"/>
        </w:rPr>
        <w:t xml:space="preserve"> </w:t>
      </w:r>
      <w:r w:rsidRPr="00A85614">
        <w:rPr>
          <w:rFonts w:ascii="Times New Roman" w:hAnsi="Times New Roman"/>
          <w:sz w:val="24"/>
        </w:rPr>
        <w:t>da República e a qualquer parte interessada, nos termos da lei, além do chefe</w:t>
      </w:r>
      <w:r>
        <w:rPr>
          <w:rFonts w:ascii="Times New Roman" w:hAnsi="Times New Roman"/>
          <w:sz w:val="24"/>
        </w:rPr>
        <w:t xml:space="preserve"> </w:t>
      </w:r>
      <w:r w:rsidRPr="00A85614">
        <w:rPr>
          <w:rFonts w:ascii="Times New Roman" w:hAnsi="Times New Roman"/>
          <w:sz w:val="24"/>
        </w:rPr>
        <w:t>do Executivo Federal.</w:t>
      </w:r>
      <w:r>
        <w:rPr>
          <w:rFonts w:ascii="Times New Roman" w:hAnsi="Times New Roman"/>
          <w:sz w:val="24"/>
        </w:rPr>
        <w:t xml:space="preserve"> </w:t>
      </w:r>
    </w:p>
    <w:p w:rsidR="00D549BC" w:rsidRDefault="00D549BC" w:rsidP="00651510">
      <w:pPr>
        <w:spacing w:after="240"/>
        <w:contextualSpacing/>
        <w:rPr>
          <w:rFonts w:ascii="Times New Roman" w:hAnsi="Times New Roman"/>
          <w:sz w:val="24"/>
        </w:rPr>
      </w:pPr>
      <w:r>
        <w:rPr>
          <w:rFonts w:ascii="Times New Roman" w:hAnsi="Times New Roman"/>
          <w:sz w:val="24"/>
        </w:rPr>
        <w:t>Não obstante o caráter peculiar da Representação Interventiva (resolução de conflitos federativos) – o que poderia levar a crer que o instituto seria pouco utilizado, pois a intervenção é um ato político delicado e polêmico –, acreditamos que dois foram os principais fatores para que o referido instrumento fosse, ao contrário do imaginado, bastante utilizado durante o período de 1946 a 1965:</w:t>
      </w:r>
      <w:r>
        <w:rPr>
          <w:rStyle w:val="FootnoteReference"/>
          <w:rFonts w:ascii="Times New Roman" w:hAnsi="Times New Roman"/>
          <w:sz w:val="24"/>
        </w:rPr>
        <w:footnoteReference w:id="47"/>
      </w:r>
      <w:r>
        <w:rPr>
          <w:rFonts w:ascii="Times New Roman" w:hAnsi="Times New Roman"/>
          <w:sz w:val="24"/>
        </w:rPr>
        <w:t xml:space="preserve"> (i) primeiro, acima mencionado, foi o advento das Leis Federais 2.271/54 e 4.337/64, que legitimaram qualquer interessado a provocar o Procurador Geral da República para que ajuizasse a Representação na hipótese de violação dos preceitos elencados no art. 7º, VII; (ii) o segundo fator é que na própria Carta de 46 (art. 13)</w:t>
      </w:r>
      <w:r>
        <w:rPr>
          <w:rStyle w:val="FootnoteReference"/>
          <w:rFonts w:ascii="Times New Roman" w:hAnsi="Times New Roman"/>
          <w:sz w:val="24"/>
        </w:rPr>
        <w:footnoteReference w:id="48"/>
      </w:r>
      <w:r>
        <w:rPr>
          <w:rFonts w:ascii="Times New Roman" w:hAnsi="Times New Roman"/>
          <w:sz w:val="24"/>
        </w:rPr>
        <w:t xml:space="preserve"> ficou estabelecido que o Congresso Nacional, ao tomar ciência da inconstitucionalidade do ato impugnado pelo PGR e confirmado pelo STF, limitar-se-ia</w:t>
      </w:r>
      <w:r w:rsidRPr="00791507">
        <w:rPr>
          <w:rFonts w:ascii="Times New Roman" w:hAnsi="Times New Roman"/>
          <w:sz w:val="24"/>
        </w:rPr>
        <w:t xml:space="preserve"> a suspender a execução do ato </w:t>
      </w:r>
      <w:r>
        <w:rPr>
          <w:rFonts w:ascii="Times New Roman" w:hAnsi="Times New Roman"/>
          <w:sz w:val="24"/>
        </w:rPr>
        <w:t>declarado</w:t>
      </w:r>
      <w:r w:rsidRPr="00791507">
        <w:rPr>
          <w:rFonts w:ascii="Times New Roman" w:hAnsi="Times New Roman"/>
          <w:sz w:val="24"/>
        </w:rPr>
        <w:t xml:space="preserve"> </w:t>
      </w:r>
      <w:r>
        <w:rPr>
          <w:rFonts w:ascii="Times New Roman" w:hAnsi="Times New Roman"/>
          <w:sz w:val="24"/>
        </w:rPr>
        <w:t>i</w:t>
      </w:r>
      <w:r w:rsidRPr="00791507">
        <w:rPr>
          <w:rFonts w:ascii="Times New Roman" w:hAnsi="Times New Roman"/>
          <w:sz w:val="24"/>
        </w:rPr>
        <w:t>nconstituci</w:t>
      </w:r>
      <w:r>
        <w:rPr>
          <w:rFonts w:ascii="Times New Roman" w:hAnsi="Times New Roman"/>
          <w:sz w:val="24"/>
        </w:rPr>
        <w:t>onal, se essa medida bastasse</w:t>
      </w:r>
      <w:r w:rsidRPr="00791507">
        <w:rPr>
          <w:rFonts w:ascii="Times New Roman" w:hAnsi="Times New Roman"/>
          <w:sz w:val="24"/>
        </w:rPr>
        <w:t xml:space="preserve"> para o restabelecimento da normalidade no Estado.</w:t>
      </w:r>
      <w:r>
        <w:rPr>
          <w:rFonts w:ascii="Times New Roman" w:hAnsi="Times New Roman"/>
          <w:sz w:val="24"/>
        </w:rPr>
        <w:t xml:space="preserve"> Com isso, o desgaste político da Representação Interventiva era amenizado, pois evitava-se uma intervenção de fato. </w:t>
      </w:r>
    </w:p>
    <w:p w:rsidR="00D549BC" w:rsidRDefault="00D549BC" w:rsidP="00823315">
      <w:pPr>
        <w:spacing w:after="240"/>
        <w:contextualSpacing/>
        <w:rPr>
          <w:rFonts w:ascii="Times New Roman" w:hAnsi="Times New Roman"/>
          <w:sz w:val="24"/>
        </w:rPr>
      </w:pPr>
      <w:r>
        <w:rPr>
          <w:rFonts w:ascii="Times New Roman" w:hAnsi="Times New Roman"/>
          <w:sz w:val="24"/>
        </w:rPr>
        <w:t>RODRIGO BRANDÃO, ao comentar a Representação Interventiva, faz interessante análise acerca do fenômeno em nosso ordenamento jurídico durante o período de redemocratização de 1946:</w:t>
      </w:r>
    </w:p>
    <w:p w:rsidR="00D549BC" w:rsidRDefault="00D549BC" w:rsidP="0075264E">
      <w:pPr>
        <w:spacing w:after="240" w:line="240" w:lineRule="auto"/>
        <w:ind w:left="2268" w:firstLine="0"/>
        <w:contextualSpacing/>
        <w:rPr>
          <w:rFonts w:ascii="Times New Roman" w:hAnsi="Times New Roman"/>
          <w:sz w:val="24"/>
        </w:rPr>
      </w:pPr>
      <w:r w:rsidRPr="00E616B5">
        <w:rPr>
          <w:rFonts w:ascii="Times New Roman" w:hAnsi="Times New Roman"/>
        </w:rPr>
        <w:t xml:space="preserve">Neste cenário, não é de causar estranheza que, apesar do resgate do modelo de controle de constitucionalidade da Constituição de 1934, não tenha havido expansão significativa do papel político do Judiciário (ao menos em relação à República Velha). Cite-se, por exemplo, o caso das Representações Interventivas: ao contrário do que se poderia supor, o seu manejo não transformou o STF em árbitro dos grandes conflitos federativos, já que eles continuavam a ser resolvidos mediante decretação, pelo Presidente, de estado de sítio. Inversamente, através das Representações Interventivas, o STF atuou com vistas </w:t>
      </w:r>
      <w:r>
        <w:rPr>
          <w:rFonts w:ascii="Times New Roman" w:hAnsi="Times New Roman"/>
        </w:rPr>
        <w:t xml:space="preserve">a </w:t>
      </w:r>
      <w:r w:rsidRPr="00E616B5">
        <w:rPr>
          <w:rFonts w:ascii="Times New Roman" w:hAnsi="Times New Roman"/>
        </w:rPr>
        <w:t>promover a adequação dos ordenamentos jurídicos estaduais à Constituição Federal, isto é, como mero instrumento de centralização normativa</w:t>
      </w:r>
      <w:r>
        <w:rPr>
          <w:rFonts w:ascii="Times New Roman" w:hAnsi="Times New Roman"/>
        </w:rPr>
        <w:t>.</w:t>
      </w:r>
      <w:r>
        <w:rPr>
          <w:rStyle w:val="FootnoteReference"/>
          <w:rFonts w:ascii="Times New Roman" w:hAnsi="Times New Roman"/>
        </w:rPr>
        <w:footnoteReference w:id="49"/>
      </w:r>
      <w:r w:rsidRPr="00E616B5">
        <w:rPr>
          <w:rFonts w:ascii="Times New Roman" w:hAnsi="Times New Roman"/>
        </w:rPr>
        <w:t xml:space="preserve"> </w:t>
      </w:r>
    </w:p>
    <w:p w:rsidR="00D549BC" w:rsidRDefault="00D549BC" w:rsidP="0075264E">
      <w:pPr>
        <w:spacing w:after="240"/>
        <w:ind w:firstLine="851"/>
        <w:contextualSpacing/>
        <w:rPr>
          <w:rFonts w:ascii="Times New Roman" w:hAnsi="Times New Roman"/>
          <w:sz w:val="24"/>
        </w:rPr>
      </w:pPr>
      <w:r>
        <w:rPr>
          <w:rFonts w:ascii="Times New Roman" w:hAnsi="Times New Roman"/>
          <w:sz w:val="24"/>
        </w:rPr>
        <w:t xml:space="preserve"> </w:t>
      </w:r>
    </w:p>
    <w:p w:rsidR="00D549BC" w:rsidRDefault="00D549BC" w:rsidP="009B41CD">
      <w:pPr>
        <w:spacing w:after="240"/>
        <w:contextualSpacing/>
        <w:rPr>
          <w:rFonts w:ascii="Times New Roman" w:hAnsi="Times New Roman"/>
          <w:sz w:val="24"/>
          <w:szCs w:val="26"/>
        </w:rPr>
      </w:pPr>
      <w:r>
        <w:rPr>
          <w:rFonts w:ascii="Times New Roman" w:hAnsi="Times New Roman"/>
          <w:sz w:val="24"/>
        </w:rPr>
        <w:t>Ainda n</w:t>
      </w:r>
      <w:r w:rsidRPr="007D42B6">
        <w:rPr>
          <w:rFonts w:ascii="Times New Roman" w:hAnsi="Times New Roman"/>
          <w:sz w:val="24"/>
        </w:rPr>
        <w:t>a vigência da Constituição da República de 1946,</w:t>
      </w:r>
      <w:r>
        <w:rPr>
          <w:rFonts w:ascii="Times New Roman" w:hAnsi="Times New Roman"/>
          <w:sz w:val="24"/>
        </w:rPr>
        <w:t xml:space="preserve"> mas já sob o domínio do Regime M</w:t>
      </w:r>
      <w:r w:rsidRPr="007D42B6">
        <w:rPr>
          <w:rFonts w:ascii="Times New Roman" w:hAnsi="Times New Roman"/>
          <w:sz w:val="24"/>
        </w:rPr>
        <w:t>ilitar</w:t>
      </w:r>
      <w:r>
        <w:rPr>
          <w:rFonts w:ascii="Times New Roman" w:hAnsi="Times New Roman"/>
          <w:sz w:val="24"/>
        </w:rPr>
        <w:t>,</w:t>
      </w:r>
      <w:r>
        <w:rPr>
          <w:rStyle w:val="FootnoteReference"/>
          <w:rFonts w:ascii="Times New Roman" w:hAnsi="Times New Roman"/>
          <w:sz w:val="24"/>
        </w:rPr>
        <w:footnoteReference w:id="50"/>
      </w:r>
      <w:r w:rsidRPr="007D42B6">
        <w:rPr>
          <w:rFonts w:ascii="Times New Roman" w:hAnsi="Times New Roman"/>
          <w:sz w:val="24"/>
        </w:rPr>
        <w:t xml:space="preserve"> surge a Emenda Constitucional nº 16, de 26 de novembro de 1965, que instituiu no controle de constitucionalidade brasileiro a então denominada </w:t>
      </w:r>
      <w:r>
        <w:rPr>
          <w:rFonts w:ascii="Times New Roman" w:hAnsi="Times New Roman"/>
          <w:sz w:val="24"/>
        </w:rPr>
        <w:t>A</w:t>
      </w:r>
      <w:r w:rsidRPr="007D42B6">
        <w:rPr>
          <w:rFonts w:ascii="Times New Roman" w:hAnsi="Times New Roman"/>
          <w:sz w:val="24"/>
        </w:rPr>
        <w:t xml:space="preserve">ção </w:t>
      </w:r>
      <w:r>
        <w:rPr>
          <w:rFonts w:ascii="Times New Roman" w:hAnsi="Times New Roman"/>
          <w:sz w:val="24"/>
        </w:rPr>
        <w:t>G</w:t>
      </w:r>
      <w:r w:rsidRPr="007D42B6">
        <w:rPr>
          <w:rFonts w:ascii="Times New Roman" w:hAnsi="Times New Roman"/>
          <w:sz w:val="24"/>
        </w:rPr>
        <w:t xml:space="preserve">enérica de </w:t>
      </w:r>
      <w:r>
        <w:rPr>
          <w:rFonts w:ascii="Times New Roman" w:hAnsi="Times New Roman"/>
          <w:sz w:val="24"/>
        </w:rPr>
        <w:t>I</w:t>
      </w:r>
      <w:r w:rsidRPr="007D42B6">
        <w:rPr>
          <w:rFonts w:ascii="Times New Roman" w:hAnsi="Times New Roman"/>
          <w:sz w:val="24"/>
        </w:rPr>
        <w:t>nconstitucionalidade</w:t>
      </w:r>
      <w:r>
        <w:rPr>
          <w:rFonts w:ascii="Times New Roman" w:hAnsi="Times New Roman"/>
          <w:sz w:val="24"/>
        </w:rPr>
        <w:t>.</w:t>
      </w:r>
      <w:r>
        <w:rPr>
          <w:rStyle w:val="FootnoteReference"/>
          <w:rFonts w:ascii="Times New Roman" w:hAnsi="Times New Roman"/>
          <w:sz w:val="24"/>
        </w:rPr>
        <w:footnoteReference w:id="51"/>
      </w:r>
      <w:r>
        <w:rPr>
          <w:rFonts w:ascii="Times New Roman" w:hAnsi="Times New Roman"/>
          <w:sz w:val="24"/>
        </w:rPr>
        <w:t xml:space="preserve"> </w:t>
      </w:r>
      <w:r>
        <w:rPr>
          <w:rFonts w:ascii="Times New Roman" w:hAnsi="Times New Roman"/>
          <w:sz w:val="24"/>
          <w:szCs w:val="26"/>
        </w:rPr>
        <w:t xml:space="preserve">Passou </w:t>
      </w:r>
      <w:r w:rsidRPr="008F136B">
        <w:rPr>
          <w:rFonts w:ascii="Times New Roman" w:hAnsi="Times New Roman"/>
          <w:sz w:val="24"/>
          <w:szCs w:val="26"/>
        </w:rPr>
        <w:t>o Supremo Tribunal Federal a ter competência para declarar a inconstitucionalidade de l</w:t>
      </w:r>
      <w:r>
        <w:rPr>
          <w:rFonts w:ascii="Times New Roman" w:hAnsi="Times New Roman"/>
          <w:sz w:val="24"/>
          <w:szCs w:val="26"/>
        </w:rPr>
        <w:t xml:space="preserve">ei ou ato de natureza normativa </w:t>
      </w:r>
      <w:r w:rsidRPr="008F136B">
        <w:rPr>
          <w:rFonts w:ascii="Times New Roman" w:hAnsi="Times New Roman"/>
          <w:sz w:val="24"/>
          <w:szCs w:val="26"/>
        </w:rPr>
        <w:t xml:space="preserve">federal ou estadual, mediante representação que lhe fosse encaminhada pelo Procurador Geral da República. </w:t>
      </w:r>
    </w:p>
    <w:p w:rsidR="00D549BC" w:rsidRDefault="00D549BC" w:rsidP="009B41CD">
      <w:pPr>
        <w:spacing w:after="240"/>
        <w:contextualSpacing/>
        <w:rPr>
          <w:rFonts w:ascii="Times New Roman" w:hAnsi="Times New Roman"/>
          <w:sz w:val="24"/>
          <w:szCs w:val="26"/>
        </w:rPr>
      </w:pPr>
      <w:r>
        <w:rPr>
          <w:rFonts w:ascii="Times New Roman" w:hAnsi="Times New Roman"/>
          <w:sz w:val="24"/>
          <w:szCs w:val="26"/>
        </w:rPr>
        <w:t>Introduzia</w:t>
      </w:r>
      <w:r w:rsidRPr="008F136B">
        <w:rPr>
          <w:rFonts w:ascii="Times New Roman" w:hAnsi="Times New Roman"/>
          <w:sz w:val="24"/>
          <w:szCs w:val="26"/>
        </w:rPr>
        <w:t xml:space="preserve">-se, assim, no </w:t>
      </w:r>
      <w:r>
        <w:rPr>
          <w:rFonts w:ascii="Times New Roman" w:hAnsi="Times New Roman"/>
          <w:sz w:val="24"/>
          <w:szCs w:val="26"/>
        </w:rPr>
        <w:t>D</w:t>
      </w:r>
      <w:r w:rsidRPr="008F136B">
        <w:rPr>
          <w:rFonts w:ascii="Times New Roman" w:hAnsi="Times New Roman"/>
          <w:sz w:val="24"/>
          <w:szCs w:val="26"/>
        </w:rPr>
        <w:t xml:space="preserve">ireito </w:t>
      </w:r>
      <w:r>
        <w:rPr>
          <w:rFonts w:ascii="Times New Roman" w:hAnsi="Times New Roman"/>
          <w:sz w:val="24"/>
          <w:szCs w:val="26"/>
        </w:rPr>
        <w:t>B</w:t>
      </w:r>
      <w:r w:rsidRPr="008F136B">
        <w:rPr>
          <w:rFonts w:ascii="Times New Roman" w:hAnsi="Times New Roman"/>
          <w:sz w:val="24"/>
          <w:szCs w:val="26"/>
        </w:rPr>
        <w:t xml:space="preserve">rasileiro </w:t>
      </w:r>
      <w:r>
        <w:rPr>
          <w:rFonts w:ascii="Times New Roman" w:hAnsi="Times New Roman"/>
          <w:sz w:val="24"/>
          <w:szCs w:val="26"/>
        </w:rPr>
        <w:t>um</w:t>
      </w:r>
      <w:r w:rsidRPr="008F136B">
        <w:rPr>
          <w:rFonts w:ascii="Times New Roman" w:hAnsi="Times New Roman"/>
          <w:sz w:val="24"/>
          <w:szCs w:val="26"/>
        </w:rPr>
        <w:t xml:space="preserve"> </w:t>
      </w:r>
      <w:r>
        <w:rPr>
          <w:rFonts w:ascii="Times New Roman" w:hAnsi="Times New Roman"/>
          <w:sz w:val="24"/>
          <w:szCs w:val="26"/>
        </w:rPr>
        <w:t xml:space="preserve">típico </w:t>
      </w:r>
      <w:r w:rsidRPr="008F136B">
        <w:rPr>
          <w:rFonts w:ascii="Times New Roman" w:hAnsi="Times New Roman"/>
          <w:sz w:val="24"/>
          <w:szCs w:val="26"/>
        </w:rPr>
        <w:t>controle por via principal, mediante ação direta, em fiscalização abstrata e concentrada no STF.</w:t>
      </w:r>
      <w:r>
        <w:rPr>
          <w:rFonts w:ascii="Times New Roman" w:hAnsi="Times New Roman"/>
          <w:sz w:val="24"/>
          <w:szCs w:val="26"/>
        </w:rPr>
        <w:t xml:space="preserve"> Com isso, passou a coexistir, em nosso ordenamento jurídico, tanto o controle difuso quanto o concentrado de constitucionalidade.</w:t>
      </w:r>
    </w:p>
    <w:p w:rsidR="00D549BC" w:rsidRDefault="00D549BC" w:rsidP="009B41CD">
      <w:pPr>
        <w:spacing w:after="240"/>
        <w:contextualSpacing/>
        <w:rPr>
          <w:rFonts w:ascii="Times New Roman" w:hAnsi="Times New Roman"/>
          <w:sz w:val="24"/>
        </w:rPr>
      </w:pPr>
      <w:r>
        <w:rPr>
          <w:rFonts w:ascii="Times New Roman" w:hAnsi="Times New Roman"/>
          <w:sz w:val="24"/>
        </w:rPr>
        <w:t>A Emenda nº 16 de 19</w:t>
      </w:r>
      <w:r w:rsidRPr="002E295E">
        <w:rPr>
          <w:rFonts w:ascii="Times New Roman" w:hAnsi="Times New Roman"/>
          <w:sz w:val="24"/>
        </w:rPr>
        <w:t>65 também conferiu aos Estados</w:t>
      </w:r>
      <w:r>
        <w:rPr>
          <w:rFonts w:ascii="Times New Roman" w:hAnsi="Times New Roman"/>
          <w:sz w:val="24"/>
        </w:rPr>
        <w:t>-membros</w:t>
      </w:r>
      <w:r w:rsidRPr="002E295E">
        <w:rPr>
          <w:rFonts w:ascii="Times New Roman" w:hAnsi="Times New Roman"/>
          <w:sz w:val="24"/>
        </w:rPr>
        <w:t xml:space="preserve"> a possibilidade de instituír</w:t>
      </w:r>
      <w:r>
        <w:rPr>
          <w:rFonts w:ascii="Times New Roman" w:hAnsi="Times New Roman"/>
          <w:sz w:val="24"/>
        </w:rPr>
        <w:t>em</w:t>
      </w:r>
      <w:r w:rsidRPr="002E295E">
        <w:rPr>
          <w:rFonts w:ascii="Times New Roman" w:hAnsi="Times New Roman"/>
          <w:sz w:val="24"/>
        </w:rPr>
        <w:t xml:space="preserve"> controle abstrato</w:t>
      </w:r>
      <w:r>
        <w:rPr>
          <w:rFonts w:ascii="Times New Roman" w:hAnsi="Times New Roman"/>
          <w:sz w:val="24"/>
        </w:rPr>
        <w:t xml:space="preserve"> </w:t>
      </w:r>
      <w:r w:rsidRPr="002E295E">
        <w:rPr>
          <w:rFonts w:ascii="Times New Roman" w:hAnsi="Times New Roman"/>
          <w:sz w:val="24"/>
        </w:rPr>
        <w:t>de normas municipais,</w:t>
      </w:r>
      <w:r>
        <w:rPr>
          <w:rFonts w:ascii="Times New Roman" w:hAnsi="Times New Roman"/>
          <w:sz w:val="24"/>
        </w:rPr>
        <w:t xml:space="preserve"> em face da Constituição Estadual,</w:t>
      </w:r>
      <w:r w:rsidRPr="002E295E">
        <w:rPr>
          <w:rFonts w:ascii="Times New Roman" w:hAnsi="Times New Roman"/>
          <w:sz w:val="24"/>
        </w:rPr>
        <w:t xml:space="preserve"> ao introduzir o inciso XIII no art</w:t>
      </w:r>
      <w:r>
        <w:rPr>
          <w:rFonts w:ascii="Times New Roman" w:hAnsi="Times New Roman"/>
          <w:sz w:val="24"/>
        </w:rPr>
        <w:t>igo</w:t>
      </w:r>
      <w:r w:rsidRPr="002E295E">
        <w:rPr>
          <w:rFonts w:ascii="Times New Roman" w:hAnsi="Times New Roman"/>
          <w:sz w:val="24"/>
        </w:rPr>
        <w:t xml:space="preserve"> 12</w:t>
      </w:r>
      <w:r>
        <w:rPr>
          <w:rFonts w:ascii="Times New Roman" w:hAnsi="Times New Roman"/>
          <w:sz w:val="24"/>
        </w:rPr>
        <w:t>4 da Constituição de 1946.</w:t>
      </w:r>
      <w:r>
        <w:rPr>
          <w:rStyle w:val="FootnoteReference"/>
          <w:rFonts w:ascii="Times New Roman" w:hAnsi="Times New Roman"/>
          <w:sz w:val="24"/>
        </w:rPr>
        <w:footnoteReference w:id="52"/>
      </w:r>
      <w:r>
        <w:rPr>
          <w:rFonts w:ascii="Times New Roman" w:hAnsi="Times New Roman"/>
          <w:sz w:val="24"/>
        </w:rPr>
        <w:t xml:space="preserve"> </w:t>
      </w:r>
    </w:p>
    <w:p w:rsidR="00D549BC" w:rsidRDefault="00D549BC" w:rsidP="0075264E">
      <w:pPr>
        <w:spacing w:after="240"/>
        <w:ind w:firstLine="851"/>
        <w:contextualSpacing/>
        <w:rPr>
          <w:rFonts w:ascii="Times New Roman" w:hAnsi="Times New Roman"/>
          <w:sz w:val="24"/>
        </w:rPr>
      </w:pPr>
    </w:p>
    <w:p w:rsidR="00D549BC" w:rsidRPr="00092BE4" w:rsidRDefault="00D549BC" w:rsidP="0075264E">
      <w:pPr>
        <w:spacing w:after="240"/>
        <w:ind w:firstLine="0"/>
        <w:contextualSpacing/>
        <w:rPr>
          <w:rFonts w:ascii="Times New Roman" w:hAnsi="Times New Roman"/>
          <w:sz w:val="24"/>
        </w:rPr>
      </w:pPr>
      <w:r w:rsidRPr="00092BE4">
        <w:rPr>
          <w:rFonts w:ascii="Times New Roman" w:hAnsi="Times New Roman"/>
          <w:sz w:val="24"/>
        </w:rPr>
        <w:t>2.5 A CONSTITUIÇÃO DE 1967 E A EMENDA CONSTITUCIONAL Nº 1, DE 17 DE OUTUBRO DE 1969</w:t>
      </w:r>
    </w:p>
    <w:p w:rsidR="00D549BC" w:rsidRDefault="00D549BC" w:rsidP="0075264E">
      <w:pPr>
        <w:spacing w:after="240"/>
        <w:ind w:firstLine="0"/>
        <w:contextualSpacing/>
        <w:rPr>
          <w:rFonts w:ascii="Times New Roman" w:hAnsi="Times New Roman"/>
          <w:sz w:val="24"/>
        </w:rPr>
      </w:pPr>
    </w:p>
    <w:p w:rsidR="00D549BC" w:rsidRDefault="00D549BC" w:rsidP="008A7D52">
      <w:pPr>
        <w:spacing w:after="240"/>
        <w:contextualSpacing/>
        <w:rPr>
          <w:rFonts w:ascii="Times New Roman" w:hAnsi="Times New Roman"/>
          <w:sz w:val="24"/>
        </w:rPr>
      </w:pPr>
      <w:r>
        <w:rPr>
          <w:rFonts w:ascii="Times New Roman" w:hAnsi="Times New Roman"/>
          <w:sz w:val="24"/>
        </w:rPr>
        <w:t>A</w:t>
      </w:r>
      <w:r w:rsidRPr="00FB7CCC">
        <w:rPr>
          <w:rFonts w:ascii="Times New Roman" w:hAnsi="Times New Roman"/>
          <w:sz w:val="24"/>
        </w:rPr>
        <w:t xml:space="preserve"> Constit</w:t>
      </w:r>
      <w:r>
        <w:rPr>
          <w:rFonts w:ascii="Times New Roman" w:hAnsi="Times New Roman"/>
          <w:sz w:val="24"/>
        </w:rPr>
        <w:t>uição de 1967 não trouxe maiores contribuições em matéria de controle de constitucionalidade,</w:t>
      </w:r>
      <w:r w:rsidRPr="00FB7CCC">
        <w:rPr>
          <w:rFonts w:ascii="Times New Roman" w:hAnsi="Times New Roman"/>
          <w:sz w:val="24"/>
        </w:rPr>
        <w:t xml:space="preserve"> assim como na vasta reforma empreendida </w:t>
      </w:r>
      <w:r>
        <w:rPr>
          <w:rFonts w:ascii="Times New Roman" w:hAnsi="Times New Roman"/>
          <w:sz w:val="24"/>
        </w:rPr>
        <w:t>com a Emenda Constitucional nº 1, de 17 de outubro de 19</w:t>
      </w:r>
      <w:r w:rsidRPr="00FB7CCC">
        <w:rPr>
          <w:rFonts w:ascii="Times New Roman" w:hAnsi="Times New Roman"/>
          <w:sz w:val="24"/>
        </w:rPr>
        <w:t xml:space="preserve">69, </w:t>
      </w:r>
      <w:r>
        <w:rPr>
          <w:rFonts w:ascii="Times New Roman" w:hAnsi="Times New Roman"/>
          <w:sz w:val="24"/>
        </w:rPr>
        <w:t>sendo</w:t>
      </w:r>
      <w:r w:rsidRPr="00FB7CCC">
        <w:rPr>
          <w:rFonts w:ascii="Times New Roman" w:hAnsi="Times New Roman"/>
          <w:sz w:val="24"/>
        </w:rPr>
        <w:t xml:space="preserve"> mantidos, com mínimas alterações redacionais, os dispositivos constitucionais encontrados na Constituição de 1946 com a alteração da</w:t>
      </w:r>
      <w:r>
        <w:rPr>
          <w:rFonts w:ascii="Times New Roman" w:hAnsi="Times New Roman"/>
          <w:sz w:val="24"/>
        </w:rPr>
        <w:t>da</w:t>
      </w:r>
      <w:r w:rsidRPr="00FB7CCC">
        <w:rPr>
          <w:rFonts w:ascii="Times New Roman" w:hAnsi="Times New Roman"/>
          <w:sz w:val="24"/>
        </w:rPr>
        <w:t xml:space="preserve"> </w:t>
      </w:r>
      <w:r>
        <w:rPr>
          <w:rFonts w:ascii="Times New Roman" w:hAnsi="Times New Roman"/>
          <w:sz w:val="24"/>
        </w:rPr>
        <w:t>pela EC nº 16 de 19</w:t>
      </w:r>
      <w:r w:rsidRPr="00FB7CCC">
        <w:rPr>
          <w:rFonts w:ascii="Times New Roman" w:hAnsi="Times New Roman"/>
          <w:sz w:val="24"/>
        </w:rPr>
        <w:t>65.</w:t>
      </w:r>
      <w:r>
        <w:rPr>
          <w:rFonts w:ascii="Times New Roman" w:hAnsi="Times New Roman"/>
          <w:sz w:val="24"/>
        </w:rPr>
        <w:t xml:space="preserve"> </w:t>
      </w:r>
    </w:p>
    <w:p w:rsidR="00D549BC" w:rsidRDefault="00D549BC" w:rsidP="008A7D52">
      <w:pPr>
        <w:spacing w:after="240"/>
        <w:contextualSpacing/>
        <w:rPr>
          <w:rFonts w:ascii="Times New Roman" w:hAnsi="Times New Roman"/>
          <w:sz w:val="24"/>
        </w:rPr>
      </w:pPr>
      <w:r>
        <w:rPr>
          <w:rFonts w:ascii="Times New Roman" w:hAnsi="Times New Roman"/>
          <w:sz w:val="24"/>
        </w:rPr>
        <w:t>Mantiveram-se incólumes os controles difuso</w:t>
      </w:r>
      <w:r>
        <w:rPr>
          <w:rStyle w:val="FootnoteReference"/>
          <w:rFonts w:ascii="Times New Roman" w:hAnsi="Times New Roman"/>
          <w:sz w:val="24"/>
        </w:rPr>
        <w:footnoteReference w:id="53"/>
      </w:r>
      <w:r>
        <w:rPr>
          <w:rFonts w:ascii="Times New Roman" w:hAnsi="Times New Roman"/>
          <w:sz w:val="24"/>
        </w:rPr>
        <w:t xml:space="preserve"> e abstrato</w:t>
      </w:r>
      <w:r>
        <w:rPr>
          <w:rStyle w:val="FootnoteReference"/>
          <w:rFonts w:ascii="Times New Roman" w:hAnsi="Times New Roman"/>
          <w:sz w:val="24"/>
        </w:rPr>
        <w:footnoteReference w:id="54"/>
      </w:r>
      <w:r>
        <w:rPr>
          <w:rFonts w:ascii="Times New Roman" w:hAnsi="Times New Roman"/>
          <w:sz w:val="24"/>
        </w:rPr>
        <w:t xml:space="preserve"> de constitucionalidade, no entanto, ampliou-se a Representação Interventiva, titularizada pelo Procurador Geral da República, a fim de garantir os princípios sensíveis elencados no art. 10, VII da CR/1967,</w:t>
      </w:r>
      <w:r>
        <w:rPr>
          <w:rStyle w:val="FootnoteReference"/>
          <w:rFonts w:ascii="Times New Roman" w:hAnsi="Times New Roman"/>
          <w:sz w:val="24"/>
        </w:rPr>
        <w:footnoteReference w:id="55"/>
      </w:r>
      <w:r>
        <w:rPr>
          <w:rFonts w:ascii="Times New Roman" w:hAnsi="Times New Roman"/>
          <w:sz w:val="24"/>
        </w:rPr>
        <w:t xml:space="preserve"> bem como o provimento da execução das leis federais.</w:t>
      </w:r>
      <w:r>
        <w:rPr>
          <w:rStyle w:val="FootnoteReference"/>
          <w:rFonts w:ascii="Times New Roman" w:hAnsi="Times New Roman"/>
          <w:sz w:val="24"/>
        </w:rPr>
        <w:footnoteReference w:id="56"/>
      </w:r>
      <w:r>
        <w:rPr>
          <w:rFonts w:ascii="Times New Roman" w:hAnsi="Times New Roman"/>
          <w:sz w:val="24"/>
        </w:rPr>
        <w:t xml:space="preserve"> Transferiu-se para o Presidente da República a competência para suspender o ato estadual declarado inconstitucional pelo STF na Representação Interventiva (lembremos que na Carta anterior tal competência era atribuída ao Congresso Nacional, cf. art. 13 da CR/46).</w:t>
      </w:r>
      <w:r>
        <w:rPr>
          <w:rStyle w:val="FootnoteReference"/>
          <w:rFonts w:ascii="Times New Roman" w:hAnsi="Times New Roman"/>
          <w:sz w:val="24"/>
        </w:rPr>
        <w:footnoteReference w:id="57"/>
      </w:r>
      <w:r>
        <w:rPr>
          <w:rFonts w:ascii="Times New Roman" w:hAnsi="Times New Roman"/>
          <w:sz w:val="24"/>
        </w:rPr>
        <w:t xml:space="preserve"> Ademais, a Carta de 1967, em sua redação originária, não acatou a novidade oriunda da Emenda Constitucional n. 16/65, no sentido de permitir ao legislador estadual estabelecer processo de competência originária dos Tribunais de Justiça para declararem a inconstitucionalidade das leis municipais que conflitassem com as constituições estaduais. </w:t>
      </w:r>
    </w:p>
    <w:p w:rsidR="00D549BC" w:rsidRDefault="00D549BC" w:rsidP="007245FB">
      <w:pPr>
        <w:spacing w:after="240"/>
        <w:contextualSpacing/>
        <w:rPr>
          <w:rFonts w:ascii="Times New Roman" w:hAnsi="Times New Roman"/>
          <w:sz w:val="24"/>
        </w:rPr>
      </w:pPr>
      <w:r>
        <w:rPr>
          <w:rFonts w:ascii="Times New Roman" w:hAnsi="Times New Roman"/>
          <w:sz w:val="24"/>
        </w:rPr>
        <w:t>Com o advento da EC n. 1, de 17 de outubro de 1969, que empreendeu amplíssima mudança formal na Carta de 1967 – que, para alguns doutrinadores constitucionais, seria uma Constituição autônoma e não apenas uma emenda –, tivemos o retorno do controle de constitucionalidade de lei municipal em face da constituição do Estado, todavia para fins de intervenção no Município.</w:t>
      </w:r>
      <w:r>
        <w:rPr>
          <w:rStyle w:val="FootnoteReference"/>
          <w:rFonts w:ascii="Times New Roman" w:hAnsi="Times New Roman"/>
          <w:sz w:val="24"/>
        </w:rPr>
        <w:footnoteReference w:id="58"/>
      </w:r>
      <w:r>
        <w:rPr>
          <w:rFonts w:ascii="Times New Roman" w:hAnsi="Times New Roman"/>
          <w:sz w:val="24"/>
        </w:rPr>
        <w:t xml:space="preserve"> Oportuno ressaltarmos que esse instituto se assimilava bastante à Representação Interventiva prevista na Carta de 1967 para fins de intervenção da União nos Estados-membros. Em verdade, tratava-se de uma autêntica representação interventiva, bem diferente daquela hipótese de controle de constitucionalidade em âmbito estadual assegurada pelo Texto Magno de 1946, com redação dada pela EC n. 16/65.</w:t>
      </w:r>
      <w:r>
        <w:rPr>
          <w:rStyle w:val="FootnoteReference"/>
          <w:rFonts w:ascii="Times New Roman" w:hAnsi="Times New Roman"/>
          <w:sz w:val="24"/>
        </w:rPr>
        <w:footnoteReference w:id="59"/>
      </w:r>
    </w:p>
    <w:p w:rsidR="00D549BC" w:rsidRDefault="00D549BC" w:rsidP="00431159">
      <w:pPr>
        <w:spacing w:after="240"/>
        <w:contextualSpacing/>
        <w:rPr>
          <w:rFonts w:ascii="Times New Roman" w:hAnsi="Times New Roman"/>
          <w:sz w:val="24"/>
        </w:rPr>
      </w:pPr>
      <w:r>
        <w:rPr>
          <w:rFonts w:ascii="Times New Roman" w:hAnsi="Times New Roman"/>
          <w:sz w:val="24"/>
        </w:rPr>
        <w:t>A Emenda Constitucional n. 1/69, no § único do artigo 119, preceituou que, nos casos de contradição a dispositivo constitucional, negativa de vigência de tratado ou lei federal e de divergência jurisprudencial quanto à lei federal, suas causas seriam indicadas pelo STF no seu Regimento Interno, que atenderia à sua natureza, espécie ou valor pecuniário.</w:t>
      </w:r>
      <w:r>
        <w:rPr>
          <w:rStyle w:val="FootnoteReference"/>
          <w:rFonts w:ascii="Times New Roman" w:hAnsi="Times New Roman"/>
          <w:sz w:val="24"/>
        </w:rPr>
        <w:footnoteReference w:id="60"/>
      </w:r>
      <w:r>
        <w:rPr>
          <w:rFonts w:ascii="Times New Roman" w:hAnsi="Times New Roman"/>
          <w:sz w:val="24"/>
        </w:rPr>
        <w:t xml:space="preserve"> Isso significa que a referida Emenda Constitucional dotou o STF de um poder discricionário até então inédito na história do Tribunal, uma vez que permitiu à Corte a criação, mediante Regimento Interno, de critérios de admissibilidade do Recurso Extraordinário. </w:t>
      </w:r>
    </w:p>
    <w:p w:rsidR="00D549BC" w:rsidRDefault="00D549BC" w:rsidP="0075264E">
      <w:pPr>
        <w:spacing w:after="240"/>
        <w:ind w:firstLine="851"/>
        <w:contextualSpacing/>
        <w:rPr>
          <w:rFonts w:ascii="Times New Roman" w:hAnsi="Times New Roman"/>
          <w:sz w:val="24"/>
        </w:rPr>
      </w:pPr>
    </w:p>
    <w:p w:rsidR="00D549BC" w:rsidRDefault="00D549BC" w:rsidP="0075264E">
      <w:pPr>
        <w:spacing w:after="240"/>
        <w:ind w:firstLine="0"/>
        <w:contextualSpacing/>
        <w:rPr>
          <w:rFonts w:ascii="Times New Roman" w:hAnsi="Times New Roman"/>
          <w:b/>
          <w:sz w:val="24"/>
          <w:szCs w:val="24"/>
        </w:rPr>
      </w:pPr>
      <w:r w:rsidRPr="000C56B0">
        <w:rPr>
          <w:rFonts w:ascii="Times New Roman" w:hAnsi="Times New Roman"/>
          <w:b/>
          <w:sz w:val="24"/>
        </w:rPr>
        <w:t>2</w:t>
      </w:r>
      <w:r w:rsidRPr="000C56B0">
        <w:rPr>
          <w:rFonts w:ascii="Times New Roman" w:hAnsi="Times New Roman"/>
          <w:b/>
          <w:sz w:val="24"/>
          <w:szCs w:val="24"/>
        </w:rPr>
        <w:t>.5.1 A Emenda Constitucional nº 7</w:t>
      </w:r>
      <w:r>
        <w:rPr>
          <w:rFonts w:ascii="Times New Roman" w:hAnsi="Times New Roman"/>
          <w:b/>
          <w:sz w:val="24"/>
          <w:szCs w:val="24"/>
        </w:rPr>
        <w:t>, de 13 de abril</w:t>
      </w:r>
      <w:r w:rsidRPr="000C56B0">
        <w:rPr>
          <w:rFonts w:ascii="Times New Roman" w:hAnsi="Times New Roman"/>
          <w:b/>
          <w:sz w:val="24"/>
          <w:szCs w:val="24"/>
        </w:rPr>
        <w:t xml:space="preserve"> de 1977</w:t>
      </w:r>
    </w:p>
    <w:p w:rsidR="00D549BC" w:rsidRDefault="00D549BC" w:rsidP="0075264E">
      <w:pPr>
        <w:spacing w:after="240"/>
        <w:ind w:firstLine="0"/>
        <w:contextualSpacing/>
        <w:rPr>
          <w:rFonts w:ascii="Times New Roman" w:hAnsi="Times New Roman"/>
          <w:b/>
          <w:sz w:val="24"/>
          <w:szCs w:val="24"/>
        </w:rPr>
      </w:pPr>
    </w:p>
    <w:p w:rsidR="00D549BC" w:rsidRDefault="00D549BC" w:rsidP="00854763">
      <w:pPr>
        <w:spacing w:after="240"/>
        <w:contextualSpacing/>
        <w:rPr>
          <w:rFonts w:ascii="Times New Roman" w:hAnsi="Times New Roman"/>
          <w:sz w:val="24"/>
        </w:rPr>
      </w:pPr>
      <w:r>
        <w:rPr>
          <w:rFonts w:ascii="Times New Roman" w:hAnsi="Times New Roman"/>
          <w:sz w:val="24"/>
        </w:rPr>
        <w:t xml:space="preserve">O Supremo Tribunal Federal ganhou mais discricionariedade ainda com o advento da Emenda Constitucional n. 7, de 13 de abril de 1977, que acrescentou um novo requisito de admissibilidade para o Recurso Extraordinário, dentre aqueles já anteriormente estabelecidos pela EC n. 1/69 (natureza, espécie e valor pecuniário da causa), qual seja, </w:t>
      </w:r>
      <w:r w:rsidRPr="001E7DE1">
        <w:rPr>
          <w:rFonts w:ascii="Times New Roman" w:hAnsi="Times New Roman"/>
          <w:i/>
          <w:sz w:val="24"/>
        </w:rPr>
        <w:t>relevância da questão federal</w:t>
      </w:r>
      <w:r>
        <w:rPr>
          <w:rFonts w:ascii="Times New Roman" w:hAnsi="Times New Roman"/>
          <w:i/>
          <w:sz w:val="24"/>
        </w:rPr>
        <w:t>.</w:t>
      </w:r>
      <w:r w:rsidRPr="00D175E0">
        <w:rPr>
          <w:rStyle w:val="FootnoteReference"/>
          <w:rFonts w:ascii="Times New Roman" w:hAnsi="Times New Roman"/>
          <w:sz w:val="24"/>
        </w:rPr>
        <w:footnoteReference w:id="61"/>
      </w:r>
      <w:r>
        <w:rPr>
          <w:rFonts w:ascii="Times New Roman" w:hAnsi="Times New Roman"/>
          <w:sz w:val="24"/>
        </w:rPr>
        <w:t xml:space="preserve"> Ademais, acrescentou o § 3º ao artigo 119 da Constituição de 1967/69, prevendo que </w:t>
      </w:r>
      <w:r w:rsidRPr="00963D53">
        <w:rPr>
          <w:rFonts w:ascii="Times New Roman" w:hAnsi="Times New Roman"/>
          <w:sz w:val="24"/>
        </w:rPr>
        <w:t xml:space="preserve">o processo e o julgamento dos feitos de competência </w:t>
      </w:r>
      <w:r w:rsidRPr="00D175E0">
        <w:rPr>
          <w:rFonts w:ascii="Times New Roman" w:hAnsi="Times New Roman"/>
          <w:i/>
          <w:sz w:val="24"/>
        </w:rPr>
        <w:t>originária</w:t>
      </w:r>
      <w:r w:rsidRPr="00963D53">
        <w:rPr>
          <w:rFonts w:ascii="Times New Roman" w:hAnsi="Times New Roman"/>
          <w:sz w:val="24"/>
        </w:rPr>
        <w:t xml:space="preserve"> ou </w:t>
      </w:r>
      <w:r w:rsidRPr="00D175E0">
        <w:rPr>
          <w:rFonts w:ascii="Times New Roman" w:hAnsi="Times New Roman"/>
          <w:i/>
          <w:sz w:val="24"/>
        </w:rPr>
        <w:t>recursal</w:t>
      </w:r>
      <w:r w:rsidRPr="00963D53">
        <w:rPr>
          <w:rFonts w:ascii="Times New Roman" w:hAnsi="Times New Roman"/>
          <w:sz w:val="24"/>
        </w:rPr>
        <w:t xml:space="preserve"> e da </w:t>
      </w:r>
      <w:r w:rsidRPr="00D175E0">
        <w:rPr>
          <w:rFonts w:ascii="Times New Roman" w:hAnsi="Times New Roman"/>
          <w:i/>
          <w:sz w:val="24"/>
        </w:rPr>
        <w:t>arguição de relevância</w:t>
      </w:r>
      <w:r w:rsidRPr="00963D53">
        <w:rPr>
          <w:rFonts w:ascii="Times New Roman" w:hAnsi="Times New Roman"/>
          <w:sz w:val="24"/>
        </w:rPr>
        <w:t xml:space="preserve"> da questão federal</w:t>
      </w:r>
      <w:r>
        <w:rPr>
          <w:rFonts w:ascii="Times New Roman" w:hAnsi="Times New Roman"/>
          <w:sz w:val="24"/>
        </w:rPr>
        <w:t xml:space="preserve"> seriam estabelecidos segundo o Regimento Interno da Corte.</w:t>
      </w:r>
      <w:r>
        <w:rPr>
          <w:rStyle w:val="FootnoteReference"/>
          <w:rFonts w:ascii="Times New Roman" w:hAnsi="Times New Roman"/>
          <w:sz w:val="24"/>
        </w:rPr>
        <w:footnoteReference w:id="62"/>
      </w:r>
    </w:p>
    <w:p w:rsidR="00D549BC" w:rsidRDefault="00D549BC" w:rsidP="00854763">
      <w:pPr>
        <w:spacing w:after="240"/>
        <w:contextualSpacing/>
        <w:rPr>
          <w:rFonts w:ascii="Times New Roman" w:hAnsi="Times New Roman"/>
          <w:sz w:val="24"/>
        </w:rPr>
      </w:pPr>
      <w:r>
        <w:rPr>
          <w:rFonts w:ascii="Times New Roman" w:hAnsi="Times New Roman"/>
          <w:sz w:val="24"/>
        </w:rPr>
        <w:t>A Emenda Constitucional n. 7/77 introduziu, ainda, ao lado da Representação de Inconstitucionalidade, a representação para fins de interpretação da lei ou ato normativo federal ou estadual, outorgando ao Procurador Geral da República a legitimidade para provocar o pronunciamento do STF.</w:t>
      </w:r>
      <w:r>
        <w:rPr>
          <w:rStyle w:val="FootnoteReference"/>
          <w:rFonts w:ascii="Times New Roman" w:hAnsi="Times New Roman"/>
          <w:sz w:val="24"/>
        </w:rPr>
        <w:footnoteReference w:id="63"/>
      </w:r>
      <w:r>
        <w:rPr>
          <w:rFonts w:ascii="Times New Roman" w:hAnsi="Times New Roman"/>
          <w:sz w:val="24"/>
        </w:rPr>
        <w:t xml:space="preserve"> </w:t>
      </w:r>
    </w:p>
    <w:p w:rsidR="00D549BC" w:rsidRDefault="00D549BC" w:rsidP="00854763">
      <w:pPr>
        <w:spacing w:after="240"/>
        <w:contextualSpacing/>
        <w:rPr>
          <w:rFonts w:ascii="Times New Roman" w:hAnsi="Times New Roman"/>
          <w:sz w:val="24"/>
        </w:rPr>
      </w:pPr>
      <w:r>
        <w:rPr>
          <w:rFonts w:ascii="Times New Roman" w:hAnsi="Times New Roman"/>
          <w:sz w:val="24"/>
        </w:rPr>
        <w:t>Finalmente, a EC n. 7, de 13 de abril de 1977, também reconheceu a competência do Supremo Tribunal Federal para julgar pedido de cautelar, formulado pelo Procurador Geral da República, em sede de controle abstrato de constitucionalidade,</w:t>
      </w:r>
      <w:r>
        <w:rPr>
          <w:rStyle w:val="FootnoteReference"/>
          <w:rFonts w:ascii="Times New Roman" w:hAnsi="Times New Roman"/>
          <w:sz w:val="24"/>
        </w:rPr>
        <w:footnoteReference w:id="64"/>
      </w:r>
      <w:r>
        <w:rPr>
          <w:rFonts w:ascii="Times New Roman" w:hAnsi="Times New Roman"/>
          <w:sz w:val="24"/>
        </w:rPr>
        <w:t xml:space="preserve"> pondo fim à controvérsia jurisprudencial acerca da possibilidade ou não de conceder liminar </w:t>
      </w:r>
      <w:r w:rsidRPr="006F148A">
        <w:rPr>
          <w:rFonts w:ascii="Times New Roman" w:hAnsi="Times New Roman"/>
          <w:sz w:val="24"/>
        </w:rPr>
        <w:t>no bojo de</w:t>
      </w:r>
      <w:r>
        <w:rPr>
          <w:rFonts w:ascii="Times New Roman" w:hAnsi="Times New Roman"/>
          <w:sz w:val="24"/>
        </w:rPr>
        <w:t xml:space="preserve"> Representação de Inconstitucionalidade.</w:t>
      </w:r>
      <w:r>
        <w:rPr>
          <w:rStyle w:val="FootnoteReference"/>
          <w:rFonts w:ascii="Times New Roman" w:hAnsi="Times New Roman"/>
          <w:sz w:val="24"/>
        </w:rPr>
        <w:footnoteReference w:id="65"/>
      </w:r>
    </w:p>
    <w:p w:rsidR="00D549BC" w:rsidRDefault="00D549BC" w:rsidP="0075264E">
      <w:pPr>
        <w:spacing w:after="240"/>
        <w:ind w:firstLine="851"/>
        <w:contextualSpacing/>
        <w:rPr>
          <w:rFonts w:ascii="Times New Roman" w:hAnsi="Times New Roman"/>
          <w:sz w:val="24"/>
        </w:rPr>
      </w:pPr>
    </w:p>
    <w:p w:rsidR="00D549BC" w:rsidRPr="006F148A" w:rsidRDefault="00D549BC" w:rsidP="0075264E">
      <w:pPr>
        <w:spacing w:after="240"/>
        <w:ind w:firstLine="0"/>
        <w:contextualSpacing/>
        <w:rPr>
          <w:rFonts w:ascii="Times New Roman" w:hAnsi="Times New Roman"/>
          <w:sz w:val="24"/>
        </w:rPr>
      </w:pPr>
      <w:r w:rsidRPr="006F148A">
        <w:rPr>
          <w:rFonts w:ascii="Times New Roman" w:hAnsi="Times New Roman"/>
          <w:sz w:val="24"/>
        </w:rPr>
        <w:t>2.6 BREVES CONCLUSÕES SOBRE O PERÍODO PRÉ-88</w:t>
      </w:r>
    </w:p>
    <w:p w:rsidR="00D549BC" w:rsidRPr="00304806" w:rsidRDefault="00D549BC" w:rsidP="0075264E">
      <w:pPr>
        <w:spacing w:after="240"/>
        <w:ind w:firstLine="851"/>
        <w:contextualSpacing/>
        <w:rPr>
          <w:rFonts w:ascii="Times New Roman" w:hAnsi="Times New Roman"/>
          <w:b/>
          <w:sz w:val="24"/>
        </w:rPr>
      </w:pPr>
    </w:p>
    <w:p w:rsidR="00D549BC" w:rsidRDefault="00D549BC" w:rsidP="007D1186">
      <w:pPr>
        <w:spacing w:after="240"/>
        <w:contextualSpacing/>
        <w:rPr>
          <w:rFonts w:ascii="Times New Roman" w:hAnsi="Times New Roman"/>
          <w:sz w:val="24"/>
        </w:rPr>
      </w:pPr>
      <w:r>
        <w:rPr>
          <w:rFonts w:ascii="Times New Roman" w:hAnsi="Times New Roman"/>
          <w:sz w:val="24"/>
        </w:rPr>
        <w:t xml:space="preserve">Durante o período histórico acima destacado (1891-1988), não é possível falarmos em uma autêntica Supremacia Judicial, mormente do Supremo Tribunal Federal, pois as Constituições eram frequentemente descumpridas pelos outros Poderes – diga-se Executivo e Legislativo –, apesar de garantirem o controle de constitucionalidade das leis (ao Judiciário) por mecanismos como o Recurso Extraordinário, a Representação Interventiva, a Ação Genérica de Inconstitucionalidade e a Representação de Inconstitucionalidade. </w:t>
      </w:r>
    </w:p>
    <w:p w:rsidR="00D549BC" w:rsidRDefault="00D549BC" w:rsidP="007D1186">
      <w:pPr>
        <w:spacing w:after="240"/>
        <w:contextualSpacing/>
        <w:rPr>
          <w:rFonts w:ascii="Times New Roman" w:hAnsi="Times New Roman"/>
          <w:sz w:val="24"/>
        </w:rPr>
      </w:pPr>
      <w:r>
        <w:rPr>
          <w:rFonts w:ascii="Times New Roman" w:hAnsi="Times New Roman"/>
          <w:sz w:val="24"/>
        </w:rPr>
        <w:t>Assim, as decisões judiciais tinham um conteúdo mais formal e técnico (menos efetivo), pois buscavam evitar conflitos com os demais Poderes a fim de não sofrer eventuais ataques institucionais em represália a decisões mais progressistas. Isso decorreria de uma suposta fragilidade das instituições judiciais frente à hipertrofia do Executivo, principalmente nos períodos de autoritarismo político (1930 a 1945 e 1964 a 1985).</w:t>
      </w:r>
      <w:r>
        <w:rPr>
          <w:rStyle w:val="FootnoteReference"/>
          <w:rFonts w:ascii="Times New Roman" w:hAnsi="Times New Roman"/>
          <w:sz w:val="24"/>
        </w:rPr>
        <w:footnoteReference w:id="66"/>
      </w:r>
      <w:r>
        <w:rPr>
          <w:rFonts w:ascii="Times New Roman" w:hAnsi="Times New Roman"/>
          <w:sz w:val="24"/>
        </w:rPr>
        <w:t xml:space="preserve"> </w:t>
      </w:r>
    </w:p>
    <w:p w:rsidR="00D549BC" w:rsidRDefault="00D549BC" w:rsidP="00DA7E5A">
      <w:pPr>
        <w:spacing w:after="240"/>
        <w:contextualSpacing/>
        <w:rPr>
          <w:rFonts w:ascii="Times New Roman" w:hAnsi="Times New Roman"/>
          <w:sz w:val="24"/>
        </w:rPr>
      </w:pPr>
      <w:r>
        <w:rPr>
          <w:rFonts w:ascii="Times New Roman" w:hAnsi="Times New Roman"/>
          <w:sz w:val="24"/>
        </w:rPr>
        <w:t>Fica</w:t>
      </w:r>
      <w:r w:rsidRPr="00AC283F">
        <w:rPr>
          <w:rFonts w:ascii="Times New Roman" w:hAnsi="Times New Roman"/>
          <w:sz w:val="24"/>
        </w:rPr>
        <w:t xml:space="preserve"> evidente</w:t>
      </w:r>
      <w:r>
        <w:rPr>
          <w:rFonts w:ascii="Times New Roman" w:hAnsi="Times New Roman"/>
          <w:sz w:val="24"/>
        </w:rPr>
        <w:t>, portanto,</w:t>
      </w:r>
      <w:r w:rsidRPr="00AC283F">
        <w:rPr>
          <w:rFonts w:ascii="Times New Roman" w:hAnsi="Times New Roman"/>
          <w:sz w:val="24"/>
        </w:rPr>
        <w:t xml:space="preserve"> que antes de 1988 tínhamos uma Corte</w:t>
      </w:r>
      <w:r>
        <w:rPr>
          <w:rFonts w:ascii="Times New Roman" w:hAnsi="Times New Roman"/>
          <w:sz w:val="24"/>
        </w:rPr>
        <w:t xml:space="preserve"> mais</w:t>
      </w:r>
      <w:r w:rsidRPr="00AC283F">
        <w:rPr>
          <w:rFonts w:ascii="Times New Roman" w:hAnsi="Times New Roman"/>
          <w:sz w:val="24"/>
        </w:rPr>
        <w:t xml:space="preserve"> conservadora, que pouco avançou no campo político</w:t>
      </w:r>
      <w:r>
        <w:rPr>
          <w:rFonts w:ascii="Times New Roman" w:hAnsi="Times New Roman"/>
          <w:sz w:val="24"/>
        </w:rPr>
        <w:t xml:space="preserve"> e na defesa dos Direitos Fundamentais</w:t>
      </w:r>
      <w:r w:rsidRPr="00AC283F">
        <w:rPr>
          <w:rFonts w:ascii="Times New Roman" w:hAnsi="Times New Roman"/>
          <w:sz w:val="24"/>
        </w:rPr>
        <w:t>, com decisões tímidas e meramente formais. Conforme observado por RODRIGO BRANDÃO, antes de 1988</w:t>
      </w:r>
      <w:r>
        <w:rPr>
          <w:rFonts w:ascii="Times New Roman" w:hAnsi="Times New Roman"/>
          <w:sz w:val="24"/>
        </w:rPr>
        <w:t>,</w:t>
      </w:r>
      <w:r w:rsidRPr="00AC283F">
        <w:rPr>
          <w:rFonts w:ascii="Times New Roman" w:hAnsi="Times New Roman"/>
          <w:sz w:val="24"/>
        </w:rPr>
        <w:t xml:space="preserve"> não é possível falar-se em expansão significativa do papel político do Judiciário</w:t>
      </w:r>
      <w:r>
        <w:rPr>
          <w:rFonts w:ascii="Times New Roman" w:hAnsi="Times New Roman"/>
          <w:sz w:val="24"/>
        </w:rPr>
        <w:t>.</w:t>
      </w:r>
    </w:p>
    <w:p w:rsidR="00D549BC" w:rsidRDefault="00D549BC" w:rsidP="00DA7E5A">
      <w:pPr>
        <w:spacing w:after="240"/>
        <w:contextualSpacing/>
        <w:rPr>
          <w:rFonts w:ascii="Times New Roman" w:hAnsi="Times New Roman"/>
          <w:sz w:val="24"/>
        </w:rPr>
      </w:pPr>
      <w:r>
        <w:rPr>
          <w:rFonts w:ascii="Times New Roman" w:hAnsi="Times New Roman"/>
          <w:sz w:val="24"/>
        </w:rPr>
        <w:t>Felizmente, essa suposta tendência de subserviência aos poderes constituídos parece ter sofrido radical mudança com o advento da Constituição da República de 1988, a qual foi o principal marco jurídico do processo de redemocratização do país após o longo período ditatorial.</w:t>
      </w:r>
      <w:r>
        <w:rPr>
          <w:rStyle w:val="FootnoteReference"/>
          <w:rFonts w:ascii="Times New Roman" w:hAnsi="Times New Roman"/>
          <w:sz w:val="24"/>
        </w:rPr>
        <w:footnoteReference w:id="67"/>
      </w:r>
      <w:r>
        <w:rPr>
          <w:rFonts w:ascii="Times New Roman" w:hAnsi="Times New Roman"/>
          <w:sz w:val="24"/>
          <w:vertAlign w:val="superscript"/>
        </w:rPr>
        <w:t>-</w:t>
      </w:r>
      <w:r>
        <w:rPr>
          <w:rStyle w:val="FootnoteReference"/>
          <w:rFonts w:ascii="Times New Roman" w:hAnsi="Times New Roman"/>
          <w:sz w:val="24"/>
        </w:rPr>
        <w:footnoteReference w:id="68"/>
      </w:r>
      <w:r>
        <w:rPr>
          <w:rFonts w:ascii="Times New Roman" w:hAnsi="Times New Roman"/>
          <w:sz w:val="24"/>
        </w:rPr>
        <w:t xml:space="preserve">       </w:t>
      </w:r>
    </w:p>
    <w:p w:rsidR="00D549BC" w:rsidRDefault="00D549BC" w:rsidP="0075264E">
      <w:pPr>
        <w:spacing w:after="240"/>
        <w:ind w:firstLine="0"/>
        <w:contextualSpacing/>
        <w:rPr>
          <w:rFonts w:ascii="Times New Roman" w:hAnsi="Times New Roman"/>
          <w:b/>
          <w:sz w:val="24"/>
        </w:rPr>
      </w:pPr>
    </w:p>
    <w:p w:rsidR="00D549BC" w:rsidRPr="006F148A" w:rsidRDefault="00D549BC" w:rsidP="0075264E">
      <w:pPr>
        <w:spacing w:after="240"/>
        <w:ind w:firstLine="0"/>
        <w:contextualSpacing/>
        <w:rPr>
          <w:rFonts w:ascii="Times New Roman" w:hAnsi="Times New Roman"/>
          <w:sz w:val="24"/>
        </w:rPr>
      </w:pPr>
      <w:r w:rsidRPr="006F148A">
        <w:rPr>
          <w:rFonts w:ascii="Times New Roman" w:hAnsi="Times New Roman"/>
          <w:sz w:val="24"/>
        </w:rPr>
        <w:t xml:space="preserve">2.7 A CONSTITUIÇÃO DA REPÚBLICA DE 1988 E A EMENDA CONSTITUCIONAL Nº 45/2004 </w:t>
      </w:r>
    </w:p>
    <w:p w:rsidR="00D549BC" w:rsidRDefault="00D549BC" w:rsidP="0075264E">
      <w:pPr>
        <w:spacing w:after="240"/>
        <w:ind w:firstLine="851"/>
        <w:contextualSpacing/>
        <w:rPr>
          <w:rFonts w:ascii="Times New Roman" w:hAnsi="Times New Roman"/>
          <w:b/>
          <w:sz w:val="24"/>
        </w:rPr>
      </w:pPr>
    </w:p>
    <w:p w:rsidR="00D549BC" w:rsidRDefault="00D549BC" w:rsidP="009A12B8">
      <w:pPr>
        <w:spacing w:after="240"/>
        <w:contextualSpacing/>
        <w:rPr>
          <w:rFonts w:ascii="Times New Roman" w:hAnsi="Times New Roman"/>
          <w:sz w:val="24"/>
        </w:rPr>
      </w:pPr>
      <w:r>
        <w:rPr>
          <w:rFonts w:ascii="Times New Roman" w:hAnsi="Times New Roman"/>
          <w:sz w:val="24"/>
        </w:rPr>
        <w:t>A Constituição da República Federativa do Brasil de 1988 inaugura um novo período na história constitucional após duas décadas de ditadura civil-militar (1964-85) transformando, consideravelmente, a sistemática de controle da constitucionalidade, bem como todo o ordenamento jurídico pátrio. Assim, pode-se afirmar que a Carta Política de 1988 ampliou significativamente os mecanismos de proteção judicial (denominados doutrinariamente de “remédios constitucionais”), reforçou o modelo de controle da constitucionalidade das leis, bem como assegurou ao Poder Judiciário prerrogativas institucionais até então não reconhecidas pelas Cartas anteriores.</w:t>
      </w:r>
    </w:p>
    <w:p w:rsidR="00D549BC" w:rsidRDefault="00D549BC" w:rsidP="009A12B8">
      <w:pPr>
        <w:spacing w:after="240"/>
        <w:contextualSpacing/>
        <w:rPr>
          <w:rFonts w:ascii="Times New Roman" w:hAnsi="Times New Roman"/>
          <w:sz w:val="24"/>
        </w:rPr>
      </w:pPr>
      <w:r>
        <w:rPr>
          <w:rFonts w:ascii="Times New Roman" w:hAnsi="Times New Roman"/>
          <w:sz w:val="24"/>
        </w:rPr>
        <w:t xml:space="preserve">No que diz respeito ao controle de constitucionalidade das leis, a partir de 1988, houve forte reformulação, pelo constituinte originário, do controle concentrado. Tal afirmação decorre do fato de se ter ampliado significativamente o rol de legitimados ativos para propositura das ações decorrentes dessa espécie – </w:t>
      </w:r>
      <w:r w:rsidRPr="00F72E57">
        <w:rPr>
          <w:rFonts w:ascii="Times New Roman" w:hAnsi="Times New Roman"/>
          <w:i/>
          <w:sz w:val="24"/>
        </w:rPr>
        <w:t>a priori</w:t>
      </w:r>
      <w:r>
        <w:rPr>
          <w:rFonts w:ascii="Times New Roman" w:hAnsi="Times New Roman"/>
          <w:sz w:val="24"/>
        </w:rPr>
        <w:t xml:space="preserve"> admitidas apenas a Ação Direta de Inconstitucionalidade por ação ou omissão e a Arguição de Descumprimento de Preceito Fundamental.</w:t>
      </w:r>
    </w:p>
    <w:p w:rsidR="00D549BC" w:rsidRDefault="00D549BC" w:rsidP="00D93C93">
      <w:pPr>
        <w:spacing w:after="240"/>
        <w:contextualSpacing/>
        <w:rPr>
          <w:rFonts w:ascii="Times New Roman" w:hAnsi="Times New Roman"/>
          <w:sz w:val="24"/>
        </w:rPr>
      </w:pPr>
      <w:r>
        <w:rPr>
          <w:rFonts w:ascii="Times New Roman" w:hAnsi="Times New Roman"/>
          <w:sz w:val="24"/>
        </w:rPr>
        <w:t>Na redação original  do artigo 103 da Constituição da República, tínhamos os seguintes legitimados ativos: (i)</w:t>
      </w:r>
      <w:r w:rsidRPr="00DB7950">
        <w:rPr>
          <w:rFonts w:ascii="Times New Roman" w:hAnsi="Times New Roman"/>
          <w:sz w:val="24"/>
        </w:rPr>
        <w:t xml:space="preserve"> o Presidente da República;</w:t>
      </w:r>
      <w:r>
        <w:rPr>
          <w:rFonts w:ascii="Times New Roman" w:hAnsi="Times New Roman"/>
          <w:sz w:val="24"/>
        </w:rPr>
        <w:t xml:space="preserve"> (ii)</w:t>
      </w:r>
      <w:r w:rsidRPr="00DB7950">
        <w:rPr>
          <w:rFonts w:ascii="Times New Roman" w:hAnsi="Times New Roman"/>
          <w:sz w:val="24"/>
        </w:rPr>
        <w:t xml:space="preserve"> a Mesa do Senado Federal;</w:t>
      </w:r>
      <w:r>
        <w:rPr>
          <w:rFonts w:ascii="Times New Roman" w:hAnsi="Times New Roman"/>
          <w:sz w:val="24"/>
        </w:rPr>
        <w:t xml:space="preserve"> (iii)</w:t>
      </w:r>
      <w:r w:rsidRPr="00DB7950">
        <w:rPr>
          <w:rFonts w:ascii="Times New Roman" w:hAnsi="Times New Roman"/>
          <w:sz w:val="24"/>
        </w:rPr>
        <w:t xml:space="preserve"> a Mesa da Câmara dos Deputados;</w:t>
      </w:r>
      <w:r>
        <w:rPr>
          <w:rFonts w:ascii="Times New Roman" w:hAnsi="Times New Roman"/>
          <w:sz w:val="24"/>
        </w:rPr>
        <w:t xml:space="preserve"> (iv)</w:t>
      </w:r>
      <w:r w:rsidRPr="00DB7950">
        <w:rPr>
          <w:rFonts w:ascii="Times New Roman" w:hAnsi="Times New Roman"/>
          <w:sz w:val="24"/>
        </w:rPr>
        <w:t xml:space="preserve"> a Mesa de Assembleia Legislativa;</w:t>
      </w:r>
      <w:r>
        <w:rPr>
          <w:rFonts w:ascii="Times New Roman" w:hAnsi="Times New Roman"/>
          <w:sz w:val="24"/>
        </w:rPr>
        <w:t xml:space="preserve"> (v) o Governador de Estado;</w:t>
      </w:r>
      <w:r w:rsidRPr="00DB7950">
        <w:rPr>
          <w:rFonts w:ascii="Times New Roman" w:hAnsi="Times New Roman"/>
          <w:sz w:val="24"/>
        </w:rPr>
        <w:t xml:space="preserve"> </w:t>
      </w:r>
      <w:r>
        <w:rPr>
          <w:rFonts w:ascii="Times New Roman" w:hAnsi="Times New Roman"/>
          <w:sz w:val="24"/>
        </w:rPr>
        <w:t xml:space="preserve">(vi) </w:t>
      </w:r>
      <w:r w:rsidRPr="00DB7950">
        <w:rPr>
          <w:rFonts w:ascii="Times New Roman" w:hAnsi="Times New Roman"/>
          <w:sz w:val="24"/>
        </w:rPr>
        <w:t>o Procurador-Geral da República;</w:t>
      </w:r>
      <w:r>
        <w:rPr>
          <w:rFonts w:ascii="Times New Roman" w:hAnsi="Times New Roman"/>
          <w:sz w:val="24"/>
        </w:rPr>
        <w:t xml:space="preserve"> (vii)</w:t>
      </w:r>
      <w:r w:rsidRPr="00DB7950">
        <w:rPr>
          <w:rFonts w:ascii="Times New Roman" w:hAnsi="Times New Roman"/>
          <w:sz w:val="24"/>
        </w:rPr>
        <w:t xml:space="preserve"> o Conselho Federal da Ordem dos Advogados do Brasil;</w:t>
      </w:r>
      <w:r>
        <w:rPr>
          <w:rFonts w:ascii="Times New Roman" w:hAnsi="Times New Roman"/>
          <w:sz w:val="24"/>
        </w:rPr>
        <w:t xml:space="preserve"> (viii) </w:t>
      </w:r>
      <w:r w:rsidRPr="00DB7950">
        <w:rPr>
          <w:rFonts w:ascii="Times New Roman" w:hAnsi="Times New Roman"/>
          <w:sz w:val="24"/>
        </w:rPr>
        <w:t>partido político com repre</w:t>
      </w:r>
      <w:r>
        <w:rPr>
          <w:rFonts w:ascii="Times New Roman" w:hAnsi="Times New Roman"/>
          <w:sz w:val="24"/>
        </w:rPr>
        <w:t>sentação no Congresso Nacional; e, finalmente, (ix)</w:t>
      </w:r>
      <w:r w:rsidRPr="00DB7950">
        <w:rPr>
          <w:rFonts w:ascii="Times New Roman" w:hAnsi="Times New Roman"/>
          <w:sz w:val="24"/>
        </w:rPr>
        <w:t xml:space="preserve"> confederação sindical ou entidade de classe de âmbito nacional</w:t>
      </w:r>
      <w:r>
        <w:rPr>
          <w:rFonts w:ascii="Times New Roman" w:hAnsi="Times New Roman"/>
          <w:sz w:val="24"/>
        </w:rPr>
        <w:t>.</w:t>
      </w:r>
      <w:r>
        <w:rPr>
          <w:rStyle w:val="FootnoteReference"/>
          <w:rFonts w:ascii="Times New Roman" w:hAnsi="Times New Roman"/>
          <w:sz w:val="24"/>
        </w:rPr>
        <w:footnoteReference w:id="69"/>
      </w:r>
    </w:p>
    <w:p w:rsidR="00D549BC" w:rsidRDefault="00D549BC" w:rsidP="00D05175">
      <w:pPr>
        <w:spacing w:after="240"/>
        <w:contextualSpacing/>
        <w:rPr>
          <w:rFonts w:ascii="Times New Roman" w:hAnsi="Times New Roman"/>
          <w:sz w:val="24"/>
        </w:rPr>
      </w:pPr>
      <w:r>
        <w:rPr>
          <w:rFonts w:ascii="Times New Roman" w:hAnsi="Times New Roman"/>
          <w:sz w:val="24"/>
        </w:rPr>
        <w:t xml:space="preserve">Quanto aos mecanismos para provocar o Supremo Tribunal Federal no controle abstrato, a Constituição Cidadã, inicialmente, previu no artigo 102, I, </w:t>
      </w:r>
      <w:r w:rsidRPr="00F72E57">
        <w:rPr>
          <w:rFonts w:ascii="Times New Roman" w:hAnsi="Times New Roman"/>
          <w:i/>
          <w:sz w:val="24"/>
        </w:rPr>
        <w:t>a</w:t>
      </w:r>
      <w:r>
        <w:rPr>
          <w:rFonts w:ascii="Times New Roman" w:hAnsi="Times New Roman"/>
          <w:sz w:val="24"/>
        </w:rPr>
        <w:t>, a Ação Direta de Inconstitucionalidade tanto por ação quanto por omissão,</w:t>
      </w:r>
      <w:r>
        <w:rPr>
          <w:rStyle w:val="FootnoteReference"/>
          <w:rFonts w:ascii="Times New Roman" w:hAnsi="Times New Roman"/>
          <w:sz w:val="24"/>
        </w:rPr>
        <w:footnoteReference w:id="70"/>
      </w:r>
      <w:r>
        <w:rPr>
          <w:rFonts w:ascii="Times New Roman" w:hAnsi="Times New Roman"/>
          <w:sz w:val="24"/>
        </w:rPr>
        <w:t xml:space="preserve"> e, no parágrafo único do mesmo dispositivo, a Arguição de Descumprimento de Preceito Fundamental.</w:t>
      </w:r>
      <w:r>
        <w:rPr>
          <w:rStyle w:val="FootnoteReference"/>
          <w:rFonts w:ascii="Times New Roman" w:hAnsi="Times New Roman"/>
          <w:sz w:val="24"/>
        </w:rPr>
        <w:footnoteReference w:id="71"/>
      </w:r>
      <w:r>
        <w:rPr>
          <w:rFonts w:ascii="Times New Roman" w:hAnsi="Times New Roman"/>
          <w:sz w:val="24"/>
        </w:rPr>
        <w:t xml:space="preserve"> </w:t>
      </w:r>
    </w:p>
    <w:p w:rsidR="00D549BC" w:rsidRDefault="00D549BC" w:rsidP="00D05175">
      <w:pPr>
        <w:spacing w:after="240"/>
        <w:contextualSpacing/>
        <w:rPr>
          <w:rFonts w:ascii="Times New Roman" w:hAnsi="Times New Roman"/>
          <w:sz w:val="24"/>
        </w:rPr>
      </w:pPr>
      <w:r>
        <w:rPr>
          <w:rFonts w:ascii="Times New Roman" w:hAnsi="Times New Roman"/>
          <w:sz w:val="24"/>
        </w:rPr>
        <w:t xml:space="preserve"> Posteriormente, a Emenda Constitucional nº 3, de 17 de março de 1993, empreendeu algumas mudanças no âmbito do controle concentrado, destacando-se a criação de um novo instrumento de controle, qual seja, a Ação Declaratória de Constitucionalidade (ADC), que passou a ser prevista no artigo 101, I, </w:t>
      </w:r>
      <w:r w:rsidRPr="009677A6">
        <w:rPr>
          <w:rFonts w:ascii="Times New Roman" w:hAnsi="Times New Roman"/>
          <w:i/>
          <w:sz w:val="24"/>
        </w:rPr>
        <w:t>a</w:t>
      </w:r>
      <w:r>
        <w:rPr>
          <w:rFonts w:ascii="Times New Roman" w:hAnsi="Times New Roman"/>
          <w:sz w:val="24"/>
        </w:rPr>
        <w:t xml:space="preserve"> da Constituição</w:t>
      </w:r>
      <w:r>
        <w:rPr>
          <w:rStyle w:val="FootnoteReference"/>
          <w:rFonts w:ascii="Times New Roman" w:hAnsi="Times New Roman"/>
          <w:sz w:val="24"/>
        </w:rPr>
        <w:footnoteReference w:id="72"/>
      </w:r>
      <w:r>
        <w:rPr>
          <w:rFonts w:ascii="Times New Roman" w:hAnsi="Times New Roman"/>
          <w:sz w:val="24"/>
        </w:rPr>
        <w:t>. Ademais, restringiu a propositura da ADC, estabelecendo, no artigo 103, § 4º, legitimidade ativa tão somente ao Presidente da República, à Mesa do Senado Federal, à Mesa da Câmara dos Deputados e ao Procurador Geral da República.</w:t>
      </w:r>
      <w:r>
        <w:rPr>
          <w:rStyle w:val="FootnoteReference"/>
          <w:rFonts w:ascii="Times New Roman" w:hAnsi="Times New Roman"/>
          <w:sz w:val="24"/>
        </w:rPr>
        <w:footnoteReference w:id="73"/>
      </w:r>
      <w:r>
        <w:rPr>
          <w:rFonts w:ascii="Times New Roman" w:hAnsi="Times New Roman"/>
          <w:sz w:val="24"/>
        </w:rPr>
        <w:t xml:space="preserve"> </w:t>
      </w:r>
    </w:p>
    <w:p w:rsidR="00D549BC" w:rsidRDefault="00D549BC" w:rsidP="00E61EDD">
      <w:pPr>
        <w:spacing w:after="240"/>
        <w:contextualSpacing/>
        <w:rPr>
          <w:rFonts w:ascii="Times New Roman" w:hAnsi="Times New Roman"/>
          <w:sz w:val="24"/>
        </w:rPr>
      </w:pPr>
      <w:r>
        <w:rPr>
          <w:rFonts w:ascii="Times New Roman" w:hAnsi="Times New Roman"/>
          <w:sz w:val="24"/>
        </w:rPr>
        <w:t>O controle incidental difuso, no âmbito do STF, continuou previsto de forma expressa pela nova Constituição por meio do Recurso Extraordinário e não sofreu nenhuma grande inovação quando comparado com o texto constitucional anterior.</w:t>
      </w:r>
      <w:r>
        <w:rPr>
          <w:rStyle w:val="FootnoteReference"/>
          <w:rFonts w:ascii="Times New Roman" w:hAnsi="Times New Roman"/>
          <w:sz w:val="24"/>
        </w:rPr>
        <w:footnoteReference w:id="74"/>
      </w:r>
      <w:r>
        <w:rPr>
          <w:rFonts w:ascii="Times New Roman" w:hAnsi="Times New Roman"/>
          <w:sz w:val="24"/>
        </w:rPr>
        <w:t xml:space="preserve"> Na verdade, a principal diferença a ser apontada é que, na Carta de 1967-69, o Supremo Tribunal Federal estava autorizado a estabelecer, por meio de seu Regimento Interno, requisitos suplementares de cabimento do Recurso Extraordinário.</w:t>
      </w:r>
      <w:r>
        <w:rPr>
          <w:rStyle w:val="FootnoteReference"/>
          <w:rFonts w:ascii="Times New Roman" w:hAnsi="Times New Roman"/>
          <w:sz w:val="24"/>
        </w:rPr>
        <w:footnoteReference w:id="75"/>
      </w:r>
      <w:r>
        <w:rPr>
          <w:rFonts w:ascii="Times New Roman" w:hAnsi="Times New Roman"/>
          <w:sz w:val="24"/>
        </w:rPr>
        <w:t xml:space="preserve"> Tal prerrogativa caracterizava-se como uma típica “carta branca” para que a Corte Suprema pudesse selecionar/restringir os Recursos Extraordinários que julgaria</w:t>
      </w:r>
      <w:r>
        <w:rPr>
          <w:rStyle w:val="FootnoteReference"/>
          <w:rFonts w:ascii="Times New Roman" w:hAnsi="Times New Roman"/>
          <w:sz w:val="24"/>
        </w:rPr>
        <w:footnoteReference w:id="76"/>
      </w:r>
      <w:r>
        <w:rPr>
          <w:rFonts w:ascii="Times New Roman" w:hAnsi="Times New Roman"/>
          <w:sz w:val="24"/>
        </w:rPr>
        <w:t xml:space="preserve"> (conforme veremos mais adiante). </w:t>
      </w:r>
    </w:p>
    <w:p w:rsidR="00D549BC" w:rsidRDefault="00D549BC" w:rsidP="00D12C33">
      <w:pPr>
        <w:spacing w:after="240"/>
        <w:contextualSpacing/>
        <w:rPr>
          <w:rFonts w:ascii="Times New Roman" w:hAnsi="Times New Roman"/>
          <w:sz w:val="24"/>
        </w:rPr>
      </w:pPr>
      <w:r>
        <w:rPr>
          <w:rFonts w:ascii="Times New Roman" w:hAnsi="Times New Roman"/>
          <w:sz w:val="24"/>
        </w:rPr>
        <w:t xml:space="preserve">O artigo 102, inciso III da Constituição de 1988, em sua redação originária, assim dispunha sobre o cabimento do Recurso Extraordinário, </w:t>
      </w:r>
      <w:r w:rsidRPr="00D80139">
        <w:rPr>
          <w:rFonts w:ascii="Times New Roman" w:hAnsi="Times New Roman"/>
          <w:i/>
          <w:sz w:val="24"/>
        </w:rPr>
        <w:t>verbis</w:t>
      </w:r>
      <w:r>
        <w:rPr>
          <w:rFonts w:ascii="Times New Roman" w:hAnsi="Times New Roman"/>
          <w:sz w:val="24"/>
        </w:rPr>
        <w:t>:</w:t>
      </w:r>
    </w:p>
    <w:p w:rsidR="00D549BC" w:rsidRDefault="00D549BC" w:rsidP="005D48C8">
      <w:pPr>
        <w:spacing w:after="240" w:line="240" w:lineRule="auto"/>
        <w:ind w:left="2268" w:firstLine="0"/>
        <w:contextualSpacing/>
        <w:rPr>
          <w:rFonts w:ascii="Times New Roman" w:hAnsi="Times New Roman"/>
        </w:rPr>
      </w:pPr>
      <w:r w:rsidRPr="005D48C8">
        <w:rPr>
          <w:rFonts w:ascii="Times New Roman" w:hAnsi="Times New Roman"/>
        </w:rPr>
        <w:t>Art. 102. Compete ao Supremo Tribunal Federal, precipuamente, a guarda da Constituição, cabendo-lhe:</w:t>
      </w:r>
    </w:p>
    <w:p w:rsidR="00D549BC" w:rsidRPr="005D48C8" w:rsidRDefault="00D549BC" w:rsidP="005D48C8">
      <w:pPr>
        <w:spacing w:after="240" w:line="240" w:lineRule="auto"/>
        <w:ind w:left="2268" w:firstLine="0"/>
        <w:contextualSpacing/>
        <w:rPr>
          <w:rFonts w:ascii="Times New Roman" w:hAnsi="Times New Roman"/>
        </w:rPr>
      </w:pPr>
      <w:r>
        <w:rPr>
          <w:rFonts w:ascii="Times New Roman" w:hAnsi="Times New Roman"/>
        </w:rPr>
        <w:t>(...)</w:t>
      </w:r>
    </w:p>
    <w:p w:rsidR="00D549BC" w:rsidRPr="005D48C8" w:rsidRDefault="00D549BC" w:rsidP="005D48C8">
      <w:pPr>
        <w:spacing w:after="240" w:line="240" w:lineRule="auto"/>
        <w:ind w:left="2268" w:firstLine="0"/>
        <w:contextualSpacing/>
        <w:rPr>
          <w:rFonts w:ascii="Times New Roman" w:hAnsi="Times New Roman"/>
        </w:rPr>
      </w:pPr>
      <w:r w:rsidRPr="005D48C8">
        <w:rPr>
          <w:rFonts w:ascii="Times New Roman" w:hAnsi="Times New Roman"/>
        </w:rPr>
        <w:t>III - julgar, mediante recurso extraordinário, as causas decididas em única ou última instância, quando a decisão recorrida:</w:t>
      </w:r>
    </w:p>
    <w:p w:rsidR="00D549BC" w:rsidRPr="005D48C8" w:rsidRDefault="00D549BC" w:rsidP="005D48C8">
      <w:pPr>
        <w:spacing w:after="240" w:line="240" w:lineRule="auto"/>
        <w:ind w:left="2268" w:firstLine="0"/>
        <w:contextualSpacing/>
        <w:rPr>
          <w:rFonts w:ascii="Times New Roman" w:hAnsi="Times New Roman"/>
        </w:rPr>
      </w:pPr>
      <w:r w:rsidRPr="005D48C8">
        <w:rPr>
          <w:rFonts w:ascii="Times New Roman" w:hAnsi="Times New Roman"/>
        </w:rPr>
        <w:t>a) contrariar dispositivo desta Constituição;</w:t>
      </w:r>
    </w:p>
    <w:p w:rsidR="00D549BC" w:rsidRPr="005D48C8" w:rsidRDefault="00D549BC" w:rsidP="005D48C8">
      <w:pPr>
        <w:spacing w:after="240" w:line="240" w:lineRule="auto"/>
        <w:ind w:left="2268" w:firstLine="0"/>
        <w:contextualSpacing/>
        <w:rPr>
          <w:rFonts w:ascii="Times New Roman" w:hAnsi="Times New Roman"/>
        </w:rPr>
      </w:pPr>
      <w:r w:rsidRPr="005D48C8">
        <w:rPr>
          <w:rFonts w:ascii="Times New Roman" w:hAnsi="Times New Roman"/>
        </w:rPr>
        <w:t>b) declarar a inconstitucionalidade de tratado ou lei federal;</w:t>
      </w:r>
    </w:p>
    <w:p w:rsidR="00D549BC" w:rsidRDefault="00D549BC" w:rsidP="005D48C8">
      <w:pPr>
        <w:spacing w:after="240" w:line="240" w:lineRule="auto"/>
        <w:ind w:left="2268" w:firstLine="0"/>
        <w:contextualSpacing/>
        <w:rPr>
          <w:rFonts w:ascii="Times New Roman" w:hAnsi="Times New Roman"/>
        </w:rPr>
      </w:pPr>
      <w:r w:rsidRPr="005D48C8">
        <w:rPr>
          <w:rFonts w:ascii="Times New Roman" w:hAnsi="Times New Roman"/>
        </w:rPr>
        <w:t>c) julgar válida lei ou ato de governo local contestado em face desta Constituição.</w:t>
      </w:r>
    </w:p>
    <w:p w:rsidR="00D549BC" w:rsidRPr="005D48C8" w:rsidRDefault="00D549BC" w:rsidP="005D48C8">
      <w:pPr>
        <w:spacing w:after="240" w:line="240" w:lineRule="auto"/>
        <w:ind w:left="2268" w:firstLine="0"/>
        <w:contextualSpacing/>
        <w:rPr>
          <w:rFonts w:ascii="Times New Roman" w:hAnsi="Times New Roman"/>
        </w:rPr>
      </w:pPr>
    </w:p>
    <w:p w:rsidR="00D549BC" w:rsidRDefault="00D549BC" w:rsidP="00D12C33">
      <w:pPr>
        <w:spacing w:after="240"/>
        <w:contextualSpacing/>
        <w:rPr>
          <w:rFonts w:ascii="Times New Roman" w:hAnsi="Times New Roman"/>
          <w:sz w:val="24"/>
        </w:rPr>
      </w:pPr>
      <w:r>
        <w:rPr>
          <w:rFonts w:ascii="Times New Roman" w:hAnsi="Times New Roman"/>
          <w:sz w:val="24"/>
        </w:rPr>
        <w:t>Após a Emenda Constitucional n. 3 de 1993, a principal alteração no texto constitucional de 1988 foi promovida pela Reforma do Judiciário a partir da Emenda Constitucional nº 45, de 30 de dezembro de 2004. Esta Emenda trouxe importantes inovações no que diz respeito ao controle de constitucionalidade das leis, inclusive revogando algumas disposições da EC nº 3/93.</w:t>
      </w:r>
    </w:p>
    <w:p w:rsidR="00D549BC" w:rsidRDefault="00D549BC" w:rsidP="00D12C33">
      <w:pPr>
        <w:spacing w:after="240"/>
        <w:contextualSpacing/>
        <w:rPr>
          <w:rFonts w:ascii="Times New Roman" w:hAnsi="Times New Roman"/>
          <w:sz w:val="24"/>
        </w:rPr>
      </w:pPr>
      <w:r>
        <w:rPr>
          <w:rFonts w:ascii="Times New Roman" w:hAnsi="Times New Roman"/>
          <w:sz w:val="24"/>
        </w:rPr>
        <w:t xml:space="preserve">Quanto à sistemática do controle de constitucionalidade concentrado, a Reforma do Judiciário empreendeu as seguintes alterações: (i) incluiu a Câmara Legislativa do Distrito Federal e o Governador do Distrito Federal como legitimados ativos para propositura das ações diretas (art. 103, IV e V da CR/88); (ii) revogou o parágrafo 4º do artigo 103, que restringia a propositura da ADC somente a alguns dos legitimados do artigo 103; (iii) incluiu a Ação Declaratória de Constitucionalidade na redação do artigo 103, passando a constar tanto as ações diretas (ADI e ADO) quanto a própria ADC (art. 103 da CR/88); finalmente, (iv) atribuiu eficácia </w:t>
      </w:r>
      <w:r w:rsidRPr="00B43CDC">
        <w:rPr>
          <w:rFonts w:ascii="Times New Roman" w:hAnsi="Times New Roman"/>
          <w:i/>
          <w:sz w:val="24"/>
        </w:rPr>
        <w:t>erga omnes</w:t>
      </w:r>
      <w:r>
        <w:rPr>
          <w:rFonts w:ascii="Times New Roman" w:hAnsi="Times New Roman"/>
          <w:sz w:val="24"/>
        </w:rPr>
        <w:t xml:space="preserve"> e efeito vinculante às decisões definitivas de mérito proferidas pelo STF,  tanto nas ações diretas quanto na declaratória de constitucionalidade (art. 102, § 2º da CR/88). </w:t>
      </w:r>
    </w:p>
    <w:p w:rsidR="00D549BC" w:rsidRDefault="00D549BC" w:rsidP="0086489A">
      <w:pPr>
        <w:spacing w:after="240"/>
        <w:contextualSpacing/>
        <w:rPr>
          <w:rFonts w:ascii="Times New Roman" w:hAnsi="Times New Roman"/>
          <w:sz w:val="24"/>
        </w:rPr>
      </w:pPr>
      <w:r>
        <w:rPr>
          <w:rFonts w:ascii="Times New Roman" w:hAnsi="Times New Roman"/>
          <w:sz w:val="24"/>
        </w:rPr>
        <w:t xml:space="preserve">No âmbito do controle de constitucionalidade difuso, exercido perante a Suprema Corte, a EC nº 45/2004 trouxe, igualmente, significativas mudanças, a saber: (i) acrescentou mais uma hipótese de cabimento do Recurso Extraordinário (art. 102, III, </w:t>
      </w:r>
      <w:r w:rsidRPr="00F45B70">
        <w:rPr>
          <w:rFonts w:ascii="Times New Roman" w:hAnsi="Times New Roman"/>
          <w:i/>
          <w:sz w:val="24"/>
        </w:rPr>
        <w:t>d</w:t>
      </w:r>
      <w:r>
        <w:rPr>
          <w:rFonts w:ascii="Times New Roman" w:hAnsi="Times New Roman"/>
          <w:sz w:val="24"/>
        </w:rPr>
        <w:t>);</w:t>
      </w:r>
      <w:r>
        <w:rPr>
          <w:rStyle w:val="FootnoteReference"/>
          <w:rFonts w:ascii="Times New Roman" w:hAnsi="Times New Roman"/>
          <w:sz w:val="24"/>
        </w:rPr>
        <w:footnoteReference w:id="77"/>
      </w:r>
      <w:r>
        <w:rPr>
          <w:rFonts w:ascii="Times New Roman" w:hAnsi="Times New Roman"/>
          <w:sz w:val="24"/>
        </w:rPr>
        <w:t xml:space="preserve"> (ii) exigiu, ao mesmo tempo, novo requisito de admissibilidade para o Recurso Extraordinário, denominado de “Repercussão Geral”, por meio do qual o recorrente deve demonstrar, em preliminar do recurso, que a questão constitucional discutida transcende os interesses subjetivos das partes, do ponto de vista econômico, político, social ou jurídico (art.102, III, § 3º da CR/88);</w:t>
      </w:r>
      <w:r>
        <w:rPr>
          <w:rStyle w:val="FootnoteReference"/>
          <w:rFonts w:ascii="Times New Roman" w:hAnsi="Times New Roman"/>
          <w:sz w:val="24"/>
        </w:rPr>
        <w:footnoteReference w:id="78"/>
      </w:r>
      <w:r>
        <w:rPr>
          <w:rFonts w:ascii="Times New Roman" w:hAnsi="Times New Roman"/>
          <w:sz w:val="24"/>
        </w:rPr>
        <w:t xml:space="preserve"> por fim, (iii) previu a possibilidade de edição de Súmula Vinculante pelo STF, que tem por escopo dispor sobre </w:t>
      </w:r>
      <w:r w:rsidRPr="00AE12C3">
        <w:rPr>
          <w:rFonts w:ascii="Times New Roman" w:hAnsi="Times New Roman"/>
          <w:sz w:val="24"/>
        </w:rPr>
        <w:t xml:space="preserve"> a validade, a interpretação e a eficácia de normas</w:t>
      </w:r>
      <w:r>
        <w:rPr>
          <w:rFonts w:ascii="Times New Roman" w:hAnsi="Times New Roman"/>
          <w:sz w:val="24"/>
        </w:rPr>
        <w:t xml:space="preserve"> constitucionais</w:t>
      </w:r>
      <w:r w:rsidRPr="00AE12C3">
        <w:rPr>
          <w:rFonts w:ascii="Times New Roman" w:hAnsi="Times New Roman"/>
          <w:sz w:val="24"/>
        </w:rPr>
        <w:t xml:space="preserve"> determinadas, </w:t>
      </w:r>
      <w:r>
        <w:rPr>
          <w:rFonts w:ascii="Times New Roman" w:hAnsi="Times New Roman"/>
          <w:sz w:val="24"/>
        </w:rPr>
        <w:t xml:space="preserve">desde que haja reiteradas decisões sobre a matéria, bem como a  manifestação favorável de dois terços dos membros da Corte (art. 103-A, §§ 1º, 2º e 3º da CR/88). Ademais, a Súmula Vinculante, como se aduz da nomenclatura, é dotada de efeitos vinculantes </w:t>
      </w:r>
      <w:r w:rsidRPr="00747D7D">
        <w:rPr>
          <w:rFonts w:ascii="Times New Roman" w:hAnsi="Times New Roman"/>
          <w:sz w:val="24"/>
        </w:rPr>
        <w:t xml:space="preserve">em relação aos demais órgãos do Poder Judiciário e à </w:t>
      </w:r>
      <w:r>
        <w:rPr>
          <w:rFonts w:ascii="Times New Roman" w:hAnsi="Times New Roman"/>
          <w:sz w:val="24"/>
        </w:rPr>
        <w:t>A</w:t>
      </w:r>
      <w:r w:rsidRPr="00747D7D">
        <w:rPr>
          <w:rFonts w:ascii="Times New Roman" w:hAnsi="Times New Roman"/>
          <w:sz w:val="24"/>
        </w:rPr>
        <w:t xml:space="preserve">dministração </w:t>
      </w:r>
      <w:r>
        <w:rPr>
          <w:rFonts w:ascii="Times New Roman" w:hAnsi="Times New Roman"/>
          <w:sz w:val="24"/>
        </w:rPr>
        <w:t>P</w:t>
      </w:r>
      <w:r w:rsidRPr="00747D7D">
        <w:rPr>
          <w:rFonts w:ascii="Times New Roman" w:hAnsi="Times New Roman"/>
          <w:sz w:val="24"/>
        </w:rPr>
        <w:t xml:space="preserve">ública direta e indireta, nas esferas </w:t>
      </w:r>
      <w:r>
        <w:rPr>
          <w:rFonts w:ascii="Times New Roman" w:hAnsi="Times New Roman"/>
          <w:sz w:val="24"/>
        </w:rPr>
        <w:t>F</w:t>
      </w:r>
      <w:r w:rsidRPr="00747D7D">
        <w:rPr>
          <w:rFonts w:ascii="Times New Roman" w:hAnsi="Times New Roman"/>
          <w:sz w:val="24"/>
        </w:rPr>
        <w:t xml:space="preserve">ederal, </w:t>
      </w:r>
      <w:r>
        <w:rPr>
          <w:rFonts w:ascii="Times New Roman" w:hAnsi="Times New Roman"/>
          <w:sz w:val="24"/>
        </w:rPr>
        <w:t>E</w:t>
      </w:r>
      <w:r w:rsidRPr="00747D7D">
        <w:rPr>
          <w:rFonts w:ascii="Times New Roman" w:hAnsi="Times New Roman"/>
          <w:sz w:val="24"/>
        </w:rPr>
        <w:t xml:space="preserve">stadual e </w:t>
      </w:r>
      <w:r>
        <w:rPr>
          <w:rFonts w:ascii="Times New Roman" w:hAnsi="Times New Roman"/>
          <w:sz w:val="24"/>
        </w:rPr>
        <w:t>M</w:t>
      </w:r>
      <w:r w:rsidRPr="00747D7D">
        <w:rPr>
          <w:rFonts w:ascii="Times New Roman" w:hAnsi="Times New Roman"/>
          <w:sz w:val="24"/>
        </w:rPr>
        <w:t>unicipa</w:t>
      </w:r>
      <w:r>
        <w:rPr>
          <w:rFonts w:ascii="Times New Roman" w:hAnsi="Times New Roman"/>
          <w:sz w:val="24"/>
        </w:rPr>
        <w:t>l.</w:t>
      </w:r>
      <w:r>
        <w:rPr>
          <w:rStyle w:val="FootnoteReference"/>
          <w:rFonts w:ascii="Times New Roman" w:hAnsi="Times New Roman"/>
          <w:sz w:val="24"/>
        </w:rPr>
        <w:footnoteReference w:id="79"/>
      </w:r>
      <w:r>
        <w:rPr>
          <w:rFonts w:ascii="Times New Roman" w:hAnsi="Times New Roman"/>
          <w:sz w:val="24"/>
        </w:rPr>
        <w:t xml:space="preserve"> </w:t>
      </w:r>
    </w:p>
    <w:p w:rsidR="00D549BC" w:rsidRDefault="00D549BC" w:rsidP="003D278C">
      <w:pPr>
        <w:spacing w:after="240"/>
        <w:contextualSpacing/>
        <w:rPr>
          <w:rFonts w:ascii="Times New Roman" w:hAnsi="Times New Roman"/>
          <w:sz w:val="24"/>
        </w:rPr>
      </w:pPr>
      <w:r>
        <w:rPr>
          <w:rFonts w:ascii="Times New Roman" w:hAnsi="Times New Roman"/>
          <w:sz w:val="24"/>
        </w:rPr>
        <w:t>Percebe-se, assim, que a Constituição de 1988, bem como as reformas que se seguiram (EC n. 3/93 e EC n. 45/04) ampliaram significativamente as competências do Supremo Tribunal Federal com o objetivo de transformá-lo em autêntica Corte Constitucional, cuja missão precípua seria a de guardião do Texto Magno e do Estado Democrático de Direito. No entanto, ficará nítido, ao logo do próximo capítulo, que, até o presente, o Supremo Tribunal Federal ainda não desempenhou com satisfação e dedicação o papel de Guardião da Constituição,</w:t>
      </w:r>
      <w:r>
        <w:rPr>
          <w:rStyle w:val="FootnoteReference"/>
          <w:rFonts w:ascii="Times New Roman" w:hAnsi="Times New Roman"/>
          <w:sz w:val="24"/>
        </w:rPr>
        <w:footnoteReference w:id="80"/>
      </w:r>
      <w:r>
        <w:rPr>
          <w:rFonts w:ascii="Times New Roman" w:hAnsi="Times New Roman"/>
          <w:sz w:val="24"/>
        </w:rPr>
        <w:t xml:space="preserve"> levantando-se duas hipóteses para esse déficit institucional: (i) a crise de funcionalidade, desencadeada, principalmente, pelo excesso de Recursos Extraordinários</w:t>
      </w:r>
      <w:r>
        <w:rPr>
          <w:rStyle w:val="FootnoteReference"/>
          <w:rFonts w:ascii="Times New Roman" w:hAnsi="Times New Roman"/>
          <w:sz w:val="24"/>
        </w:rPr>
        <w:footnoteReference w:id="81"/>
      </w:r>
      <w:r>
        <w:rPr>
          <w:rFonts w:ascii="Times New Roman" w:hAnsi="Times New Roman"/>
          <w:sz w:val="24"/>
        </w:rPr>
        <w:t>; e (ii) o grande número de competências atribuídas à Corte pelo atual texto constitucional.</w:t>
      </w:r>
      <w:r>
        <w:rPr>
          <w:rStyle w:val="FootnoteReference"/>
          <w:rFonts w:ascii="Times New Roman" w:hAnsi="Times New Roman"/>
          <w:sz w:val="24"/>
        </w:rPr>
        <w:footnoteReference w:id="82"/>
      </w:r>
      <w:r>
        <w:rPr>
          <w:rFonts w:ascii="Times New Roman" w:hAnsi="Times New Roman"/>
          <w:sz w:val="24"/>
        </w:rPr>
        <w:t xml:space="preserve">  </w:t>
      </w:r>
    </w:p>
    <w:p w:rsidR="00D549BC" w:rsidRDefault="00D549BC" w:rsidP="003D278C">
      <w:pPr>
        <w:spacing w:after="240"/>
        <w:contextualSpacing/>
        <w:rPr>
          <w:rFonts w:ascii="Times New Roman" w:hAnsi="Times New Roman"/>
          <w:sz w:val="24"/>
        </w:rPr>
        <w:sectPr w:rsidR="00D549BC" w:rsidSect="009A39A8">
          <w:footnotePr>
            <w:numRestart w:val="eachSect"/>
          </w:footnotePr>
          <w:pgSz w:w="11906" w:h="16838" w:code="9"/>
          <w:pgMar w:top="1701" w:right="1134" w:bottom="1134" w:left="1701" w:header="709" w:footer="709" w:gutter="0"/>
          <w:cols w:space="708"/>
          <w:titlePg/>
          <w:docGrid w:linePitch="360"/>
        </w:sectPr>
      </w:pPr>
    </w:p>
    <w:p w:rsidR="00D549BC" w:rsidRDefault="00D549BC" w:rsidP="003D278C">
      <w:pPr>
        <w:spacing w:after="240"/>
        <w:ind w:firstLine="0"/>
        <w:contextualSpacing/>
        <w:rPr>
          <w:rFonts w:ascii="Times New Roman" w:hAnsi="Times New Roman"/>
          <w:b/>
          <w:sz w:val="24"/>
          <w:szCs w:val="24"/>
        </w:rPr>
      </w:pPr>
      <w:r w:rsidRPr="00CC24B6">
        <w:rPr>
          <w:rFonts w:ascii="Times New Roman" w:hAnsi="Times New Roman"/>
          <w:b/>
          <w:sz w:val="24"/>
          <w:szCs w:val="24"/>
        </w:rPr>
        <w:t>3</w:t>
      </w:r>
      <w:r>
        <w:rPr>
          <w:rFonts w:ascii="Times New Roman" w:hAnsi="Times New Roman"/>
          <w:b/>
          <w:sz w:val="24"/>
          <w:szCs w:val="24"/>
        </w:rPr>
        <w:t xml:space="preserve"> A CRISE DE FUNCIONALIDADE NO SUPREMO TRIBUNAL FEDERAL: REFLEXÕES SOBRE O RECURSO EXTRAORDINÁRIO E AS COMPETÊNCIAS</w:t>
      </w:r>
    </w:p>
    <w:p w:rsidR="00D549BC" w:rsidRDefault="00D549BC" w:rsidP="00E340A8">
      <w:pPr>
        <w:spacing w:after="240"/>
        <w:ind w:firstLine="0"/>
        <w:contextualSpacing/>
        <w:rPr>
          <w:rFonts w:ascii="Times New Roman" w:hAnsi="Times New Roman"/>
          <w:b/>
          <w:sz w:val="24"/>
          <w:szCs w:val="24"/>
        </w:rPr>
      </w:pPr>
    </w:p>
    <w:p w:rsidR="00D549BC" w:rsidRDefault="00D549BC" w:rsidP="00745651">
      <w:pPr>
        <w:spacing w:after="240"/>
        <w:contextualSpacing/>
        <w:rPr>
          <w:rFonts w:ascii="Times New Roman" w:hAnsi="Times New Roman"/>
          <w:sz w:val="24"/>
          <w:szCs w:val="24"/>
        </w:rPr>
      </w:pPr>
      <w:r>
        <w:rPr>
          <w:rFonts w:ascii="Times New Roman" w:hAnsi="Times New Roman"/>
          <w:sz w:val="24"/>
          <w:szCs w:val="24"/>
        </w:rPr>
        <w:t xml:space="preserve">Antes de adentramos no estudo das supostas causas para a crise de funcionalidade que aflige a mais alta Corte brasileira, faz-se necessário tecer breves considerações acerca do que se entende por crise. </w:t>
      </w:r>
    </w:p>
    <w:p w:rsidR="00D549BC" w:rsidRDefault="00D549BC" w:rsidP="00745651">
      <w:pPr>
        <w:spacing w:after="240"/>
        <w:contextualSpacing/>
        <w:rPr>
          <w:rFonts w:ascii="Times New Roman" w:hAnsi="Times New Roman"/>
          <w:sz w:val="24"/>
          <w:szCs w:val="24"/>
        </w:rPr>
      </w:pPr>
      <w:r w:rsidRPr="009164B1">
        <w:rPr>
          <w:rFonts w:ascii="Times New Roman" w:hAnsi="Times New Roman"/>
          <w:sz w:val="24"/>
          <w:szCs w:val="24"/>
        </w:rPr>
        <w:t xml:space="preserve">Segundo </w:t>
      </w:r>
      <w:r>
        <w:rPr>
          <w:rFonts w:ascii="Times New Roman" w:hAnsi="Times New Roman"/>
          <w:sz w:val="24"/>
          <w:szCs w:val="24"/>
        </w:rPr>
        <w:t xml:space="preserve">ALFREDO </w:t>
      </w:r>
      <w:r w:rsidRPr="009164B1">
        <w:rPr>
          <w:rFonts w:ascii="Times New Roman" w:hAnsi="Times New Roman"/>
          <w:sz w:val="24"/>
          <w:szCs w:val="24"/>
        </w:rPr>
        <w:t>BUZAID</w:t>
      </w:r>
      <w:r>
        <w:rPr>
          <w:rFonts w:ascii="Times New Roman" w:hAnsi="Times New Roman"/>
          <w:sz w:val="24"/>
          <w:szCs w:val="24"/>
        </w:rPr>
        <w:t>,</w:t>
      </w:r>
      <w:r>
        <w:rPr>
          <w:rStyle w:val="FootnoteReference"/>
          <w:rFonts w:ascii="Times New Roman" w:hAnsi="Times New Roman"/>
          <w:sz w:val="24"/>
          <w:szCs w:val="24"/>
        </w:rPr>
        <w:footnoteReference w:id="83"/>
      </w:r>
      <w:r w:rsidRPr="009164B1">
        <w:rPr>
          <w:rFonts w:ascii="Times New Roman" w:hAnsi="Times New Roman"/>
          <w:sz w:val="24"/>
          <w:szCs w:val="24"/>
        </w:rPr>
        <w:t xml:space="preserve"> a ideia de crise do Judiciário está ligada a um desequilíbrio entre o aumento do número de demandas ajuizadas e o número de julgamentos proferidos. Em razão do maior número de demandas propostas em face do número de julgados, tem-se um acúmul</w:t>
      </w:r>
      <w:r>
        <w:rPr>
          <w:rFonts w:ascii="Times New Roman" w:hAnsi="Times New Roman"/>
          <w:sz w:val="24"/>
          <w:szCs w:val="24"/>
        </w:rPr>
        <w:t>o de demandas que se sedimentam e</w:t>
      </w:r>
      <w:r w:rsidRPr="009164B1">
        <w:rPr>
          <w:rFonts w:ascii="Times New Roman" w:hAnsi="Times New Roman"/>
          <w:sz w:val="24"/>
          <w:szCs w:val="24"/>
        </w:rPr>
        <w:t xml:space="preserve"> c</w:t>
      </w:r>
      <w:r>
        <w:rPr>
          <w:rFonts w:ascii="Times New Roman" w:hAnsi="Times New Roman"/>
          <w:sz w:val="24"/>
          <w:szCs w:val="24"/>
        </w:rPr>
        <w:t>ongestionam</w:t>
      </w:r>
      <w:r w:rsidRPr="009164B1">
        <w:rPr>
          <w:rFonts w:ascii="Times New Roman" w:hAnsi="Times New Roman"/>
          <w:sz w:val="24"/>
          <w:szCs w:val="24"/>
        </w:rPr>
        <w:t xml:space="preserve"> o fluxo n</w:t>
      </w:r>
      <w:r>
        <w:rPr>
          <w:rFonts w:ascii="Times New Roman" w:hAnsi="Times New Roman"/>
          <w:sz w:val="24"/>
          <w:szCs w:val="24"/>
        </w:rPr>
        <w:t>ormal da tramitação processual,</w:t>
      </w:r>
      <w:r w:rsidRPr="009164B1">
        <w:rPr>
          <w:rFonts w:ascii="Times New Roman" w:hAnsi="Times New Roman"/>
          <w:sz w:val="24"/>
          <w:szCs w:val="24"/>
        </w:rPr>
        <w:t xml:space="preserve"> prejudicando</w:t>
      </w:r>
      <w:r>
        <w:rPr>
          <w:rFonts w:ascii="Times New Roman" w:hAnsi="Times New Roman"/>
          <w:sz w:val="24"/>
          <w:szCs w:val="24"/>
        </w:rPr>
        <w:t>, assim,</w:t>
      </w:r>
      <w:r w:rsidRPr="009164B1">
        <w:rPr>
          <w:rFonts w:ascii="Times New Roman" w:hAnsi="Times New Roman"/>
          <w:sz w:val="24"/>
          <w:szCs w:val="24"/>
        </w:rPr>
        <w:t xml:space="preserve"> a observância regular pelo Poder Judiciário dos prazos processuais fixados na l</w:t>
      </w:r>
      <w:r>
        <w:rPr>
          <w:rFonts w:ascii="Times New Roman" w:hAnsi="Times New Roman"/>
          <w:sz w:val="24"/>
          <w:szCs w:val="24"/>
        </w:rPr>
        <w:t>egislação processual brasileira, assim como ao comando constitucional da razoável duração do processo (CR, art. 5º, inciso LXXVIII).</w:t>
      </w:r>
    </w:p>
    <w:p w:rsidR="00D549BC" w:rsidRDefault="00D549BC" w:rsidP="00745651">
      <w:pPr>
        <w:spacing w:after="240"/>
        <w:contextualSpacing/>
        <w:rPr>
          <w:rFonts w:ascii="Times New Roman" w:hAnsi="Times New Roman"/>
          <w:sz w:val="24"/>
          <w:szCs w:val="24"/>
        </w:rPr>
      </w:pPr>
      <w:r>
        <w:rPr>
          <w:rFonts w:ascii="Times New Roman" w:hAnsi="Times New Roman"/>
          <w:sz w:val="24"/>
          <w:szCs w:val="24"/>
        </w:rPr>
        <w:t xml:space="preserve"> Assim, a crise que aqui estamos abordando é estritamente funcional, ou seja, está relacionada com o funcionamento do Supremo Tribunal Federal.</w:t>
      </w:r>
      <w:r>
        <w:rPr>
          <w:rStyle w:val="FootnoteReference"/>
          <w:rFonts w:ascii="Times New Roman" w:hAnsi="Times New Roman"/>
          <w:sz w:val="24"/>
          <w:szCs w:val="24"/>
        </w:rPr>
        <w:footnoteReference w:id="84"/>
      </w:r>
      <w:r>
        <w:rPr>
          <w:rFonts w:ascii="Times New Roman" w:hAnsi="Times New Roman"/>
          <w:sz w:val="24"/>
          <w:szCs w:val="24"/>
        </w:rPr>
        <w:t xml:space="preserve"> Não se defende, portanto, a existência de uma suposta crise institucional, pois, a nosso ver, esta não seria passível de solução, ou seja, seria incontornável, enquanto em uma crise funcional as causas são controláveis.</w:t>
      </w:r>
      <w:r>
        <w:rPr>
          <w:rStyle w:val="FootnoteReference"/>
          <w:rFonts w:ascii="Times New Roman" w:hAnsi="Times New Roman"/>
          <w:sz w:val="24"/>
          <w:szCs w:val="24"/>
        </w:rPr>
        <w:footnoteReference w:id="85"/>
      </w:r>
      <w:r>
        <w:rPr>
          <w:rFonts w:ascii="Times New Roman" w:hAnsi="Times New Roman"/>
          <w:sz w:val="24"/>
          <w:szCs w:val="24"/>
        </w:rPr>
        <w:t xml:space="preserve"> </w:t>
      </w:r>
    </w:p>
    <w:p w:rsidR="00D549BC" w:rsidRDefault="00D549BC" w:rsidP="003D278C">
      <w:pPr>
        <w:spacing w:after="240"/>
        <w:contextualSpacing/>
        <w:rPr>
          <w:rFonts w:ascii="Times New Roman" w:hAnsi="Times New Roman"/>
          <w:sz w:val="24"/>
          <w:szCs w:val="24"/>
        </w:rPr>
      </w:pPr>
      <w:r>
        <w:rPr>
          <w:rFonts w:ascii="Times New Roman" w:hAnsi="Times New Roman"/>
          <w:sz w:val="24"/>
          <w:szCs w:val="24"/>
        </w:rPr>
        <w:t xml:space="preserve">Feita essa breve digressão, é necessário explicar ao leitor que o presente capítulo busca evidenciar alguns momentos na história do Supremo Tribunal Federal caracterizados pelo excesso de Recursos Extraordinários que ali chegavam, assim gerando inúmeras consequências, tanto para a Corte quanto para os jurisdicionados. </w:t>
      </w:r>
    </w:p>
    <w:p w:rsidR="00D549BC" w:rsidRDefault="00D549BC" w:rsidP="003D278C">
      <w:pPr>
        <w:spacing w:after="240"/>
        <w:contextualSpacing/>
        <w:rPr>
          <w:rFonts w:ascii="Times New Roman" w:hAnsi="Times New Roman"/>
          <w:sz w:val="24"/>
          <w:szCs w:val="24"/>
        </w:rPr>
      </w:pPr>
      <w:r w:rsidRPr="007A4D45">
        <w:rPr>
          <w:rFonts w:ascii="Times New Roman" w:hAnsi="Times New Roman"/>
          <w:sz w:val="24"/>
          <w:szCs w:val="24"/>
        </w:rPr>
        <w:t>Dessa forma, a proposta aqui lançada é identificar</w:t>
      </w:r>
      <w:r>
        <w:rPr>
          <w:rFonts w:ascii="Times New Roman" w:hAnsi="Times New Roman"/>
          <w:sz w:val="24"/>
          <w:szCs w:val="24"/>
        </w:rPr>
        <w:t xml:space="preserve"> como a “patologia” que assola a cúpula do</w:t>
      </w:r>
      <w:r w:rsidRPr="007A4D45">
        <w:rPr>
          <w:rFonts w:ascii="Times New Roman" w:hAnsi="Times New Roman"/>
          <w:sz w:val="24"/>
          <w:szCs w:val="24"/>
        </w:rPr>
        <w:t xml:space="preserve"> Judiciário brasileiro foi percebia ao longo do transcurso histórico, bem como quais foram as medidas tomadas até agora para sua superação</w:t>
      </w:r>
      <w:r>
        <w:rPr>
          <w:rFonts w:ascii="Times New Roman" w:hAnsi="Times New Roman"/>
          <w:sz w:val="24"/>
          <w:szCs w:val="24"/>
        </w:rPr>
        <w:t xml:space="preserve">. </w:t>
      </w:r>
    </w:p>
    <w:p w:rsidR="00D549BC" w:rsidRDefault="00D549BC" w:rsidP="00546990">
      <w:pPr>
        <w:spacing w:after="240"/>
        <w:ind w:firstLine="851"/>
        <w:contextualSpacing/>
        <w:rPr>
          <w:rFonts w:ascii="Times New Roman" w:hAnsi="Times New Roman"/>
          <w:sz w:val="24"/>
          <w:szCs w:val="24"/>
        </w:rPr>
      </w:pPr>
      <w:r>
        <w:rPr>
          <w:rFonts w:ascii="Times New Roman" w:hAnsi="Times New Roman"/>
          <w:sz w:val="24"/>
          <w:szCs w:val="24"/>
        </w:rPr>
        <w:t xml:space="preserve"> </w:t>
      </w:r>
    </w:p>
    <w:p w:rsidR="00D549BC" w:rsidRPr="006F148A" w:rsidRDefault="00D549BC" w:rsidP="00956BA7">
      <w:pPr>
        <w:spacing w:after="240"/>
        <w:ind w:firstLine="0"/>
        <w:contextualSpacing/>
        <w:rPr>
          <w:rFonts w:ascii="Times New Roman" w:hAnsi="Times New Roman"/>
          <w:sz w:val="24"/>
          <w:szCs w:val="24"/>
        </w:rPr>
      </w:pPr>
      <w:r w:rsidRPr="006F148A">
        <w:rPr>
          <w:rFonts w:ascii="Times New Roman" w:hAnsi="Times New Roman"/>
          <w:sz w:val="24"/>
          <w:szCs w:val="24"/>
        </w:rPr>
        <w:t xml:space="preserve">3.1 A CRISE DO RECURSO EXTRAORDINÁRIO: OS PRIMEIROS SINAIS DE CONGESTIONAMENTO DA CORTE  </w:t>
      </w:r>
    </w:p>
    <w:p w:rsidR="00D549BC" w:rsidRDefault="00D549BC" w:rsidP="00546990">
      <w:pPr>
        <w:spacing w:after="240"/>
        <w:ind w:firstLine="851"/>
        <w:contextualSpacing/>
        <w:rPr>
          <w:rFonts w:ascii="Times New Roman" w:hAnsi="Times New Roman"/>
          <w:sz w:val="24"/>
          <w:szCs w:val="24"/>
        </w:rPr>
      </w:pPr>
    </w:p>
    <w:p w:rsidR="00D549BC" w:rsidRDefault="00D549BC" w:rsidP="00592653">
      <w:pPr>
        <w:spacing w:after="240"/>
        <w:ind w:firstLine="851"/>
        <w:contextualSpacing/>
        <w:rPr>
          <w:rFonts w:ascii="Times New Roman" w:hAnsi="Times New Roman"/>
          <w:sz w:val="24"/>
          <w:szCs w:val="24"/>
        </w:rPr>
      </w:pPr>
      <w:r>
        <w:rPr>
          <w:rFonts w:ascii="Times New Roman" w:hAnsi="Times New Roman"/>
          <w:sz w:val="24"/>
          <w:szCs w:val="24"/>
        </w:rPr>
        <w:t>Adotaremos como ponto de partida a década de 1930, pois entendemos que nesse período houve grande desenvolvimento político, social e econômico do país,</w:t>
      </w:r>
      <w:r>
        <w:rPr>
          <w:rStyle w:val="FootnoteReference"/>
          <w:rFonts w:ascii="Times New Roman" w:hAnsi="Times New Roman"/>
          <w:sz w:val="24"/>
          <w:szCs w:val="24"/>
        </w:rPr>
        <w:footnoteReference w:id="86"/>
      </w:r>
      <w:r>
        <w:rPr>
          <w:rFonts w:ascii="Times New Roman" w:hAnsi="Times New Roman"/>
          <w:sz w:val="24"/>
          <w:szCs w:val="24"/>
        </w:rPr>
        <w:t xml:space="preserve"> no qual foi perceptível o agigantamento do Estado, com o consequente aumento no número de litígios que davam entrada no Poder Judiciário anualmente.</w:t>
      </w:r>
      <w:r>
        <w:rPr>
          <w:rStyle w:val="FootnoteReference"/>
          <w:rFonts w:ascii="Times New Roman" w:hAnsi="Times New Roman"/>
          <w:sz w:val="24"/>
          <w:szCs w:val="24"/>
        </w:rPr>
        <w:footnoteReference w:id="87"/>
      </w:r>
      <w:r>
        <w:rPr>
          <w:rFonts w:ascii="Times New Roman" w:hAnsi="Times New Roman"/>
          <w:sz w:val="24"/>
          <w:szCs w:val="24"/>
        </w:rPr>
        <w:t xml:space="preserve"> Ademais, a doutrina também aponta o início da década de 30 como suposto marco histórico dos primeiros sinais de congestionamento do STF.</w:t>
      </w:r>
      <w:r>
        <w:rPr>
          <w:rStyle w:val="FootnoteReference"/>
          <w:rFonts w:ascii="Times New Roman" w:hAnsi="Times New Roman"/>
          <w:sz w:val="24"/>
          <w:szCs w:val="24"/>
        </w:rPr>
        <w:footnoteReference w:id="88"/>
      </w:r>
      <w:r>
        <w:rPr>
          <w:rFonts w:ascii="Times New Roman" w:hAnsi="Times New Roman"/>
          <w:sz w:val="24"/>
          <w:szCs w:val="24"/>
        </w:rPr>
        <w:t xml:space="preserve"> </w:t>
      </w:r>
    </w:p>
    <w:p w:rsidR="00D549BC" w:rsidRDefault="00D549BC" w:rsidP="00D62439">
      <w:pPr>
        <w:spacing w:after="240"/>
        <w:contextualSpacing/>
        <w:rPr>
          <w:rFonts w:ascii="Times New Roman" w:hAnsi="Times New Roman"/>
          <w:sz w:val="24"/>
          <w:szCs w:val="24"/>
        </w:rPr>
      </w:pPr>
      <w:r>
        <w:rPr>
          <w:rFonts w:ascii="Times New Roman" w:hAnsi="Times New Roman"/>
          <w:sz w:val="24"/>
          <w:szCs w:val="24"/>
        </w:rPr>
        <w:t>Segundo ALFREDO BUZAID,</w:t>
      </w:r>
      <w:r>
        <w:rPr>
          <w:rStyle w:val="FootnoteReference"/>
          <w:rFonts w:ascii="Times New Roman" w:hAnsi="Times New Roman"/>
          <w:sz w:val="24"/>
          <w:szCs w:val="24"/>
        </w:rPr>
        <w:footnoteReference w:id="89"/>
      </w:r>
      <w:r>
        <w:rPr>
          <w:rFonts w:ascii="Times New Roman" w:hAnsi="Times New Roman"/>
          <w:sz w:val="24"/>
          <w:szCs w:val="24"/>
        </w:rPr>
        <w:t xml:space="preserve"> as estatísticas quanto ao número de Recursos Extraordinários que aportaram no Supremo Tribunal durante o período de 1935 a 1943 eram as seguintes: (i) em 1935, 150 REs; (ii) em 1936, 230 REs; (iii) em 1937, 242 REs; (iv) em 1938, 210 REs; (v) em 1939, 286 REs; (vi) em 1940, 804 REs; (vii) em 1941, 1.047 REs; (viii) em 1942, 1.113 REs; por fim, (ix) em 1943, 1.124 REs. </w:t>
      </w:r>
    </w:p>
    <w:p w:rsidR="00D549BC" w:rsidRDefault="00D549BC" w:rsidP="00592653">
      <w:pPr>
        <w:spacing w:after="240"/>
        <w:ind w:firstLine="851"/>
        <w:contextualSpacing/>
        <w:rPr>
          <w:rFonts w:ascii="Times New Roman" w:hAnsi="Times New Roman"/>
          <w:sz w:val="24"/>
          <w:szCs w:val="24"/>
        </w:rPr>
      </w:pPr>
      <w:r>
        <w:rPr>
          <w:rFonts w:ascii="Times New Roman" w:hAnsi="Times New Roman"/>
          <w:sz w:val="24"/>
          <w:szCs w:val="24"/>
        </w:rPr>
        <w:t xml:space="preserve">As estatísticas evidenciam, portanto, que desde a década de 30, o número de Recursos Extraordinários que chegavam ao STF crescia em progressão geométrica. </w:t>
      </w:r>
    </w:p>
    <w:p w:rsidR="00D549BC" w:rsidRDefault="00D549BC" w:rsidP="00592653">
      <w:pPr>
        <w:spacing w:after="240"/>
        <w:ind w:firstLine="851"/>
        <w:contextualSpacing/>
        <w:rPr>
          <w:rFonts w:ascii="Times New Roman" w:hAnsi="Times New Roman"/>
          <w:sz w:val="24"/>
          <w:szCs w:val="24"/>
        </w:rPr>
      </w:pPr>
    </w:p>
    <w:p w:rsidR="00D549BC" w:rsidRPr="002A5BA8" w:rsidRDefault="00D549BC" w:rsidP="005E5F64">
      <w:pPr>
        <w:spacing w:after="240"/>
        <w:ind w:firstLine="0"/>
        <w:contextualSpacing/>
        <w:rPr>
          <w:rFonts w:ascii="Times New Roman" w:hAnsi="Times New Roman"/>
          <w:b/>
          <w:sz w:val="24"/>
          <w:szCs w:val="24"/>
        </w:rPr>
      </w:pPr>
      <w:r w:rsidRPr="002A5BA8">
        <w:rPr>
          <w:rFonts w:ascii="Times New Roman" w:hAnsi="Times New Roman"/>
          <w:b/>
          <w:sz w:val="24"/>
          <w:szCs w:val="24"/>
        </w:rPr>
        <w:t xml:space="preserve">3.1.1 As soluções buscadas nos primeiros momentos </w:t>
      </w:r>
    </w:p>
    <w:p w:rsidR="00D549BC" w:rsidRDefault="00D549BC" w:rsidP="005E5F64">
      <w:pPr>
        <w:spacing w:after="240"/>
        <w:ind w:firstLine="0"/>
        <w:contextualSpacing/>
        <w:rPr>
          <w:rFonts w:ascii="Times New Roman" w:hAnsi="Times New Roman"/>
          <w:b/>
          <w:sz w:val="24"/>
          <w:szCs w:val="24"/>
        </w:rPr>
      </w:pPr>
    </w:p>
    <w:p w:rsidR="00D549BC" w:rsidRDefault="00D549BC" w:rsidP="00BB289A">
      <w:pPr>
        <w:spacing w:after="240"/>
        <w:contextualSpacing/>
        <w:rPr>
          <w:rFonts w:ascii="Times New Roman" w:hAnsi="Times New Roman"/>
          <w:sz w:val="24"/>
          <w:szCs w:val="24"/>
        </w:rPr>
      </w:pPr>
      <w:r>
        <w:rPr>
          <w:rFonts w:ascii="Times New Roman" w:hAnsi="Times New Roman"/>
          <w:sz w:val="24"/>
          <w:szCs w:val="24"/>
        </w:rPr>
        <w:t>Não obstante termos adotado o período acima como marco inicial da crise no STF, são perceptíveis algumas alterações</w:t>
      </w:r>
      <w:r w:rsidRPr="00193D2A">
        <w:rPr>
          <w:rFonts w:ascii="Times New Roman" w:hAnsi="Times New Roman"/>
          <w:i/>
          <w:sz w:val="24"/>
          <w:szCs w:val="24"/>
        </w:rPr>
        <w:t xml:space="preserve"> interna corporis</w:t>
      </w:r>
      <w:r>
        <w:rPr>
          <w:rFonts w:ascii="Times New Roman" w:hAnsi="Times New Roman"/>
          <w:sz w:val="24"/>
          <w:szCs w:val="24"/>
        </w:rPr>
        <w:t xml:space="preserve"> já na década de 1920, por exemplo, a modificação do artigo 29 do Regimento Interno de 1909, em 12 de junho de 1920, quando</w:t>
      </w:r>
      <w:r w:rsidRPr="00AF63FA">
        <w:rPr>
          <w:rFonts w:ascii="Times New Roman" w:hAnsi="Times New Roman"/>
          <w:sz w:val="24"/>
          <w:szCs w:val="24"/>
        </w:rPr>
        <w:t xml:space="preserve"> </w:t>
      </w:r>
      <w:r>
        <w:rPr>
          <w:rFonts w:ascii="Times New Roman" w:hAnsi="Times New Roman"/>
          <w:sz w:val="24"/>
          <w:szCs w:val="24"/>
        </w:rPr>
        <w:t xml:space="preserve">os Ministros da Corte, por votação unânime, deliberaram sobre o número de sessões ordinárias semanais. Em vez de duas sessões, o Tribunal passaria a se reunir três vezes entre os meses de abril e outubro. Além disso, </w:t>
      </w:r>
      <w:r w:rsidRPr="00AF63FA">
        <w:rPr>
          <w:rFonts w:ascii="Times New Roman" w:hAnsi="Times New Roman"/>
          <w:sz w:val="24"/>
          <w:szCs w:val="24"/>
        </w:rPr>
        <w:t>o § 2º d</w:t>
      </w:r>
      <w:r>
        <w:rPr>
          <w:rFonts w:ascii="Times New Roman" w:hAnsi="Times New Roman"/>
          <w:sz w:val="24"/>
          <w:szCs w:val="24"/>
        </w:rPr>
        <w:t>aquele</w:t>
      </w:r>
      <w:r w:rsidRPr="00AF63FA">
        <w:rPr>
          <w:rFonts w:ascii="Times New Roman" w:hAnsi="Times New Roman"/>
          <w:sz w:val="24"/>
          <w:szCs w:val="24"/>
        </w:rPr>
        <w:t xml:space="preserve"> dispositivo</w:t>
      </w:r>
      <w:r>
        <w:rPr>
          <w:rFonts w:ascii="Times New Roman" w:hAnsi="Times New Roman"/>
          <w:sz w:val="24"/>
          <w:szCs w:val="24"/>
        </w:rPr>
        <w:t xml:space="preserve"> regimental</w:t>
      </w:r>
      <w:r w:rsidRPr="00AF63FA">
        <w:rPr>
          <w:rFonts w:ascii="Times New Roman" w:hAnsi="Times New Roman"/>
          <w:sz w:val="24"/>
          <w:szCs w:val="24"/>
        </w:rPr>
        <w:t xml:space="preserve"> ressalvou: “O Tribunal, por proposta de qualquer de seus</w:t>
      </w:r>
      <w:r>
        <w:rPr>
          <w:rFonts w:ascii="Times New Roman" w:hAnsi="Times New Roman"/>
          <w:sz w:val="24"/>
          <w:szCs w:val="24"/>
        </w:rPr>
        <w:t xml:space="preserve"> </w:t>
      </w:r>
      <w:r w:rsidRPr="00AF63FA">
        <w:rPr>
          <w:rFonts w:ascii="Times New Roman" w:hAnsi="Times New Roman"/>
          <w:sz w:val="24"/>
          <w:szCs w:val="24"/>
        </w:rPr>
        <w:t xml:space="preserve">membros, poderá elevar o número de sessões </w:t>
      </w:r>
      <w:r>
        <w:rPr>
          <w:rFonts w:ascii="Times New Roman" w:hAnsi="Times New Roman"/>
          <w:sz w:val="24"/>
          <w:szCs w:val="24"/>
        </w:rPr>
        <w:t>ordiná</w:t>
      </w:r>
      <w:r w:rsidRPr="00AF63FA">
        <w:rPr>
          <w:rFonts w:ascii="Times New Roman" w:hAnsi="Times New Roman"/>
          <w:sz w:val="24"/>
          <w:szCs w:val="24"/>
        </w:rPr>
        <w:t>rias por determinado tempo, desde que</w:t>
      </w:r>
      <w:r>
        <w:rPr>
          <w:rFonts w:ascii="Times New Roman" w:hAnsi="Times New Roman"/>
          <w:sz w:val="24"/>
          <w:szCs w:val="24"/>
        </w:rPr>
        <w:t xml:space="preserve"> </w:t>
      </w:r>
      <w:r w:rsidRPr="00AF63FA">
        <w:rPr>
          <w:rFonts w:ascii="Times New Roman" w:hAnsi="Times New Roman"/>
          <w:sz w:val="24"/>
          <w:szCs w:val="24"/>
        </w:rPr>
        <w:t>verifique a impossibilidade de, com duas ou três sessões por semana, atender à afluência</w:t>
      </w:r>
      <w:r>
        <w:rPr>
          <w:rFonts w:ascii="Times New Roman" w:hAnsi="Times New Roman"/>
          <w:sz w:val="24"/>
          <w:szCs w:val="24"/>
        </w:rPr>
        <w:t xml:space="preserve"> </w:t>
      </w:r>
      <w:r w:rsidRPr="00AF63FA">
        <w:rPr>
          <w:rFonts w:ascii="Times New Roman" w:hAnsi="Times New Roman"/>
          <w:sz w:val="24"/>
          <w:szCs w:val="24"/>
        </w:rPr>
        <w:t>de feitos com dia para julgamento</w:t>
      </w:r>
      <w:r>
        <w:rPr>
          <w:rFonts w:ascii="Times New Roman" w:hAnsi="Times New Roman"/>
          <w:sz w:val="24"/>
          <w:szCs w:val="24"/>
        </w:rPr>
        <w:t>”.</w:t>
      </w:r>
      <w:r>
        <w:rPr>
          <w:rStyle w:val="FootnoteReference"/>
          <w:rFonts w:ascii="Times New Roman" w:hAnsi="Times New Roman"/>
          <w:sz w:val="24"/>
          <w:szCs w:val="24"/>
        </w:rPr>
        <w:footnoteReference w:id="90"/>
      </w:r>
      <w:r>
        <w:rPr>
          <w:rFonts w:ascii="Times New Roman" w:hAnsi="Times New Roman"/>
          <w:sz w:val="24"/>
          <w:szCs w:val="24"/>
        </w:rPr>
        <w:t xml:space="preserve"> </w:t>
      </w:r>
    </w:p>
    <w:p w:rsidR="00D549BC" w:rsidRDefault="00D549BC" w:rsidP="00BB289A">
      <w:pPr>
        <w:spacing w:after="240"/>
        <w:contextualSpacing/>
        <w:rPr>
          <w:rFonts w:ascii="Times New Roman" w:hAnsi="Times New Roman"/>
          <w:sz w:val="24"/>
          <w:szCs w:val="24"/>
        </w:rPr>
      </w:pPr>
      <w:r w:rsidRPr="00F7410F">
        <w:rPr>
          <w:rFonts w:ascii="Times New Roman" w:hAnsi="Times New Roman"/>
          <w:sz w:val="24"/>
          <w:szCs w:val="24"/>
        </w:rPr>
        <w:t>Na mesma ocasião, foi aprovada a inserção do § 2º ao artigo 170 do</w:t>
      </w:r>
      <w:r>
        <w:rPr>
          <w:rFonts w:ascii="Times New Roman" w:hAnsi="Times New Roman"/>
          <w:sz w:val="24"/>
          <w:szCs w:val="24"/>
        </w:rPr>
        <w:t xml:space="preserve"> RISTF/1909</w:t>
      </w:r>
      <w:r w:rsidRPr="00F7410F">
        <w:rPr>
          <w:rFonts w:ascii="Times New Roman" w:hAnsi="Times New Roman"/>
          <w:sz w:val="24"/>
          <w:szCs w:val="24"/>
        </w:rPr>
        <w:t>, conferindo poderes ao relator para, após a apresentação de parecer do</w:t>
      </w:r>
      <w:r>
        <w:rPr>
          <w:rFonts w:ascii="Times New Roman" w:hAnsi="Times New Roman"/>
          <w:sz w:val="24"/>
          <w:szCs w:val="24"/>
        </w:rPr>
        <w:t xml:space="preserve"> </w:t>
      </w:r>
      <w:r w:rsidRPr="00F7410F">
        <w:rPr>
          <w:rFonts w:ascii="Times New Roman" w:hAnsi="Times New Roman"/>
          <w:sz w:val="24"/>
          <w:szCs w:val="24"/>
        </w:rPr>
        <w:t>Procurado</w:t>
      </w:r>
      <w:r>
        <w:rPr>
          <w:rFonts w:ascii="Times New Roman" w:hAnsi="Times New Roman"/>
          <w:sz w:val="24"/>
          <w:szCs w:val="24"/>
        </w:rPr>
        <w:t>r Geral da República, enviar o R</w:t>
      </w:r>
      <w:r w:rsidRPr="00F7410F">
        <w:rPr>
          <w:rFonts w:ascii="Times New Roman" w:hAnsi="Times New Roman"/>
          <w:sz w:val="24"/>
          <w:szCs w:val="24"/>
        </w:rPr>
        <w:t xml:space="preserve">ecurso </w:t>
      </w:r>
      <w:r>
        <w:rPr>
          <w:rFonts w:ascii="Times New Roman" w:hAnsi="Times New Roman"/>
          <w:sz w:val="24"/>
          <w:szCs w:val="24"/>
        </w:rPr>
        <w:t>E</w:t>
      </w:r>
      <w:r w:rsidRPr="00F7410F">
        <w:rPr>
          <w:rFonts w:ascii="Times New Roman" w:hAnsi="Times New Roman"/>
          <w:sz w:val="24"/>
          <w:szCs w:val="24"/>
        </w:rPr>
        <w:t>xtraordinário diretamente a julgamento,</w:t>
      </w:r>
      <w:r>
        <w:rPr>
          <w:rFonts w:ascii="Times New Roman" w:hAnsi="Times New Roman"/>
          <w:sz w:val="24"/>
          <w:szCs w:val="24"/>
        </w:rPr>
        <w:t xml:space="preserve"> </w:t>
      </w:r>
      <w:r w:rsidRPr="00F7410F">
        <w:rPr>
          <w:rFonts w:ascii="Times New Roman" w:hAnsi="Times New Roman"/>
          <w:sz w:val="24"/>
          <w:szCs w:val="24"/>
        </w:rPr>
        <w:t xml:space="preserve">sem necessidade de encaminhamento prévio a revisores, caso </w:t>
      </w:r>
      <w:r>
        <w:rPr>
          <w:rFonts w:ascii="Times New Roman" w:hAnsi="Times New Roman"/>
          <w:sz w:val="24"/>
          <w:szCs w:val="24"/>
        </w:rPr>
        <w:t xml:space="preserve">se </w:t>
      </w:r>
      <w:r w:rsidRPr="00F7410F">
        <w:rPr>
          <w:rFonts w:ascii="Times New Roman" w:hAnsi="Times New Roman"/>
          <w:sz w:val="24"/>
          <w:szCs w:val="24"/>
        </w:rPr>
        <w:t>detectasse sua</w:t>
      </w:r>
      <w:r>
        <w:rPr>
          <w:rFonts w:ascii="Times New Roman" w:hAnsi="Times New Roman"/>
          <w:sz w:val="24"/>
          <w:szCs w:val="24"/>
        </w:rPr>
        <w:t xml:space="preserve"> </w:t>
      </w:r>
      <w:r w:rsidRPr="00F7410F">
        <w:rPr>
          <w:rFonts w:ascii="Times New Roman" w:hAnsi="Times New Roman"/>
          <w:sz w:val="24"/>
          <w:szCs w:val="24"/>
        </w:rPr>
        <w:t xml:space="preserve">intempestividade ou na hipótese </w:t>
      </w:r>
      <w:r>
        <w:rPr>
          <w:rFonts w:ascii="Times New Roman" w:hAnsi="Times New Roman"/>
          <w:sz w:val="24"/>
          <w:szCs w:val="24"/>
        </w:rPr>
        <w:t>de verificar não ser cabível o r</w:t>
      </w:r>
      <w:r w:rsidRPr="00F7410F">
        <w:rPr>
          <w:rFonts w:ascii="Times New Roman" w:hAnsi="Times New Roman"/>
          <w:sz w:val="24"/>
          <w:szCs w:val="24"/>
        </w:rPr>
        <w:t>ecurso segundo a</w:t>
      </w:r>
      <w:r>
        <w:rPr>
          <w:rFonts w:ascii="Times New Roman" w:hAnsi="Times New Roman"/>
          <w:sz w:val="24"/>
          <w:szCs w:val="24"/>
        </w:rPr>
        <w:t xml:space="preserve"> </w:t>
      </w:r>
      <w:r w:rsidRPr="00F7410F">
        <w:rPr>
          <w:rFonts w:ascii="Times New Roman" w:hAnsi="Times New Roman"/>
          <w:sz w:val="24"/>
          <w:szCs w:val="24"/>
        </w:rPr>
        <w:t>jurisprudência do Tribunal</w:t>
      </w:r>
      <w:r>
        <w:rPr>
          <w:rFonts w:ascii="Times New Roman" w:hAnsi="Times New Roman"/>
          <w:sz w:val="24"/>
          <w:szCs w:val="24"/>
        </w:rPr>
        <w:t>.</w:t>
      </w:r>
      <w:r>
        <w:rPr>
          <w:rStyle w:val="FootnoteReference"/>
          <w:rFonts w:ascii="Times New Roman" w:hAnsi="Times New Roman"/>
          <w:sz w:val="24"/>
          <w:szCs w:val="24"/>
        </w:rPr>
        <w:footnoteReference w:id="91"/>
      </w:r>
      <w:r>
        <w:rPr>
          <w:rFonts w:ascii="Times New Roman" w:hAnsi="Times New Roman"/>
          <w:sz w:val="24"/>
          <w:szCs w:val="24"/>
        </w:rPr>
        <w:t xml:space="preserve"> </w:t>
      </w:r>
    </w:p>
    <w:p w:rsidR="00D549BC" w:rsidRDefault="00D549BC" w:rsidP="00BB289A">
      <w:pPr>
        <w:spacing w:after="240"/>
        <w:contextualSpacing/>
        <w:rPr>
          <w:rFonts w:ascii="Times New Roman" w:hAnsi="Times New Roman"/>
          <w:sz w:val="24"/>
          <w:szCs w:val="24"/>
        </w:rPr>
      </w:pPr>
      <w:r>
        <w:rPr>
          <w:rFonts w:ascii="Times New Roman" w:hAnsi="Times New Roman"/>
          <w:sz w:val="24"/>
          <w:szCs w:val="24"/>
        </w:rPr>
        <w:t>Posteriormente</w:t>
      </w:r>
      <w:r w:rsidRPr="004B709F">
        <w:rPr>
          <w:rFonts w:ascii="Times New Roman" w:hAnsi="Times New Roman"/>
          <w:sz w:val="24"/>
          <w:szCs w:val="24"/>
        </w:rPr>
        <w:t>, com a edição do Decreto 20.669, de 23 de novembro</w:t>
      </w:r>
      <w:r>
        <w:rPr>
          <w:rFonts w:ascii="Times New Roman" w:hAnsi="Times New Roman"/>
          <w:sz w:val="24"/>
          <w:szCs w:val="24"/>
        </w:rPr>
        <w:t xml:space="preserve"> de 1</w:t>
      </w:r>
      <w:r w:rsidRPr="004B709F">
        <w:rPr>
          <w:rFonts w:ascii="Times New Roman" w:hAnsi="Times New Roman"/>
          <w:sz w:val="24"/>
          <w:szCs w:val="24"/>
        </w:rPr>
        <w:t>931</w:t>
      </w:r>
      <w:r>
        <w:rPr>
          <w:rFonts w:ascii="Times New Roman" w:hAnsi="Times New Roman"/>
          <w:sz w:val="24"/>
          <w:szCs w:val="24"/>
        </w:rPr>
        <w:t>,</w:t>
      </w:r>
      <w:r>
        <w:rPr>
          <w:rStyle w:val="FootnoteReference"/>
          <w:rFonts w:ascii="Times New Roman" w:hAnsi="Times New Roman"/>
          <w:sz w:val="24"/>
          <w:szCs w:val="24"/>
        </w:rPr>
        <w:footnoteReference w:id="92"/>
      </w:r>
      <w:r w:rsidRPr="004B709F">
        <w:rPr>
          <w:rFonts w:ascii="Times New Roman" w:hAnsi="Times New Roman"/>
          <w:sz w:val="24"/>
          <w:szCs w:val="24"/>
        </w:rPr>
        <w:t xml:space="preserve"> aumentou-se, </w:t>
      </w:r>
      <w:r>
        <w:rPr>
          <w:rFonts w:ascii="Times New Roman" w:hAnsi="Times New Roman"/>
          <w:sz w:val="24"/>
          <w:szCs w:val="24"/>
        </w:rPr>
        <w:t>nov</w:t>
      </w:r>
      <w:r w:rsidRPr="004B709F">
        <w:rPr>
          <w:rFonts w:ascii="Times New Roman" w:hAnsi="Times New Roman"/>
          <w:sz w:val="24"/>
          <w:szCs w:val="24"/>
        </w:rPr>
        <w:t>amente, o número de sessões do Plenário, para que todos os</w:t>
      </w:r>
      <w:r>
        <w:rPr>
          <w:rFonts w:ascii="Times New Roman" w:hAnsi="Times New Roman"/>
          <w:sz w:val="24"/>
          <w:szCs w:val="24"/>
        </w:rPr>
        <w:t xml:space="preserve"> </w:t>
      </w:r>
      <w:r w:rsidRPr="004B709F">
        <w:rPr>
          <w:rFonts w:ascii="Times New Roman" w:hAnsi="Times New Roman"/>
          <w:sz w:val="24"/>
          <w:szCs w:val="24"/>
        </w:rPr>
        <w:t>cerca de duzentos processos que</w:t>
      </w:r>
      <w:r>
        <w:rPr>
          <w:rFonts w:ascii="Times New Roman" w:hAnsi="Times New Roman"/>
          <w:sz w:val="24"/>
          <w:szCs w:val="24"/>
        </w:rPr>
        <w:t>,</w:t>
      </w:r>
      <w:r w:rsidRPr="004B709F">
        <w:rPr>
          <w:rFonts w:ascii="Times New Roman" w:hAnsi="Times New Roman"/>
          <w:sz w:val="24"/>
          <w:szCs w:val="24"/>
        </w:rPr>
        <w:t xml:space="preserve"> já </w:t>
      </w:r>
      <w:r>
        <w:rPr>
          <w:rFonts w:ascii="Times New Roman" w:hAnsi="Times New Roman"/>
          <w:sz w:val="24"/>
          <w:szCs w:val="24"/>
        </w:rPr>
        <w:t>àquela</w:t>
      </w:r>
      <w:r w:rsidRPr="004B709F">
        <w:rPr>
          <w:rFonts w:ascii="Times New Roman" w:hAnsi="Times New Roman"/>
          <w:sz w:val="24"/>
          <w:szCs w:val="24"/>
        </w:rPr>
        <w:t xml:space="preserve"> época</w:t>
      </w:r>
      <w:r>
        <w:rPr>
          <w:rFonts w:ascii="Times New Roman" w:hAnsi="Times New Roman"/>
          <w:sz w:val="24"/>
          <w:szCs w:val="24"/>
        </w:rPr>
        <w:t>,</w:t>
      </w:r>
      <w:r w:rsidRPr="004B709F">
        <w:rPr>
          <w:rFonts w:ascii="Times New Roman" w:hAnsi="Times New Roman"/>
          <w:sz w:val="24"/>
          <w:szCs w:val="24"/>
        </w:rPr>
        <w:t xml:space="preserve"> avolumavam</w:t>
      </w:r>
      <w:r>
        <w:rPr>
          <w:rFonts w:ascii="Times New Roman" w:hAnsi="Times New Roman"/>
          <w:sz w:val="24"/>
          <w:szCs w:val="24"/>
        </w:rPr>
        <w:t>-se no Supremo</w:t>
      </w:r>
      <w:r w:rsidRPr="004B709F">
        <w:rPr>
          <w:rFonts w:ascii="Times New Roman" w:hAnsi="Times New Roman"/>
          <w:sz w:val="24"/>
          <w:szCs w:val="24"/>
        </w:rPr>
        <w:t xml:space="preserve"> fossem</w:t>
      </w:r>
      <w:r>
        <w:rPr>
          <w:rFonts w:ascii="Times New Roman" w:hAnsi="Times New Roman"/>
          <w:sz w:val="24"/>
          <w:szCs w:val="24"/>
        </w:rPr>
        <w:t xml:space="preserve"> definitivamente julgados.</w:t>
      </w:r>
      <w:r>
        <w:rPr>
          <w:rStyle w:val="FootnoteReference"/>
          <w:rFonts w:ascii="Times New Roman" w:hAnsi="Times New Roman"/>
          <w:sz w:val="24"/>
          <w:szCs w:val="24"/>
        </w:rPr>
        <w:footnoteReference w:id="93"/>
      </w:r>
      <w:r>
        <w:rPr>
          <w:rFonts w:ascii="Times New Roman" w:hAnsi="Times New Roman"/>
          <w:sz w:val="24"/>
          <w:szCs w:val="24"/>
        </w:rPr>
        <w:t xml:space="preserve"> </w:t>
      </w:r>
    </w:p>
    <w:p w:rsidR="00D549BC" w:rsidRDefault="00D549BC" w:rsidP="004B43E4">
      <w:pPr>
        <w:spacing w:after="240"/>
        <w:contextualSpacing/>
        <w:rPr>
          <w:rFonts w:ascii="Times New Roman" w:hAnsi="Times New Roman"/>
          <w:sz w:val="24"/>
          <w:szCs w:val="24"/>
        </w:rPr>
      </w:pPr>
      <w:r w:rsidRPr="00F17014">
        <w:rPr>
          <w:rFonts w:ascii="Times New Roman" w:hAnsi="Times New Roman"/>
          <w:sz w:val="24"/>
          <w:szCs w:val="24"/>
        </w:rPr>
        <w:t xml:space="preserve">A situação não foi resolvida, haja vista que o número de </w:t>
      </w:r>
      <w:r>
        <w:rPr>
          <w:rFonts w:ascii="Times New Roman" w:hAnsi="Times New Roman"/>
          <w:sz w:val="24"/>
          <w:szCs w:val="24"/>
        </w:rPr>
        <w:t xml:space="preserve">processos </w:t>
      </w:r>
      <w:r w:rsidRPr="00F17014">
        <w:rPr>
          <w:rFonts w:ascii="Times New Roman" w:hAnsi="Times New Roman"/>
          <w:sz w:val="24"/>
          <w:szCs w:val="24"/>
        </w:rPr>
        <w:t>continuou aumentando, ano a ano, principalmente a</w:t>
      </w:r>
      <w:r>
        <w:rPr>
          <w:rFonts w:ascii="Times New Roman" w:hAnsi="Times New Roman"/>
          <w:sz w:val="24"/>
          <w:szCs w:val="24"/>
        </w:rPr>
        <w:t>pós a promulgação da Carta de 1</w:t>
      </w:r>
      <w:r w:rsidRPr="00F17014">
        <w:rPr>
          <w:rFonts w:ascii="Times New Roman" w:hAnsi="Times New Roman"/>
          <w:sz w:val="24"/>
          <w:szCs w:val="24"/>
        </w:rPr>
        <w:t>934</w:t>
      </w:r>
      <w:r>
        <w:rPr>
          <w:rFonts w:ascii="Times New Roman" w:hAnsi="Times New Roman"/>
          <w:sz w:val="24"/>
          <w:szCs w:val="24"/>
        </w:rPr>
        <w:t xml:space="preserve">. Vale lembrar que esta ampliou, de um lado, a competência legislativa da União (art. 5º, XIX) e o âmbito do Recurso Extraordinário (art. 76, III), ao mesmo tempo em que reduziu o número de ministros do Supremo Tribunal Federal de quinze para onze (art. 73); por outro lado, autorizou, por meio de proposta do próprio Supremo e mediante lei, a divisão da Corte em câmaras ou turmas, distribuindo-se entre elas os julgamentos dos feitos (art. 73, § 2º). </w:t>
      </w:r>
    </w:p>
    <w:p w:rsidR="00D549BC" w:rsidRDefault="00D549BC" w:rsidP="0075618F">
      <w:pPr>
        <w:spacing w:after="240"/>
        <w:contextualSpacing/>
        <w:rPr>
          <w:rFonts w:ascii="Times New Roman" w:hAnsi="Times New Roman"/>
          <w:sz w:val="24"/>
          <w:szCs w:val="24"/>
        </w:rPr>
      </w:pPr>
      <w:r>
        <w:rPr>
          <w:rFonts w:ascii="Times New Roman" w:hAnsi="Times New Roman"/>
          <w:sz w:val="24"/>
          <w:szCs w:val="24"/>
        </w:rPr>
        <w:t>O fracionamento da Corte Suprema adveio com o Decreto-lei 06, de 16 de novembro de 1937, o qual dispunha que os feitos de competência do STF seriam julgados por turmas de cinco juízes, respeitada a cláusula da reserva de plenário para a declaração de inconstitucionalidade de lei ou ato do Poder Público. Tal tendência assinalava que, com o crescimento dos feitos, não se poderia manter a unidade orgânica do Supremo, sendo, portanto, necessário dividi-lo em Turmas a fim de agilizar os julgamentos e, por consequência, obter maior escoamento de processos.</w:t>
      </w:r>
      <w:r>
        <w:rPr>
          <w:rStyle w:val="FootnoteReference"/>
          <w:rFonts w:ascii="Times New Roman" w:hAnsi="Times New Roman"/>
          <w:sz w:val="24"/>
          <w:szCs w:val="24"/>
        </w:rPr>
        <w:footnoteReference w:id="94"/>
      </w:r>
      <w:r>
        <w:rPr>
          <w:rFonts w:ascii="Times New Roman" w:hAnsi="Times New Roman"/>
          <w:sz w:val="24"/>
          <w:szCs w:val="24"/>
        </w:rPr>
        <w:t xml:space="preserve"> </w:t>
      </w:r>
    </w:p>
    <w:p w:rsidR="00D549BC" w:rsidRDefault="00D549BC" w:rsidP="000D71FC">
      <w:pPr>
        <w:spacing w:after="240"/>
        <w:contextualSpacing/>
        <w:rPr>
          <w:rFonts w:ascii="Times New Roman" w:hAnsi="Times New Roman"/>
          <w:sz w:val="24"/>
          <w:szCs w:val="24"/>
        </w:rPr>
      </w:pPr>
      <w:r>
        <w:rPr>
          <w:rFonts w:ascii="Times New Roman" w:hAnsi="Times New Roman"/>
          <w:sz w:val="24"/>
          <w:szCs w:val="24"/>
        </w:rPr>
        <w:t>Para melhor dimensionarmos a crise que se abateu sobre a Corte Suprema, principalmente a partir da década de 30, é necessário citarmos, mais uma vez, as estatísticas levantadas à época acerca da quantidade de Recursos Extraordinários que chegavam ao Supremo. Tais dados numéricos servirão, também, para corroborar o fato de que a divisão do STF em turmas de nada adiantou para solucionar o problema do excesso de demandas, melhor dizendo, de Recursos Extraordinários.</w:t>
      </w:r>
    </w:p>
    <w:p w:rsidR="00D549BC" w:rsidRDefault="00D549BC" w:rsidP="000D71FC">
      <w:pPr>
        <w:spacing w:after="240"/>
        <w:contextualSpacing/>
        <w:rPr>
          <w:rFonts w:ascii="Times New Roman" w:hAnsi="Times New Roman"/>
          <w:sz w:val="24"/>
          <w:szCs w:val="24"/>
        </w:rPr>
      </w:pPr>
      <w:r>
        <w:rPr>
          <w:rFonts w:ascii="Times New Roman" w:hAnsi="Times New Roman"/>
          <w:sz w:val="24"/>
          <w:szCs w:val="24"/>
        </w:rPr>
        <w:t>Apenas no quinquênio 1953/1957, foram julgados no Supremo Tribunal 13.001 Recursos Extraordinários, distribuídos na seguinte proporção: (i) em 1953, 2.574 REs; (ii) em 1954, 2.167 REs; (iii) em 1955, 2.508 REs; (iv) em 1956, 2.406 REs; por fim, (v) em 1957, 3.346.</w:t>
      </w:r>
      <w:r>
        <w:rPr>
          <w:rStyle w:val="FootnoteReference"/>
          <w:rFonts w:ascii="Times New Roman" w:hAnsi="Times New Roman"/>
          <w:sz w:val="24"/>
          <w:szCs w:val="24"/>
        </w:rPr>
        <w:footnoteReference w:id="95"/>
      </w:r>
    </w:p>
    <w:p w:rsidR="00D549BC" w:rsidRDefault="00D549BC" w:rsidP="00FE3E4F">
      <w:pPr>
        <w:spacing w:after="240"/>
        <w:contextualSpacing/>
        <w:rPr>
          <w:rFonts w:ascii="Times New Roman" w:hAnsi="Times New Roman"/>
          <w:sz w:val="24"/>
          <w:szCs w:val="24"/>
        </w:rPr>
      </w:pPr>
      <w:r>
        <w:rPr>
          <w:rFonts w:ascii="Times New Roman" w:hAnsi="Times New Roman"/>
          <w:sz w:val="24"/>
          <w:szCs w:val="24"/>
        </w:rPr>
        <w:t xml:space="preserve">Em 1955, por meio de Emenda Regimental, datada de 8 de junho, buscou-se, novamente, acelerar o trâmite dos Recursos Extraordinários, atribuindo-se competência ao Ministro Relator para negar seguimento, monocraticamente, nas hipóteses previstas no art. 190, § 3º do Regimento Interno de 1940, a saber: </w:t>
      </w:r>
      <w:r w:rsidRPr="00EE1D10">
        <w:rPr>
          <w:rFonts w:ascii="Times New Roman" w:hAnsi="Times New Roman"/>
          <w:i/>
          <w:sz w:val="24"/>
          <w:szCs w:val="24"/>
        </w:rPr>
        <w:t>a)</w:t>
      </w:r>
      <w:r w:rsidRPr="00EE1D10">
        <w:rPr>
          <w:rFonts w:ascii="Times New Roman" w:hAnsi="Times New Roman"/>
          <w:sz w:val="24"/>
          <w:szCs w:val="24"/>
        </w:rPr>
        <w:t xml:space="preserve"> quando visar </w:t>
      </w:r>
      <w:r>
        <w:rPr>
          <w:rFonts w:ascii="Times New Roman" w:hAnsi="Times New Roman"/>
          <w:sz w:val="24"/>
          <w:szCs w:val="24"/>
        </w:rPr>
        <w:t xml:space="preserve">à </w:t>
      </w:r>
      <w:r w:rsidRPr="00EE1D10">
        <w:rPr>
          <w:rFonts w:ascii="Times New Roman" w:hAnsi="Times New Roman"/>
          <w:sz w:val="24"/>
          <w:szCs w:val="24"/>
        </w:rPr>
        <w:t>mera reapreciação das</w:t>
      </w:r>
      <w:r>
        <w:rPr>
          <w:rFonts w:ascii="Times New Roman" w:hAnsi="Times New Roman"/>
          <w:sz w:val="24"/>
          <w:szCs w:val="24"/>
        </w:rPr>
        <w:t xml:space="preserve"> </w:t>
      </w:r>
      <w:r w:rsidRPr="00EE1D10">
        <w:rPr>
          <w:rFonts w:ascii="Times New Roman" w:hAnsi="Times New Roman"/>
          <w:sz w:val="24"/>
          <w:szCs w:val="24"/>
        </w:rPr>
        <w:t xml:space="preserve">provas; </w:t>
      </w:r>
      <w:r w:rsidRPr="00EE1D10">
        <w:rPr>
          <w:rFonts w:ascii="Times New Roman" w:hAnsi="Times New Roman"/>
          <w:i/>
          <w:sz w:val="24"/>
          <w:szCs w:val="24"/>
        </w:rPr>
        <w:t>b)</w:t>
      </w:r>
      <w:r w:rsidRPr="00EE1D10">
        <w:rPr>
          <w:rFonts w:ascii="Times New Roman" w:hAnsi="Times New Roman"/>
          <w:sz w:val="24"/>
          <w:szCs w:val="24"/>
        </w:rPr>
        <w:t xml:space="preserve"> quando o acórdão recorrido assentar em mais de um fundamento e o recurso</w:t>
      </w:r>
      <w:r>
        <w:rPr>
          <w:rFonts w:ascii="Times New Roman" w:hAnsi="Times New Roman"/>
          <w:sz w:val="24"/>
          <w:szCs w:val="24"/>
        </w:rPr>
        <w:t xml:space="preserve"> </w:t>
      </w:r>
      <w:r w:rsidRPr="00EE1D10">
        <w:rPr>
          <w:rFonts w:ascii="Times New Roman" w:hAnsi="Times New Roman"/>
          <w:sz w:val="24"/>
          <w:szCs w:val="24"/>
        </w:rPr>
        <w:t xml:space="preserve">extraordinário objetivar apenas um deles; </w:t>
      </w:r>
      <w:r w:rsidRPr="00EE1D10">
        <w:rPr>
          <w:rFonts w:ascii="Times New Roman" w:hAnsi="Times New Roman"/>
          <w:i/>
          <w:sz w:val="24"/>
          <w:szCs w:val="24"/>
        </w:rPr>
        <w:t>c)</w:t>
      </w:r>
      <w:r w:rsidRPr="00EE1D10">
        <w:rPr>
          <w:rFonts w:ascii="Times New Roman" w:hAnsi="Times New Roman"/>
          <w:sz w:val="24"/>
          <w:szCs w:val="24"/>
        </w:rPr>
        <w:t xml:space="preserve"> quando tiver havido erro grosseiro na sua</w:t>
      </w:r>
      <w:r>
        <w:rPr>
          <w:rFonts w:ascii="Times New Roman" w:hAnsi="Times New Roman"/>
          <w:sz w:val="24"/>
          <w:szCs w:val="24"/>
        </w:rPr>
        <w:t xml:space="preserve"> </w:t>
      </w:r>
      <w:r w:rsidRPr="00EE1D10">
        <w:rPr>
          <w:rFonts w:ascii="Times New Roman" w:hAnsi="Times New Roman"/>
          <w:sz w:val="24"/>
          <w:szCs w:val="24"/>
        </w:rPr>
        <w:t xml:space="preserve">interposição; </w:t>
      </w:r>
      <w:r w:rsidRPr="00EE1D10">
        <w:rPr>
          <w:rFonts w:ascii="Times New Roman" w:hAnsi="Times New Roman"/>
          <w:i/>
          <w:sz w:val="24"/>
          <w:szCs w:val="24"/>
        </w:rPr>
        <w:t>d)</w:t>
      </w:r>
      <w:r w:rsidRPr="00EE1D10">
        <w:rPr>
          <w:rFonts w:ascii="Times New Roman" w:hAnsi="Times New Roman"/>
          <w:sz w:val="24"/>
          <w:szCs w:val="24"/>
        </w:rPr>
        <w:t xml:space="preserve"> quando for manifesta a inexistência da alegada divergência</w:t>
      </w:r>
      <w:r>
        <w:rPr>
          <w:rFonts w:ascii="Times New Roman" w:hAnsi="Times New Roman"/>
          <w:sz w:val="24"/>
          <w:szCs w:val="24"/>
        </w:rPr>
        <w:t xml:space="preserve"> </w:t>
      </w:r>
      <w:r w:rsidRPr="00EE1D10">
        <w:rPr>
          <w:rFonts w:ascii="Times New Roman" w:hAnsi="Times New Roman"/>
          <w:sz w:val="24"/>
          <w:szCs w:val="24"/>
        </w:rPr>
        <w:t xml:space="preserve">jurisprudencial; </w:t>
      </w:r>
      <w:r w:rsidRPr="00EE1D10">
        <w:rPr>
          <w:rFonts w:ascii="Times New Roman" w:hAnsi="Times New Roman"/>
          <w:i/>
          <w:sz w:val="24"/>
          <w:szCs w:val="24"/>
        </w:rPr>
        <w:t>e)</w:t>
      </w:r>
      <w:r w:rsidRPr="00EE1D10">
        <w:rPr>
          <w:rFonts w:ascii="Times New Roman" w:hAnsi="Times New Roman"/>
          <w:sz w:val="24"/>
          <w:szCs w:val="24"/>
        </w:rPr>
        <w:t xml:space="preserve"> quando intempestivo</w:t>
      </w:r>
      <w:r>
        <w:rPr>
          <w:rFonts w:ascii="Times New Roman" w:hAnsi="Times New Roman"/>
          <w:sz w:val="24"/>
          <w:szCs w:val="24"/>
        </w:rPr>
        <w:t>. A decisão, no entanto, era passível de ser agravada.</w:t>
      </w:r>
      <w:r>
        <w:rPr>
          <w:rStyle w:val="FootnoteReference"/>
          <w:rFonts w:ascii="Times New Roman" w:hAnsi="Times New Roman"/>
          <w:sz w:val="24"/>
          <w:szCs w:val="24"/>
        </w:rPr>
        <w:footnoteReference w:id="96"/>
      </w:r>
      <w:r>
        <w:rPr>
          <w:rFonts w:ascii="Times New Roman" w:hAnsi="Times New Roman"/>
          <w:sz w:val="24"/>
          <w:szCs w:val="24"/>
        </w:rPr>
        <w:t xml:space="preserve"> </w:t>
      </w:r>
    </w:p>
    <w:p w:rsidR="00D549BC" w:rsidRDefault="00D549BC" w:rsidP="00FE3E4F">
      <w:pPr>
        <w:spacing w:after="240"/>
        <w:contextualSpacing/>
        <w:rPr>
          <w:rFonts w:ascii="Times New Roman" w:hAnsi="Times New Roman"/>
          <w:sz w:val="24"/>
          <w:szCs w:val="24"/>
        </w:rPr>
      </w:pPr>
      <w:r>
        <w:rPr>
          <w:rFonts w:ascii="Times New Roman" w:hAnsi="Times New Roman"/>
          <w:sz w:val="24"/>
          <w:szCs w:val="24"/>
        </w:rPr>
        <w:t xml:space="preserve">Abordaremos, adiante, as principais alternativas oriundas do Congresso Nacional e que foram concretizadas a fim de amenizar a crise de funcionalidade enfrentada pela Suprema Corte brasileira. </w:t>
      </w:r>
    </w:p>
    <w:p w:rsidR="00D549BC" w:rsidRPr="002A5BA8" w:rsidRDefault="00D549BC" w:rsidP="00D63267">
      <w:pPr>
        <w:spacing w:after="240"/>
        <w:ind w:firstLine="0"/>
        <w:contextualSpacing/>
        <w:rPr>
          <w:rFonts w:ascii="Times New Roman" w:hAnsi="Times New Roman"/>
          <w:b/>
          <w:sz w:val="24"/>
          <w:szCs w:val="24"/>
        </w:rPr>
      </w:pPr>
      <w:r w:rsidRPr="002A5BA8">
        <w:rPr>
          <w:rFonts w:ascii="Times New Roman" w:hAnsi="Times New Roman"/>
          <w:b/>
          <w:sz w:val="24"/>
          <w:szCs w:val="24"/>
        </w:rPr>
        <w:t xml:space="preserve">3.1.2 As medidas legislativas </w:t>
      </w:r>
    </w:p>
    <w:p w:rsidR="00D549BC" w:rsidRDefault="00D549BC" w:rsidP="00D63267">
      <w:pPr>
        <w:spacing w:after="240"/>
        <w:ind w:firstLine="0"/>
        <w:contextualSpacing/>
        <w:rPr>
          <w:rFonts w:ascii="Times New Roman" w:hAnsi="Times New Roman"/>
          <w:b/>
          <w:sz w:val="24"/>
          <w:szCs w:val="24"/>
        </w:rPr>
      </w:pPr>
    </w:p>
    <w:p w:rsidR="00D549BC" w:rsidRPr="00D63267" w:rsidRDefault="00D549BC" w:rsidP="00D63267">
      <w:pPr>
        <w:spacing w:after="240"/>
        <w:ind w:firstLine="0"/>
        <w:contextualSpacing/>
        <w:rPr>
          <w:rFonts w:ascii="Times New Roman" w:hAnsi="Times New Roman"/>
          <w:b/>
          <w:sz w:val="24"/>
          <w:szCs w:val="24"/>
        </w:rPr>
      </w:pPr>
      <w:r>
        <w:rPr>
          <w:rFonts w:ascii="Times New Roman" w:hAnsi="Times New Roman"/>
          <w:sz w:val="24"/>
          <w:szCs w:val="24"/>
        </w:rPr>
        <w:t>3.1.2.1 A Lei Federal 3.396, de 2 de junho de 1958</w:t>
      </w:r>
    </w:p>
    <w:p w:rsidR="00D549BC" w:rsidRDefault="00D549BC" w:rsidP="00F17014">
      <w:pPr>
        <w:spacing w:after="240"/>
        <w:ind w:firstLine="851"/>
        <w:contextualSpacing/>
        <w:rPr>
          <w:rFonts w:ascii="Times New Roman" w:hAnsi="Times New Roman"/>
          <w:sz w:val="24"/>
          <w:szCs w:val="24"/>
        </w:rPr>
      </w:pPr>
    </w:p>
    <w:p w:rsidR="00D549BC" w:rsidRDefault="00D549BC" w:rsidP="00512F79">
      <w:pPr>
        <w:spacing w:after="240"/>
        <w:contextualSpacing/>
        <w:rPr>
          <w:rFonts w:ascii="Times New Roman" w:hAnsi="Times New Roman"/>
          <w:sz w:val="24"/>
          <w:szCs w:val="24"/>
        </w:rPr>
      </w:pPr>
      <w:r>
        <w:rPr>
          <w:rFonts w:ascii="Times New Roman" w:hAnsi="Times New Roman"/>
          <w:sz w:val="24"/>
          <w:szCs w:val="24"/>
        </w:rPr>
        <w:t>Para enfrentar essa crise, diversas medidas sucessivas foram tomadas. A primeira delas se deu por meio da Lei nº 3.396, de 2 de junho de1958, que procurou aliviar a carga de trabalho da Suprema Corte. Para tanto, foram modificados os artigos 864 e 865 do Código de Processo Civil de 1939, atribuindo poderes aos Presidentes dos Tribunais de origem para que realizassem o exame prévio acerca da admissibilidade do Recurso Extraordinário. Tal mudança também determinou que o despacho de admissão ou denegação do recurso fosse motivado.</w:t>
      </w:r>
      <w:r>
        <w:rPr>
          <w:rStyle w:val="FootnoteReference"/>
          <w:rFonts w:ascii="Times New Roman" w:hAnsi="Times New Roman"/>
          <w:sz w:val="24"/>
          <w:szCs w:val="24"/>
        </w:rPr>
        <w:footnoteReference w:id="97"/>
      </w:r>
      <w:r>
        <w:rPr>
          <w:rFonts w:ascii="Times New Roman" w:hAnsi="Times New Roman"/>
          <w:sz w:val="24"/>
          <w:szCs w:val="24"/>
        </w:rPr>
        <w:t xml:space="preserve"> </w:t>
      </w:r>
    </w:p>
    <w:p w:rsidR="00D549BC" w:rsidRDefault="00D549BC" w:rsidP="00512F79">
      <w:pPr>
        <w:spacing w:after="240"/>
        <w:contextualSpacing/>
        <w:rPr>
          <w:rFonts w:ascii="Times New Roman" w:hAnsi="Times New Roman"/>
          <w:sz w:val="24"/>
          <w:szCs w:val="24"/>
        </w:rPr>
      </w:pPr>
      <w:r>
        <w:rPr>
          <w:rFonts w:ascii="Times New Roman" w:hAnsi="Times New Roman"/>
          <w:sz w:val="24"/>
          <w:szCs w:val="24"/>
        </w:rPr>
        <w:t>Estabeleceu-se, doravante,</w:t>
      </w:r>
      <w:r w:rsidRPr="00C51768">
        <w:rPr>
          <w:rFonts w:ascii="Times New Roman" w:hAnsi="Times New Roman"/>
          <w:sz w:val="24"/>
          <w:szCs w:val="24"/>
        </w:rPr>
        <w:t xml:space="preserve"> um </w:t>
      </w:r>
      <w:r>
        <w:rPr>
          <w:rFonts w:ascii="Times New Roman" w:hAnsi="Times New Roman"/>
          <w:sz w:val="24"/>
          <w:szCs w:val="24"/>
        </w:rPr>
        <w:t>juízo de admissibilidade duplo,</w:t>
      </w:r>
      <w:r w:rsidRPr="00C51768">
        <w:rPr>
          <w:rFonts w:ascii="Times New Roman" w:hAnsi="Times New Roman"/>
          <w:sz w:val="24"/>
          <w:szCs w:val="24"/>
        </w:rPr>
        <w:t xml:space="preserve"> aplicável até os di</w:t>
      </w:r>
      <w:r>
        <w:rPr>
          <w:rFonts w:ascii="Times New Roman" w:hAnsi="Times New Roman"/>
          <w:sz w:val="24"/>
          <w:szCs w:val="24"/>
        </w:rPr>
        <w:t>as atuais.</w:t>
      </w:r>
      <w:r>
        <w:rPr>
          <w:rStyle w:val="FootnoteReference"/>
          <w:rFonts w:ascii="Times New Roman" w:hAnsi="Times New Roman"/>
          <w:sz w:val="24"/>
          <w:szCs w:val="24"/>
        </w:rPr>
        <w:footnoteReference w:id="98"/>
      </w:r>
      <w:r>
        <w:rPr>
          <w:rFonts w:ascii="Times New Roman" w:hAnsi="Times New Roman"/>
          <w:sz w:val="24"/>
          <w:szCs w:val="24"/>
        </w:rPr>
        <w:t xml:space="preserve"> </w:t>
      </w:r>
      <w:r w:rsidRPr="00C51768">
        <w:rPr>
          <w:rFonts w:ascii="Times New Roman" w:hAnsi="Times New Roman"/>
          <w:sz w:val="24"/>
          <w:szCs w:val="24"/>
        </w:rPr>
        <w:t>Tal solução não foi completamente inócua, mas novamente não surtiu –</w:t>
      </w:r>
      <w:r>
        <w:rPr>
          <w:rFonts w:ascii="Times New Roman" w:hAnsi="Times New Roman"/>
          <w:sz w:val="24"/>
          <w:szCs w:val="24"/>
        </w:rPr>
        <w:t xml:space="preserve"> </w:t>
      </w:r>
      <w:r w:rsidRPr="00C51768">
        <w:rPr>
          <w:rFonts w:ascii="Times New Roman" w:hAnsi="Times New Roman"/>
          <w:sz w:val="24"/>
          <w:szCs w:val="24"/>
        </w:rPr>
        <w:t xml:space="preserve">e ainda não </w:t>
      </w:r>
      <w:r>
        <w:rPr>
          <w:rFonts w:ascii="Times New Roman" w:hAnsi="Times New Roman"/>
          <w:sz w:val="24"/>
          <w:szCs w:val="24"/>
        </w:rPr>
        <w:t>surte</w:t>
      </w:r>
      <w:r w:rsidRPr="00C51768">
        <w:rPr>
          <w:rFonts w:ascii="Times New Roman" w:hAnsi="Times New Roman"/>
          <w:sz w:val="24"/>
          <w:szCs w:val="24"/>
        </w:rPr>
        <w:t xml:space="preserve"> – o efeito desejado. Houve, na verdade, a mera substituição de</w:t>
      </w:r>
      <w:r>
        <w:rPr>
          <w:rFonts w:ascii="Times New Roman" w:hAnsi="Times New Roman"/>
          <w:sz w:val="24"/>
          <w:szCs w:val="24"/>
        </w:rPr>
        <w:t xml:space="preserve"> </w:t>
      </w:r>
      <w:r w:rsidRPr="00C51768">
        <w:rPr>
          <w:rFonts w:ascii="Times New Roman" w:hAnsi="Times New Roman"/>
          <w:sz w:val="24"/>
          <w:szCs w:val="24"/>
        </w:rPr>
        <w:t xml:space="preserve">julgamento dos </w:t>
      </w:r>
      <w:r>
        <w:rPr>
          <w:rFonts w:ascii="Times New Roman" w:hAnsi="Times New Roman"/>
          <w:sz w:val="24"/>
          <w:szCs w:val="24"/>
        </w:rPr>
        <w:t>R</w:t>
      </w:r>
      <w:r w:rsidRPr="00C51768">
        <w:rPr>
          <w:rFonts w:ascii="Times New Roman" w:hAnsi="Times New Roman"/>
          <w:sz w:val="24"/>
          <w:szCs w:val="24"/>
        </w:rPr>
        <w:t xml:space="preserve">ecursos </w:t>
      </w:r>
      <w:r>
        <w:rPr>
          <w:rFonts w:ascii="Times New Roman" w:hAnsi="Times New Roman"/>
          <w:sz w:val="24"/>
          <w:szCs w:val="24"/>
        </w:rPr>
        <w:t>E</w:t>
      </w:r>
      <w:r w:rsidRPr="00C51768">
        <w:rPr>
          <w:rFonts w:ascii="Times New Roman" w:hAnsi="Times New Roman"/>
          <w:sz w:val="24"/>
          <w:szCs w:val="24"/>
        </w:rPr>
        <w:t xml:space="preserve">xtraordinários pelo de </w:t>
      </w:r>
      <w:r>
        <w:rPr>
          <w:rFonts w:ascii="Times New Roman" w:hAnsi="Times New Roman"/>
          <w:sz w:val="24"/>
          <w:szCs w:val="24"/>
        </w:rPr>
        <w:t>A</w:t>
      </w:r>
      <w:r w:rsidRPr="00C51768">
        <w:rPr>
          <w:rFonts w:ascii="Times New Roman" w:hAnsi="Times New Roman"/>
          <w:sz w:val="24"/>
          <w:szCs w:val="24"/>
        </w:rPr>
        <w:t xml:space="preserve">gravos de </w:t>
      </w:r>
      <w:r>
        <w:rPr>
          <w:rFonts w:ascii="Times New Roman" w:hAnsi="Times New Roman"/>
          <w:sz w:val="24"/>
          <w:szCs w:val="24"/>
        </w:rPr>
        <w:t>I</w:t>
      </w:r>
      <w:r w:rsidRPr="00C51768">
        <w:rPr>
          <w:rFonts w:ascii="Times New Roman" w:hAnsi="Times New Roman"/>
          <w:sz w:val="24"/>
          <w:szCs w:val="24"/>
        </w:rPr>
        <w:t>nstrumento. Ou seja, o</w:t>
      </w:r>
      <w:r>
        <w:rPr>
          <w:rFonts w:ascii="Times New Roman" w:hAnsi="Times New Roman"/>
          <w:sz w:val="24"/>
          <w:szCs w:val="24"/>
        </w:rPr>
        <w:t xml:space="preserve"> </w:t>
      </w:r>
      <w:r w:rsidRPr="00C51768">
        <w:rPr>
          <w:rFonts w:ascii="Times New Roman" w:hAnsi="Times New Roman"/>
          <w:sz w:val="24"/>
          <w:szCs w:val="24"/>
        </w:rPr>
        <w:t>número de recursos não diminuiu, como esperado.</w:t>
      </w:r>
      <w:r>
        <w:rPr>
          <w:rFonts w:ascii="Times New Roman" w:hAnsi="Times New Roman"/>
          <w:sz w:val="24"/>
          <w:szCs w:val="24"/>
        </w:rPr>
        <w:t xml:space="preserve"> </w:t>
      </w:r>
    </w:p>
    <w:p w:rsidR="00D549BC" w:rsidRDefault="00D549BC" w:rsidP="00607B5C">
      <w:pPr>
        <w:spacing w:after="240"/>
        <w:ind w:firstLine="0"/>
        <w:contextualSpacing/>
        <w:rPr>
          <w:rFonts w:ascii="Times New Roman" w:hAnsi="Times New Roman"/>
          <w:sz w:val="24"/>
          <w:szCs w:val="24"/>
        </w:rPr>
      </w:pPr>
    </w:p>
    <w:p w:rsidR="00D549BC" w:rsidRDefault="00D549BC" w:rsidP="00607B5C">
      <w:pPr>
        <w:spacing w:after="240"/>
        <w:ind w:firstLine="0"/>
        <w:contextualSpacing/>
        <w:rPr>
          <w:rFonts w:ascii="Times New Roman" w:hAnsi="Times New Roman"/>
          <w:sz w:val="24"/>
          <w:szCs w:val="24"/>
        </w:rPr>
      </w:pPr>
    </w:p>
    <w:p w:rsidR="00D549BC" w:rsidRDefault="00D549BC" w:rsidP="00607B5C">
      <w:pPr>
        <w:spacing w:after="240"/>
        <w:ind w:firstLine="0"/>
        <w:contextualSpacing/>
        <w:rPr>
          <w:rFonts w:ascii="Times New Roman" w:hAnsi="Times New Roman"/>
          <w:sz w:val="24"/>
          <w:szCs w:val="24"/>
        </w:rPr>
      </w:pPr>
    </w:p>
    <w:p w:rsidR="00D549BC" w:rsidRDefault="00D549BC" w:rsidP="00607B5C">
      <w:pPr>
        <w:spacing w:after="240"/>
        <w:ind w:firstLine="0"/>
        <w:contextualSpacing/>
        <w:rPr>
          <w:rFonts w:ascii="Times New Roman" w:hAnsi="Times New Roman"/>
          <w:sz w:val="24"/>
          <w:szCs w:val="24"/>
        </w:rPr>
      </w:pPr>
    </w:p>
    <w:p w:rsidR="00D549BC" w:rsidRDefault="00D549BC" w:rsidP="00607B5C">
      <w:pPr>
        <w:spacing w:after="240"/>
        <w:ind w:firstLine="0"/>
        <w:contextualSpacing/>
        <w:rPr>
          <w:rFonts w:ascii="Times New Roman" w:hAnsi="Times New Roman"/>
          <w:sz w:val="24"/>
          <w:szCs w:val="24"/>
        </w:rPr>
      </w:pPr>
      <w:r>
        <w:rPr>
          <w:rFonts w:ascii="Times New Roman" w:hAnsi="Times New Roman"/>
          <w:sz w:val="24"/>
          <w:szCs w:val="24"/>
        </w:rPr>
        <w:t>3.1.2.2 A Súmula de Jurisprudência Predominante</w:t>
      </w:r>
    </w:p>
    <w:p w:rsidR="00D549BC" w:rsidRDefault="00D549BC" w:rsidP="00607B5C">
      <w:pPr>
        <w:spacing w:after="240"/>
        <w:ind w:firstLine="0"/>
        <w:contextualSpacing/>
        <w:rPr>
          <w:rFonts w:ascii="Times New Roman" w:hAnsi="Times New Roman"/>
          <w:sz w:val="24"/>
          <w:szCs w:val="24"/>
        </w:rPr>
      </w:pPr>
    </w:p>
    <w:p w:rsidR="00D549BC" w:rsidRDefault="00D549BC" w:rsidP="00C47B18">
      <w:pPr>
        <w:spacing w:after="240"/>
        <w:contextualSpacing/>
        <w:rPr>
          <w:rFonts w:ascii="Times New Roman" w:hAnsi="Times New Roman"/>
          <w:sz w:val="24"/>
          <w:szCs w:val="24"/>
        </w:rPr>
      </w:pPr>
      <w:r>
        <w:rPr>
          <w:rFonts w:ascii="Times New Roman" w:hAnsi="Times New Roman"/>
          <w:sz w:val="24"/>
          <w:szCs w:val="24"/>
        </w:rPr>
        <w:t xml:space="preserve">A segunda medida, ainda que não tenha vindo pela via legislativa, deve ser ressaltada, pois representou também a busca pela racionalização dos trabalhos na Suprema Corte brasileira. Estamos falando da criação, em 28 de agosto de 1963, da Súmula de Jurisprudência Predominante, a qual se deu por meio de Emenda Regimental do STF. </w:t>
      </w:r>
    </w:p>
    <w:p w:rsidR="00D549BC" w:rsidRDefault="00D549BC" w:rsidP="00C47B18">
      <w:pPr>
        <w:spacing w:after="240"/>
        <w:contextualSpacing/>
        <w:rPr>
          <w:rFonts w:ascii="Times New Roman" w:hAnsi="Times New Roman"/>
          <w:sz w:val="24"/>
          <w:szCs w:val="24"/>
        </w:rPr>
      </w:pPr>
      <w:r>
        <w:rPr>
          <w:rFonts w:ascii="Times New Roman" w:hAnsi="Times New Roman"/>
          <w:sz w:val="24"/>
          <w:szCs w:val="24"/>
        </w:rPr>
        <w:t xml:space="preserve"> Todavia, a</w:t>
      </w:r>
      <w:r w:rsidRPr="00953471">
        <w:rPr>
          <w:rFonts w:ascii="Times New Roman" w:hAnsi="Times New Roman"/>
          <w:sz w:val="24"/>
          <w:szCs w:val="24"/>
        </w:rPr>
        <w:t>s estatísticas</w:t>
      </w:r>
      <w:r>
        <w:rPr>
          <w:rStyle w:val="FootnoteReference"/>
          <w:rFonts w:ascii="Times New Roman" w:hAnsi="Times New Roman"/>
          <w:sz w:val="24"/>
          <w:szCs w:val="24"/>
        </w:rPr>
        <w:footnoteReference w:id="99"/>
      </w:r>
      <w:r>
        <w:rPr>
          <w:rFonts w:ascii="Times New Roman" w:hAnsi="Times New Roman"/>
          <w:sz w:val="24"/>
          <w:szCs w:val="24"/>
        </w:rPr>
        <w:t xml:space="preserve"> evidenciam</w:t>
      </w:r>
      <w:r w:rsidRPr="00953471">
        <w:rPr>
          <w:rFonts w:ascii="Times New Roman" w:hAnsi="Times New Roman"/>
          <w:sz w:val="24"/>
          <w:szCs w:val="24"/>
        </w:rPr>
        <w:t xml:space="preserve"> que o efeito prático dessa medida </w:t>
      </w:r>
      <w:r>
        <w:rPr>
          <w:rFonts w:ascii="Times New Roman" w:hAnsi="Times New Roman"/>
          <w:sz w:val="24"/>
          <w:szCs w:val="24"/>
        </w:rPr>
        <w:t>foi igualmente reduzido, não obstante as</w:t>
      </w:r>
      <w:r w:rsidRPr="00953471">
        <w:rPr>
          <w:rFonts w:ascii="Times New Roman" w:hAnsi="Times New Roman"/>
          <w:sz w:val="24"/>
          <w:szCs w:val="24"/>
        </w:rPr>
        <w:t xml:space="preserve"> </w:t>
      </w:r>
      <w:r>
        <w:rPr>
          <w:rFonts w:ascii="Times New Roman" w:hAnsi="Times New Roman"/>
          <w:sz w:val="24"/>
          <w:szCs w:val="24"/>
        </w:rPr>
        <w:t>i</w:t>
      </w:r>
      <w:r w:rsidRPr="00953471">
        <w:rPr>
          <w:rFonts w:ascii="Times New Roman" w:hAnsi="Times New Roman"/>
          <w:sz w:val="24"/>
          <w:szCs w:val="24"/>
        </w:rPr>
        <w:t>númer</w:t>
      </w:r>
      <w:r>
        <w:rPr>
          <w:rFonts w:ascii="Times New Roman" w:hAnsi="Times New Roman"/>
          <w:sz w:val="24"/>
          <w:szCs w:val="24"/>
        </w:rPr>
        <w:t>as decisões do Supremo estarem</w:t>
      </w:r>
      <w:r w:rsidRPr="00953471">
        <w:rPr>
          <w:rFonts w:ascii="Times New Roman" w:hAnsi="Times New Roman"/>
          <w:sz w:val="24"/>
          <w:szCs w:val="24"/>
        </w:rPr>
        <w:t xml:space="preserve"> fundamentadas,</w:t>
      </w:r>
      <w:r>
        <w:rPr>
          <w:rFonts w:ascii="Times New Roman" w:hAnsi="Times New Roman"/>
          <w:sz w:val="24"/>
          <w:szCs w:val="24"/>
        </w:rPr>
        <w:t xml:space="preserve"> </w:t>
      </w:r>
      <w:r w:rsidRPr="00953471">
        <w:rPr>
          <w:rFonts w:ascii="Times New Roman" w:hAnsi="Times New Roman"/>
          <w:sz w:val="24"/>
          <w:szCs w:val="24"/>
        </w:rPr>
        <w:t>basicamente, na aplicação das proposições veiculadas em súmula. Na prática, a sua</w:t>
      </w:r>
      <w:r>
        <w:rPr>
          <w:rFonts w:ascii="Times New Roman" w:hAnsi="Times New Roman"/>
          <w:sz w:val="24"/>
          <w:szCs w:val="24"/>
        </w:rPr>
        <w:t xml:space="preserve"> </w:t>
      </w:r>
      <w:r w:rsidRPr="00953471">
        <w:rPr>
          <w:rFonts w:ascii="Times New Roman" w:hAnsi="Times New Roman"/>
          <w:sz w:val="24"/>
          <w:szCs w:val="24"/>
        </w:rPr>
        <w:t>criação possibilitou uma sobrevida à Corte, poupando maiores trabalhos aos seus</w:t>
      </w:r>
      <w:r>
        <w:rPr>
          <w:rFonts w:ascii="Times New Roman" w:hAnsi="Times New Roman"/>
          <w:sz w:val="24"/>
          <w:szCs w:val="24"/>
        </w:rPr>
        <w:t xml:space="preserve"> Ministros,</w:t>
      </w:r>
      <w:r w:rsidRPr="00953471">
        <w:rPr>
          <w:rFonts w:ascii="Times New Roman" w:hAnsi="Times New Roman"/>
          <w:sz w:val="24"/>
          <w:szCs w:val="24"/>
        </w:rPr>
        <w:t xml:space="preserve"> que fica</w:t>
      </w:r>
      <w:r>
        <w:rPr>
          <w:rFonts w:ascii="Times New Roman" w:hAnsi="Times New Roman"/>
          <w:sz w:val="24"/>
          <w:szCs w:val="24"/>
        </w:rPr>
        <w:t>va</w:t>
      </w:r>
      <w:r w:rsidRPr="00953471">
        <w:rPr>
          <w:rFonts w:ascii="Times New Roman" w:hAnsi="Times New Roman"/>
          <w:sz w:val="24"/>
          <w:szCs w:val="24"/>
        </w:rPr>
        <w:t>m dispensados de fundamentar de modo mais extenso os votos, a partir</w:t>
      </w:r>
      <w:r>
        <w:rPr>
          <w:rFonts w:ascii="Times New Roman" w:hAnsi="Times New Roman"/>
          <w:sz w:val="24"/>
          <w:szCs w:val="24"/>
        </w:rPr>
        <w:t xml:space="preserve"> </w:t>
      </w:r>
      <w:r w:rsidRPr="00953471">
        <w:rPr>
          <w:rFonts w:ascii="Times New Roman" w:hAnsi="Times New Roman"/>
          <w:sz w:val="24"/>
          <w:szCs w:val="24"/>
        </w:rPr>
        <w:t>da transcrição do enunciado dessas súmulas</w:t>
      </w:r>
      <w:r>
        <w:rPr>
          <w:rFonts w:ascii="Times New Roman" w:hAnsi="Times New Roman"/>
          <w:sz w:val="24"/>
          <w:szCs w:val="24"/>
        </w:rPr>
        <w:t xml:space="preserve">. </w:t>
      </w:r>
    </w:p>
    <w:p w:rsidR="00D549BC" w:rsidRDefault="00D549BC" w:rsidP="00953471">
      <w:pPr>
        <w:spacing w:after="240"/>
        <w:contextualSpacing/>
        <w:rPr>
          <w:rFonts w:ascii="Times New Roman" w:hAnsi="Times New Roman"/>
          <w:sz w:val="24"/>
          <w:szCs w:val="24"/>
        </w:rPr>
      </w:pPr>
    </w:p>
    <w:p w:rsidR="00D549BC" w:rsidRDefault="00D549BC" w:rsidP="00607B5C">
      <w:pPr>
        <w:spacing w:after="240"/>
        <w:ind w:firstLine="0"/>
        <w:contextualSpacing/>
        <w:rPr>
          <w:rFonts w:ascii="Times New Roman" w:hAnsi="Times New Roman"/>
          <w:sz w:val="24"/>
          <w:szCs w:val="24"/>
        </w:rPr>
      </w:pPr>
      <w:r>
        <w:rPr>
          <w:rFonts w:ascii="Times New Roman" w:hAnsi="Times New Roman"/>
          <w:sz w:val="24"/>
          <w:szCs w:val="24"/>
        </w:rPr>
        <w:t>3.1.2.3 A Emenda Constitucional nº 16, de 26 de novembro de 1965</w:t>
      </w:r>
    </w:p>
    <w:p w:rsidR="00D549BC" w:rsidRDefault="00D549BC" w:rsidP="00607B5C">
      <w:pPr>
        <w:spacing w:after="240"/>
        <w:ind w:firstLine="0"/>
        <w:contextualSpacing/>
        <w:rPr>
          <w:rFonts w:ascii="Times New Roman" w:hAnsi="Times New Roman"/>
          <w:sz w:val="24"/>
          <w:szCs w:val="24"/>
        </w:rPr>
      </w:pPr>
    </w:p>
    <w:p w:rsidR="00D549BC" w:rsidRDefault="00D549BC" w:rsidP="00C47B18">
      <w:pPr>
        <w:spacing w:after="240"/>
        <w:contextualSpacing/>
        <w:rPr>
          <w:rFonts w:ascii="Times New Roman" w:hAnsi="Times New Roman"/>
          <w:sz w:val="24"/>
          <w:szCs w:val="24"/>
        </w:rPr>
      </w:pPr>
      <w:r w:rsidRPr="00554328">
        <w:rPr>
          <w:rFonts w:ascii="Times New Roman" w:hAnsi="Times New Roman"/>
          <w:sz w:val="24"/>
          <w:szCs w:val="24"/>
        </w:rPr>
        <w:t xml:space="preserve">Em seguida, </w:t>
      </w:r>
      <w:r>
        <w:rPr>
          <w:rFonts w:ascii="Times New Roman" w:hAnsi="Times New Roman"/>
          <w:sz w:val="24"/>
          <w:szCs w:val="24"/>
        </w:rPr>
        <w:t>houve o advento</w:t>
      </w:r>
      <w:r w:rsidRPr="00554328">
        <w:rPr>
          <w:rFonts w:ascii="Times New Roman" w:hAnsi="Times New Roman"/>
          <w:sz w:val="24"/>
          <w:szCs w:val="24"/>
        </w:rPr>
        <w:t xml:space="preserve"> da Em</w:t>
      </w:r>
      <w:r>
        <w:rPr>
          <w:rFonts w:ascii="Times New Roman" w:hAnsi="Times New Roman"/>
          <w:sz w:val="24"/>
          <w:szCs w:val="24"/>
        </w:rPr>
        <w:t>enda Constitucional nº 16 de 1</w:t>
      </w:r>
      <w:r w:rsidRPr="00554328">
        <w:rPr>
          <w:rFonts w:ascii="Times New Roman" w:hAnsi="Times New Roman"/>
          <w:sz w:val="24"/>
          <w:szCs w:val="24"/>
        </w:rPr>
        <w:t>965,</w:t>
      </w:r>
      <w:r>
        <w:rPr>
          <w:rFonts w:ascii="Times New Roman" w:hAnsi="Times New Roman"/>
          <w:sz w:val="24"/>
          <w:szCs w:val="24"/>
        </w:rPr>
        <w:t xml:space="preserve"> a qual também</w:t>
      </w:r>
      <w:r w:rsidRPr="00554328">
        <w:rPr>
          <w:rFonts w:ascii="Times New Roman" w:hAnsi="Times New Roman"/>
          <w:sz w:val="24"/>
          <w:szCs w:val="24"/>
        </w:rPr>
        <w:t xml:space="preserve"> representou </w:t>
      </w:r>
      <w:r>
        <w:rPr>
          <w:rFonts w:ascii="Times New Roman" w:hAnsi="Times New Roman"/>
          <w:sz w:val="24"/>
          <w:szCs w:val="24"/>
        </w:rPr>
        <w:t xml:space="preserve">uma </w:t>
      </w:r>
      <w:r w:rsidRPr="00554328">
        <w:rPr>
          <w:rFonts w:ascii="Times New Roman" w:hAnsi="Times New Roman"/>
          <w:sz w:val="24"/>
          <w:szCs w:val="24"/>
        </w:rPr>
        <w:t>nova tentativa de ali</w:t>
      </w:r>
      <w:r>
        <w:rPr>
          <w:rFonts w:ascii="Times New Roman" w:hAnsi="Times New Roman"/>
          <w:sz w:val="24"/>
          <w:szCs w:val="24"/>
        </w:rPr>
        <w:t>viar a sobrecarga de processos n</w:t>
      </w:r>
      <w:r w:rsidRPr="00554328">
        <w:rPr>
          <w:rFonts w:ascii="Times New Roman" w:hAnsi="Times New Roman"/>
          <w:sz w:val="24"/>
          <w:szCs w:val="24"/>
        </w:rPr>
        <w:t>o Supremo</w:t>
      </w:r>
      <w:r>
        <w:rPr>
          <w:rFonts w:ascii="Times New Roman" w:hAnsi="Times New Roman"/>
          <w:sz w:val="24"/>
          <w:szCs w:val="24"/>
        </w:rPr>
        <w:t xml:space="preserve"> Tribunal Federal, em decorrência, principalmente, do grande número de Recursos Extraordinários. Para tanto, outorgou-se à Corte</w:t>
      </w:r>
      <w:r w:rsidRPr="00554328">
        <w:rPr>
          <w:rFonts w:ascii="Times New Roman" w:hAnsi="Times New Roman"/>
          <w:sz w:val="24"/>
          <w:szCs w:val="24"/>
        </w:rPr>
        <w:t>, a partir daí, a competência para julgar, originariamente, a</w:t>
      </w:r>
      <w:r>
        <w:rPr>
          <w:rFonts w:ascii="Times New Roman" w:hAnsi="Times New Roman"/>
          <w:sz w:val="24"/>
          <w:szCs w:val="24"/>
        </w:rPr>
        <w:t xml:space="preserve"> </w:t>
      </w:r>
      <w:r w:rsidRPr="00554328">
        <w:rPr>
          <w:rFonts w:ascii="Times New Roman" w:hAnsi="Times New Roman"/>
          <w:sz w:val="24"/>
          <w:szCs w:val="24"/>
        </w:rPr>
        <w:t>representação de inconstitucionalidade contra atos normativos em tese (federais e</w:t>
      </w:r>
      <w:r>
        <w:rPr>
          <w:rFonts w:ascii="Times New Roman" w:hAnsi="Times New Roman"/>
          <w:sz w:val="24"/>
          <w:szCs w:val="24"/>
        </w:rPr>
        <w:t xml:space="preserve"> </w:t>
      </w:r>
      <w:r w:rsidRPr="00554328">
        <w:rPr>
          <w:rFonts w:ascii="Times New Roman" w:hAnsi="Times New Roman"/>
          <w:sz w:val="24"/>
          <w:szCs w:val="24"/>
        </w:rPr>
        <w:t>estaduais).</w:t>
      </w:r>
      <w:r>
        <w:rPr>
          <w:rFonts w:ascii="Times New Roman" w:hAnsi="Times New Roman"/>
          <w:sz w:val="24"/>
          <w:szCs w:val="24"/>
        </w:rPr>
        <w:t xml:space="preserve"> Acreditou-se, assim, </w:t>
      </w:r>
      <w:r w:rsidRPr="002A0D3F">
        <w:rPr>
          <w:rFonts w:ascii="Times New Roman" w:hAnsi="Times New Roman"/>
          <w:sz w:val="24"/>
          <w:szCs w:val="24"/>
        </w:rPr>
        <w:t>que esses julgamentos</w:t>
      </w:r>
      <w:r>
        <w:rPr>
          <w:rFonts w:ascii="Times New Roman" w:hAnsi="Times New Roman"/>
          <w:sz w:val="24"/>
          <w:szCs w:val="24"/>
        </w:rPr>
        <w:t>, em controle concentrado de constitucionalidade,</w:t>
      </w:r>
      <w:r w:rsidRPr="002A0D3F">
        <w:rPr>
          <w:rFonts w:ascii="Times New Roman" w:hAnsi="Times New Roman"/>
          <w:sz w:val="24"/>
          <w:szCs w:val="24"/>
        </w:rPr>
        <w:t xml:space="preserve"> pudessem reduzir a quantidade de</w:t>
      </w:r>
      <w:r>
        <w:rPr>
          <w:rFonts w:ascii="Times New Roman" w:hAnsi="Times New Roman"/>
          <w:sz w:val="24"/>
          <w:szCs w:val="24"/>
        </w:rPr>
        <w:t xml:space="preserve"> </w:t>
      </w:r>
      <w:r w:rsidRPr="002A0D3F">
        <w:rPr>
          <w:rFonts w:ascii="Times New Roman" w:hAnsi="Times New Roman"/>
          <w:sz w:val="24"/>
          <w:szCs w:val="24"/>
        </w:rPr>
        <w:t>recursos que chegava a</w:t>
      </w:r>
      <w:r>
        <w:rPr>
          <w:rFonts w:ascii="Times New Roman" w:hAnsi="Times New Roman"/>
          <w:sz w:val="24"/>
          <w:szCs w:val="24"/>
        </w:rPr>
        <w:t>o</w:t>
      </w:r>
      <w:r w:rsidRPr="002A0D3F">
        <w:rPr>
          <w:rFonts w:ascii="Times New Roman" w:hAnsi="Times New Roman"/>
          <w:sz w:val="24"/>
          <w:szCs w:val="24"/>
        </w:rPr>
        <w:t xml:space="preserve"> </w:t>
      </w:r>
      <w:r>
        <w:rPr>
          <w:rFonts w:ascii="Times New Roman" w:hAnsi="Times New Roman"/>
          <w:sz w:val="24"/>
          <w:szCs w:val="24"/>
        </w:rPr>
        <w:t>Supremo</w:t>
      </w:r>
      <w:r w:rsidRPr="002A0D3F">
        <w:rPr>
          <w:rFonts w:ascii="Times New Roman" w:hAnsi="Times New Roman"/>
          <w:sz w:val="24"/>
          <w:szCs w:val="24"/>
        </w:rPr>
        <w:t>, na medida em que a decisão proferida em uma única ação,</w:t>
      </w:r>
      <w:r>
        <w:rPr>
          <w:rFonts w:ascii="Times New Roman" w:hAnsi="Times New Roman"/>
          <w:sz w:val="24"/>
          <w:szCs w:val="24"/>
        </w:rPr>
        <w:t xml:space="preserve"> </w:t>
      </w:r>
      <w:r w:rsidRPr="002A0D3F">
        <w:rPr>
          <w:rFonts w:ascii="Times New Roman" w:hAnsi="Times New Roman"/>
          <w:sz w:val="24"/>
          <w:szCs w:val="24"/>
        </w:rPr>
        <w:t xml:space="preserve">de cunho objetivo, valeria para </w:t>
      </w:r>
      <w:r>
        <w:rPr>
          <w:rFonts w:ascii="Times New Roman" w:hAnsi="Times New Roman"/>
          <w:sz w:val="24"/>
          <w:szCs w:val="24"/>
        </w:rPr>
        <w:t>i</w:t>
      </w:r>
      <w:r w:rsidRPr="002A0D3F">
        <w:rPr>
          <w:rFonts w:ascii="Times New Roman" w:hAnsi="Times New Roman"/>
          <w:sz w:val="24"/>
          <w:szCs w:val="24"/>
        </w:rPr>
        <w:t>número</w:t>
      </w:r>
      <w:r>
        <w:rPr>
          <w:rFonts w:ascii="Times New Roman" w:hAnsi="Times New Roman"/>
          <w:sz w:val="24"/>
          <w:szCs w:val="24"/>
        </w:rPr>
        <w:t>s</w:t>
      </w:r>
      <w:r w:rsidRPr="002A0D3F">
        <w:rPr>
          <w:rFonts w:ascii="Times New Roman" w:hAnsi="Times New Roman"/>
          <w:sz w:val="24"/>
          <w:szCs w:val="24"/>
        </w:rPr>
        <w:t xml:space="preserve"> casos semelhantes. Procurou-se, </w:t>
      </w:r>
      <w:r>
        <w:rPr>
          <w:rFonts w:ascii="Times New Roman" w:hAnsi="Times New Roman"/>
          <w:sz w:val="24"/>
          <w:szCs w:val="24"/>
        </w:rPr>
        <w:t>dessa forma, vincular as teses de julgamento para as instâncias inferiores.</w:t>
      </w:r>
      <w:r>
        <w:rPr>
          <w:rStyle w:val="FootnoteReference"/>
          <w:rFonts w:ascii="Times New Roman" w:hAnsi="Times New Roman"/>
          <w:sz w:val="24"/>
          <w:szCs w:val="24"/>
        </w:rPr>
        <w:footnoteReference w:id="100"/>
      </w:r>
      <w:r>
        <w:rPr>
          <w:rFonts w:ascii="Times New Roman" w:hAnsi="Times New Roman"/>
          <w:sz w:val="24"/>
          <w:szCs w:val="24"/>
        </w:rPr>
        <w:t xml:space="preserve"> </w:t>
      </w:r>
    </w:p>
    <w:p w:rsidR="00D549BC" w:rsidRDefault="00D549BC" w:rsidP="00607B5C">
      <w:pPr>
        <w:spacing w:after="240"/>
        <w:ind w:firstLine="0"/>
        <w:contextualSpacing/>
        <w:rPr>
          <w:rFonts w:ascii="Times New Roman" w:hAnsi="Times New Roman"/>
          <w:sz w:val="24"/>
          <w:szCs w:val="24"/>
        </w:rPr>
      </w:pPr>
      <w:r>
        <w:rPr>
          <w:rFonts w:ascii="Times New Roman" w:hAnsi="Times New Roman"/>
          <w:sz w:val="24"/>
          <w:szCs w:val="24"/>
        </w:rPr>
        <w:t xml:space="preserve">3.1.2.4 O segundo óbice regimental </w:t>
      </w:r>
    </w:p>
    <w:p w:rsidR="00D549BC" w:rsidRDefault="00D549BC" w:rsidP="00607B5C">
      <w:pPr>
        <w:spacing w:after="240"/>
        <w:ind w:firstLine="0"/>
        <w:contextualSpacing/>
        <w:rPr>
          <w:rFonts w:ascii="Times New Roman" w:hAnsi="Times New Roman"/>
          <w:sz w:val="24"/>
          <w:szCs w:val="24"/>
        </w:rPr>
      </w:pPr>
    </w:p>
    <w:p w:rsidR="00D549BC" w:rsidRDefault="00D549BC" w:rsidP="00681A11">
      <w:pPr>
        <w:spacing w:after="240"/>
        <w:contextualSpacing/>
        <w:rPr>
          <w:rFonts w:ascii="Times New Roman" w:hAnsi="Times New Roman"/>
          <w:sz w:val="24"/>
          <w:szCs w:val="24"/>
        </w:rPr>
      </w:pPr>
      <w:r>
        <w:rPr>
          <w:rFonts w:ascii="Times New Roman" w:hAnsi="Times New Roman"/>
          <w:sz w:val="24"/>
          <w:szCs w:val="24"/>
        </w:rPr>
        <w:t>Outro óbice regimental que merece nossa especial atenção deu-se em 1965, quando atribuiu-se ao Ministro relator, por meio de Emenda Regimental, o poder de convocar as partes litigantes para manifestarem seu interesse, no prazo de noventa dias, quanto ao julgamento de Recursos Extraordinários que estivessem parados na Corte há mais de dez anos. Na ausência de manifestação dos interessados, o RE seria considerado sem objeto, pelo próprio relator, e, com baixa, seria arquivado (sem a necessidade, portanto, de manifestação do colegiado).</w:t>
      </w:r>
      <w:r>
        <w:rPr>
          <w:rStyle w:val="FootnoteReference"/>
          <w:rFonts w:ascii="Times New Roman" w:hAnsi="Times New Roman"/>
          <w:sz w:val="24"/>
          <w:szCs w:val="24"/>
        </w:rPr>
        <w:footnoteReference w:id="101"/>
      </w:r>
      <w:r>
        <w:rPr>
          <w:rFonts w:ascii="Times New Roman" w:hAnsi="Times New Roman"/>
          <w:sz w:val="24"/>
          <w:szCs w:val="24"/>
        </w:rPr>
        <w:t xml:space="preserve"> </w:t>
      </w:r>
    </w:p>
    <w:p w:rsidR="00D549BC" w:rsidRDefault="00D549BC" w:rsidP="00607B5C">
      <w:pPr>
        <w:spacing w:after="240"/>
        <w:ind w:firstLine="0"/>
        <w:contextualSpacing/>
        <w:rPr>
          <w:rFonts w:ascii="Times New Roman" w:hAnsi="Times New Roman"/>
          <w:sz w:val="24"/>
          <w:szCs w:val="24"/>
        </w:rPr>
      </w:pPr>
    </w:p>
    <w:p w:rsidR="00D549BC" w:rsidRDefault="00D549BC" w:rsidP="00607B5C">
      <w:pPr>
        <w:spacing w:after="240"/>
        <w:ind w:firstLine="0"/>
        <w:contextualSpacing/>
        <w:rPr>
          <w:rFonts w:ascii="Times New Roman" w:hAnsi="Times New Roman"/>
          <w:sz w:val="24"/>
          <w:szCs w:val="24"/>
        </w:rPr>
      </w:pPr>
      <w:r>
        <w:rPr>
          <w:rFonts w:ascii="Times New Roman" w:hAnsi="Times New Roman"/>
          <w:sz w:val="24"/>
          <w:szCs w:val="24"/>
        </w:rPr>
        <w:t>3.1.2.5 A Emenda Constitucional nº 1, de 17 de outubro de 1969 e o Novo Regimento Interno do Supremo Tribunal Federal de 1970</w:t>
      </w:r>
    </w:p>
    <w:p w:rsidR="00D549BC" w:rsidRDefault="00D549BC" w:rsidP="00607B5C">
      <w:pPr>
        <w:spacing w:after="240"/>
        <w:ind w:firstLine="0"/>
        <w:contextualSpacing/>
        <w:rPr>
          <w:rFonts w:ascii="Times New Roman" w:hAnsi="Times New Roman"/>
          <w:sz w:val="24"/>
          <w:szCs w:val="24"/>
        </w:rPr>
      </w:pPr>
    </w:p>
    <w:p w:rsidR="00D549BC" w:rsidRDefault="00D549BC" w:rsidP="00651EBE">
      <w:pPr>
        <w:spacing w:after="240"/>
        <w:contextualSpacing/>
        <w:rPr>
          <w:rFonts w:ascii="Times New Roman" w:hAnsi="Times New Roman"/>
          <w:sz w:val="24"/>
          <w:szCs w:val="24"/>
        </w:rPr>
      </w:pPr>
      <w:r>
        <w:rPr>
          <w:rFonts w:ascii="Times New Roman" w:hAnsi="Times New Roman"/>
          <w:sz w:val="24"/>
          <w:szCs w:val="24"/>
        </w:rPr>
        <w:t>Alguns anos após o advento da EC nº 16/1965, tivemos uma nova Reforma Constitucional, empreendida, desta feita, pela Emenda Constitucional nº 1, de 17 de outubro de 1969, a qual também almejou promover o descongestionamento da Corte Suprema brasileira. Tal objetivo se deu por meio da atribuição de certa discricionariedade para a seleção dos Recursos Extraordinários que seriam julgados pelo STF. Pode-se dizer, em verdade, que se tratava de um mecanismo de filtragem. Com efeito, no parágrafo único do art. 119 da EC nº 1/69, preceituou-se que, nos casos de contradição a dispositivo constitucional, negativa de vigência de tratado ou lei federal e de divergência jurisprudencial quanto à lei federal, suas causas seriam indicadas pelo STF em seu Regimento Interno, que atenderia a sua natureza, espécie e valor pecuniário.</w:t>
      </w:r>
      <w:r>
        <w:rPr>
          <w:rStyle w:val="FootnoteReference"/>
          <w:rFonts w:ascii="Times New Roman" w:hAnsi="Times New Roman"/>
          <w:sz w:val="24"/>
          <w:szCs w:val="24"/>
        </w:rPr>
        <w:footnoteReference w:id="102"/>
      </w:r>
      <w:r>
        <w:rPr>
          <w:rFonts w:ascii="Times New Roman" w:hAnsi="Times New Roman"/>
          <w:sz w:val="24"/>
          <w:szCs w:val="24"/>
        </w:rPr>
        <w:t xml:space="preserve"> </w:t>
      </w:r>
    </w:p>
    <w:p w:rsidR="00D549BC" w:rsidRDefault="00D549BC" w:rsidP="00651EBE">
      <w:pPr>
        <w:spacing w:after="240"/>
        <w:contextualSpacing/>
        <w:rPr>
          <w:rFonts w:ascii="Times New Roman" w:hAnsi="Times New Roman"/>
          <w:sz w:val="24"/>
          <w:szCs w:val="24"/>
        </w:rPr>
      </w:pPr>
      <w:r>
        <w:rPr>
          <w:rFonts w:ascii="Times New Roman" w:hAnsi="Times New Roman"/>
          <w:sz w:val="24"/>
          <w:szCs w:val="24"/>
        </w:rPr>
        <w:t>A 18 de junho de 1970, aprovou o Supremo Tribunal Federal seu novo Regimento Interno,</w:t>
      </w:r>
      <w:r>
        <w:rPr>
          <w:rStyle w:val="FootnoteReference"/>
          <w:rFonts w:ascii="Times New Roman" w:hAnsi="Times New Roman"/>
          <w:sz w:val="24"/>
          <w:szCs w:val="24"/>
        </w:rPr>
        <w:footnoteReference w:id="103"/>
      </w:r>
      <w:r>
        <w:rPr>
          <w:rFonts w:ascii="Times New Roman" w:hAnsi="Times New Roman"/>
          <w:sz w:val="24"/>
          <w:szCs w:val="24"/>
        </w:rPr>
        <w:t xml:space="preserve"> com fulcro na Emenda Constitucional nº 1/69, o qual, em seu artigo 308, previa expressamente as hipóteses de não cabimento do RE lastreado nos </w:t>
      </w:r>
      <w:r w:rsidRPr="008E6A6D">
        <w:rPr>
          <w:rFonts w:ascii="Times New Roman" w:hAnsi="Times New Roman"/>
          <w:i/>
          <w:sz w:val="24"/>
          <w:szCs w:val="24"/>
        </w:rPr>
        <w:t>critérios de</w:t>
      </w:r>
      <w:r>
        <w:rPr>
          <w:rFonts w:ascii="Times New Roman" w:hAnsi="Times New Roman"/>
          <w:sz w:val="24"/>
          <w:szCs w:val="24"/>
        </w:rPr>
        <w:t xml:space="preserve"> </w:t>
      </w:r>
      <w:r w:rsidRPr="00D6737E">
        <w:rPr>
          <w:rFonts w:ascii="Times New Roman" w:hAnsi="Times New Roman"/>
          <w:i/>
          <w:sz w:val="24"/>
          <w:szCs w:val="24"/>
        </w:rPr>
        <w:t>natureza</w:t>
      </w:r>
      <w:r>
        <w:rPr>
          <w:rFonts w:ascii="Times New Roman" w:hAnsi="Times New Roman"/>
          <w:sz w:val="24"/>
          <w:szCs w:val="24"/>
        </w:rPr>
        <w:t xml:space="preserve">, </w:t>
      </w:r>
      <w:r w:rsidRPr="00D6737E">
        <w:rPr>
          <w:rFonts w:ascii="Times New Roman" w:hAnsi="Times New Roman"/>
          <w:i/>
          <w:sz w:val="24"/>
          <w:szCs w:val="24"/>
        </w:rPr>
        <w:t>espécie</w:t>
      </w:r>
      <w:r>
        <w:rPr>
          <w:rFonts w:ascii="Times New Roman" w:hAnsi="Times New Roman"/>
          <w:sz w:val="24"/>
          <w:szCs w:val="24"/>
        </w:rPr>
        <w:t xml:space="preserve"> e </w:t>
      </w:r>
      <w:r>
        <w:rPr>
          <w:rFonts w:ascii="Times New Roman" w:hAnsi="Times New Roman"/>
          <w:i/>
          <w:sz w:val="24"/>
          <w:szCs w:val="24"/>
        </w:rPr>
        <w:t xml:space="preserve">valor </w:t>
      </w:r>
      <w:r w:rsidRPr="00D6737E">
        <w:rPr>
          <w:rFonts w:ascii="Times New Roman" w:hAnsi="Times New Roman"/>
          <w:i/>
          <w:sz w:val="24"/>
          <w:szCs w:val="24"/>
        </w:rPr>
        <w:t>pecuniário</w:t>
      </w:r>
      <w:r>
        <w:rPr>
          <w:rFonts w:ascii="Times New Roman" w:hAnsi="Times New Roman"/>
          <w:sz w:val="24"/>
          <w:szCs w:val="24"/>
        </w:rPr>
        <w:t xml:space="preserve">. </w:t>
      </w:r>
    </w:p>
    <w:p w:rsidR="00D549BC" w:rsidRDefault="00D549BC" w:rsidP="00651EBE">
      <w:pPr>
        <w:spacing w:after="240"/>
        <w:contextualSpacing/>
        <w:rPr>
          <w:rFonts w:ascii="Times New Roman" w:hAnsi="Times New Roman"/>
          <w:sz w:val="24"/>
          <w:szCs w:val="24"/>
        </w:rPr>
      </w:pPr>
      <w:r>
        <w:rPr>
          <w:rFonts w:ascii="Times New Roman" w:hAnsi="Times New Roman"/>
          <w:sz w:val="24"/>
          <w:szCs w:val="24"/>
        </w:rPr>
        <w:t xml:space="preserve">Vejamos, então, a redação </w:t>
      </w:r>
      <w:r w:rsidRPr="00CB377A">
        <w:rPr>
          <w:rFonts w:ascii="Times New Roman" w:hAnsi="Times New Roman"/>
          <w:i/>
          <w:sz w:val="24"/>
          <w:szCs w:val="24"/>
        </w:rPr>
        <w:t>ipsis litteris</w:t>
      </w:r>
      <w:r>
        <w:rPr>
          <w:rFonts w:ascii="Times New Roman" w:hAnsi="Times New Roman"/>
          <w:sz w:val="24"/>
          <w:szCs w:val="24"/>
        </w:rPr>
        <w:t xml:space="preserve"> do artigo 308 do RISTF/1970: </w:t>
      </w:r>
    </w:p>
    <w:p w:rsidR="00D549BC" w:rsidRPr="00BA360E" w:rsidRDefault="00D549BC" w:rsidP="00150EF2">
      <w:pPr>
        <w:spacing w:after="240" w:line="240" w:lineRule="auto"/>
        <w:ind w:left="2268" w:firstLine="0"/>
        <w:contextualSpacing/>
        <w:rPr>
          <w:rFonts w:ascii="Times New Roman" w:hAnsi="Times New Roman"/>
        </w:rPr>
      </w:pPr>
      <w:r>
        <w:rPr>
          <w:rFonts w:ascii="Times New Roman" w:hAnsi="Times New Roman"/>
        </w:rPr>
        <w:t>Art. 308.</w:t>
      </w:r>
      <w:r w:rsidRPr="00BA360E">
        <w:rPr>
          <w:rFonts w:ascii="Times New Roman" w:hAnsi="Times New Roman"/>
        </w:rPr>
        <w:t xml:space="preserve"> Salvo nos casos de ofensa à Constituição ou discrepância manifesta da jurisprudência predominante no Supremo Tribunal Federal, não caberá o recurso extraordinário, a que alude o seu art. 119, parágrafo único, das decisões proferidas: </w:t>
      </w:r>
    </w:p>
    <w:p w:rsidR="00D549BC" w:rsidRDefault="00D549BC" w:rsidP="00150EF2">
      <w:pPr>
        <w:spacing w:after="240" w:line="240" w:lineRule="auto"/>
        <w:ind w:left="2268" w:firstLine="0"/>
        <w:contextualSpacing/>
        <w:rPr>
          <w:rFonts w:ascii="Times New Roman" w:hAnsi="Times New Roman"/>
        </w:rPr>
      </w:pPr>
      <w:r w:rsidRPr="00BA360E">
        <w:rPr>
          <w:rFonts w:ascii="Times New Roman" w:hAnsi="Times New Roman"/>
        </w:rPr>
        <w:t>I - nos processos por crime ou contravenção a que sejam cominadas penas de multa, prisão simples ou detenção, isoladas, alternadas ou acumuladas, bem co</w:t>
      </w:r>
      <w:r>
        <w:rPr>
          <w:rFonts w:ascii="Times New Roman" w:hAnsi="Times New Roman"/>
        </w:rPr>
        <w:t>mo as medidas de segurança com e</w:t>
      </w:r>
      <w:r w:rsidRPr="00BA360E">
        <w:rPr>
          <w:rFonts w:ascii="Times New Roman" w:hAnsi="Times New Roman"/>
        </w:rPr>
        <w:t xml:space="preserve">les relacionadas; </w:t>
      </w:r>
    </w:p>
    <w:p w:rsidR="00D549BC" w:rsidRDefault="00D549BC" w:rsidP="00150EF2">
      <w:pPr>
        <w:spacing w:after="240" w:line="240" w:lineRule="auto"/>
        <w:ind w:left="2268" w:firstLine="0"/>
        <w:contextualSpacing/>
        <w:rPr>
          <w:rFonts w:ascii="Times New Roman" w:hAnsi="Times New Roman"/>
        </w:rPr>
      </w:pPr>
      <w:r w:rsidRPr="00BA360E">
        <w:rPr>
          <w:rFonts w:ascii="Times New Roman" w:hAnsi="Times New Roman"/>
        </w:rPr>
        <w:t xml:space="preserve">II - nos litígios decorrentes: </w:t>
      </w:r>
    </w:p>
    <w:p w:rsidR="00D549BC" w:rsidRPr="00083872" w:rsidRDefault="00D549BC" w:rsidP="003B3C58">
      <w:pPr>
        <w:spacing w:line="240" w:lineRule="auto"/>
        <w:ind w:left="2268" w:firstLine="0"/>
        <w:rPr>
          <w:rFonts w:ascii="Times New Roman" w:hAnsi="Times New Roman"/>
        </w:rPr>
      </w:pPr>
      <w:r w:rsidRPr="00083872">
        <w:rPr>
          <w:rFonts w:ascii="Times New Roman" w:hAnsi="Times New Roman"/>
        </w:rPr>
        <w:t>a)</w:t>
      </w:r>
      <w:r>
        <w:rPr>
          <w:rFonts w:ascii="Times New Roman" w:hAnsi="Times New Roman"/>
        </w:rPr>
        <w:t xml:space="preserve"> </w:t>
      </w:r>
      <w:r w:rsidRPr="00083872">
        <w:rPr>
          <w:rFonts w:ascii="Times New Roman" w:hAnsi="Times New Roman"/>
        </w:rPr>
        <w:t xml:space="preserve">de acidente de trabalho; </w:t>
      </w:r>
    </w:p>
    <w:p w:rsidR="00D549BC" w:rsidRPr="00BA360E" w:rsidRDefault="00D549BC" w:rsidP="003B3C58">
      <w:pPr>
        <w:spacing w:line="240" w:lineRule="auto"/>
        <w:ind w:left="2268" w:firstLine="0"/>
        <w:contextualSpacing/>
        <w:rPr>
          <w:rFonts w:ascii="Times New Roman" w:hAnsi="Times New Roman"/>
        </w:rPr>
      </w:pPr>
      <w:r w:rsidRPr="00BA360E">
        <w:rPr>
          <w:rFonts w:ascii="Times New Roman" w:hAnsi="Times New Roman"/>
        </w:rPr>
        <w:t xml:space="preserve">b) das relações de trabalho mencionadas no art. 110 da Constituição; </w:t>
      </w:r>
    </w:p>
    <w:p w:rsidR="00D549BC" w:rsidRPr="00BA360E" w:rsidRDefault="00D549BC" w:rsidP="003B3C58">
      <w:pPr>
        <w:spacing w:line="240" w:lineRule="auto"/>
        <w:ind w:left="2268" w:firstLine="0"/>
        <w:contextualSpacing/>
        <w:rPr>
          <w:rFonts w:ascii="Times New Roman" w:hAnsi="Times New Roman"/>
        </w:rPr>
      </w:pPr>
      <w:r w:rsidRPr="00BA360E">
        <w:rPr>
          <w:rFonts w:ascii="Times New Roman" w:hAnsi="Times New Roman"/>
        </w:rPr>
        <w:t xml:space="preserve">III - nos mandados de segurança, quando não julgarem o mérito; </w:t>
      </w:r>
    </w:p>
    <w:p w:rsidR="00D549BC" w:rsidRDefault="00D549BC" w:rsidP="00150EF2">
      <w:pPr>
        <w:spacing w:after="240" w:line="240" w:lineRule="auto"/>
        <w:ind w:left="2268" w:firstLine="0"/>
        <w:contextualSpacing/>
        <w:rPr>
          <w:rFonts w:ascii="Times New Roman" w:hAnsi="Times New Roman"/>
        </w:rPr>
      </w:pPr>
      <w:r w:rsidRPr="00BA360E">
        <w:rPr>
          <w:rFonts w:ascii="Times New Roman" w:hAnsi="Times New Roman"/>
        </w:rPr>
        <w:t>IV - nas causas cujo benefício patrimonial, determinado segundo a lei, estimado pelo autor no pedido, ou fixado pelo juiz em caso de impugnação, não exceda, em valor, de 60 (sessenta) v</w:t>
      </w:r>
      <w:r>
        <w:rPr>
          <w:rFonts w:ascii="Times New Roman" w:hAnsi="Times New Roman"/>
        </w:rPr>
        <w:t>e</w:t>
      </w:r>
      <w:r w:rsidRPr="00BA360E">
        <w:rPr>
          <w:rFonts w:ascii="Times New Roman" w:hAnsi="Times New Roman"/>
        </w:rPr>
        <w:t>zes o maior salário mínimo vigente no País, na data do seu ajuizamento, quando uniformes os pronunciamentos das instâncias ordinárias; e de 30 (trinta), quando entre elas tenha havido divergência, ou se trate de ação sujeita a instância única</w:t>
      </w:r>
      <w:r>
        <w:rPr>
          <w:rFonts w:ascii="Times New Roman" w:hAnsi="Times New Roman"/>
        </w:rPr>
        <w:t>.</w:t>
      </w:r>
      <w:r>
        <w:rPr>
          <w:rStyle w:val="FootnoteReference"/>
          <w:rFonts w:ascii="Times New Roman" w:hAnsi="Times New Roman"/>
        </w:rPr>
        <w:footnoteReference w:id="104"/>
      </w:r>
      <w:r w:rsidRPr="00BA360E">
        <w:rPr>
          <w:rFonts w:ascii="Times New Roman" w:hAnsi="Times New Roman"/>
        </w:rPr>
        <w:t xml:space="preserve"> </w:t>
      </w:r>
    </w:p>
    <w:p w:rsidR="00D549BC" w:rsidRDefault="00D549BC" w:rsidP="00150EF2">
      <w:pPr>
        <w:spacing w:after="240" w:line="240" w:lineRule="auto"/>
        <w:ind w:left="2268" w:firstLine="0"/>
        <w:rPr>
          <w:rFonts w:ascii="Times New Roman" w:hAnsi="Times New Roman"/>
        </w:rPr>
      </w:pPr>
    </w:p>
    <w:p w:rsidR="00D549BC" w:rsidRDefault="00D549BC" w:rsidP="00AE0D5C">
      <w:pPr>
        <w:spacing w:after="240"/>
        <w:contextualSpacing/>
        <w:rPr>
          <w:rFonts w:ascii="Times New Roman" w:hAnsi="Times New Roman"/>
          <w:sz w:val="24"/>
          <w:szCs w:val="24"/>
        </w:rPr>
      </w:pPr>
      <w:r>
        <w:rPr>
          <w:rFonts w:ascii="Times New Roman" w:hAnsi="Times New Roman"/>
          <w:sz w:val="24"/>
          <w:szCs w:val="24"/>
        </w:rPr>
        <w:t xml:space="preserve">O exame do artigo 308 acima citado revela claramente a forma pela qual, atendendo estritamente à faculdade que lhe deferira a Lei Maior, procedeu o Supremo à discriminação das causas que ensejavam o cabimento do Recurso Extraordinário. Senão vejamos: (i) nos incisos I e III, tratou-se das causas quanto a sua </w:t>
      </w:r>
      <w:r w:rsidRPr="00892EA6">
        <w:rPr>
          <w:rFonts w:ascii="Times New Roman" w:hAnsi="Times New Roman"/>
          <w:i/>
          <w:sz w:val="24"/>
          <w:szCs w:val="24"/>
        </w:rPr>
        <w:t>espécie</w:t>
      </w:r>
      <w:r>
        <w:rPr>
          <w:rFonts w:ascii="Times New Roman" w:hAnsi="Times New Roman"/>
          <w:sz w:val="24"/>
          <w:szCs w:val="24"/>
        </w:rPr>
        <w:t xml:space="preserve">; (ii) no inciso II, referiu-se a causas tendo em vista a sua </w:t>
      </w:r>
      <w:r w:rsidRPr="00892EA6">
        <w:rPr>
          <w:rFonts w:ascii="Times New Roman" w:hAnsi="Times New Roman"/>
          <w:i/>
          <w:sz w:val="24"/>
          <w:szCs w:val="24"/>
        </w:rPr>
        <w:t>natureza</w:t>
      </w:r>
      <w:r>
        <w:rPr>
          <w:rFonts w:ascii="Times New Roman" w:hAnsi="Times New Roman"/>
          <w:sz w:val="24"/>
          <w:szCs w:val="24"/>
        </w:rPr>
        <w:t xml:space="preserve">; e (iii) no inciso IV, discriminou-as em razão do seu </w:t>
      </w:r>
      <w:r w:rsidRPr="00892EA6">
        <w:rPr>
          <w:rFonts w:ascii="Times New Roman" w:hAnsi="Times New Roman"/>
          <w:i/>
          <w:sz w:val="24"/>
          <w:szCs w:val="24"/>
        </w:rPr>
        <w:t>valor pecuniário</w:t>
      </w:r>
      <w:r>
        <w:rPr>
          <w:rFonts w:ascii="Times New Roman" w:hAnsi="Times New Roman"/>
          <w:i/>
          <w:sz w:val="24"/>
          <w:szCs w:val="24"/>
        </w:rPr>
        <w:t>.</w:t>
      </w:r>
      <w:r w:rsidRPr="00892EA6">
        <w:rPr>
          <w:rStyle w:val="FootnoteReference"/>
          <w:rFonts w:ascii="Times New Roman" w:hAnsi="Times New Roman"/>
          <w:sz w:val="24"/>
          <w:szCs w:val="24"/>
        </w:rPr>
        <w:footnoteReference w:id="105"/>
      </w:r>
      <w:r>
        <w:rPr>
          <w:rFonts w:ascii="Times New Roman" w:hAnsi="Times New Roman"/>
          <w:sz w:val="24"/>
          <w:szCs w:val="24"/>
        </w:rPr>
        <w:t xml:space="preserve"> Todavia, não podemos esquecer que a Constituição de 1967/69, promulgada sob os auspícios do governo militar, conferira poder normativo ao Supremo Tribunal Federal por meio do disposto no art. 119, parágrafo único da EC nº 1/69.</w:t>
      </w:r>
      <w:r>
        <w:rPr>
          <w:rStyle w:val="FootnoteReference"/>
          <w:rFonts w:ascii="Times New Roman" w:hAnsi="Times New Roman"/>
          <w:sz w:val="24"/>
          <w:szCs w:val="24"/>
        </w:rPr>
        <w:footnoteReference w:id="106"/>
      </w:r>
    </w:p>
    <w:p w:rsidR="00D549BC" w:rsidRDefault="00D549BC" w:rsidP="00C628A1">
      <w:pPr>
        <w:spacing w:after="240"/>
        <w:contextualSpacing/>
        <w:rPr>
          <w:rFonts w:ascii="Times New Roman" w:hAnsi="Times New Roman"/>
          <w:sz w:val="24"/>
          <w:szCs w:val="24"/>
        </w:rPr>
      </w:pPr>
      <w:r>
        <w:rPr>
          <w:rFonts w:ascii="Times New Roman" w:hAnsi="Times New Roman"/>
          <w:sz w:val="24"/>
          <w:szCs w:val="24"/>
        </w:rPr>
        <w:t>Segundo relatórios do próprio STF, os Recursos Extraordinários representavam 80% dos feitos que lhe eram submetidos, sendo que a maioria destes tinha fundamento nas alíneas “a” e “d” do art. 119, III da CRFB/1969. Esses números permitiram compreender, portanto, a razão pela qual o legislador constituinte reputou deferir competência normativa restrita apenas àquelas espécies das letras “a” e “d”.</w:t>
      </w:r>
      <w:r>
        <w:rPr>
          <w:rStyle w:val="FootnoteReference"/>
          <w:rFonts w:ascii="Times New Roman" w:hAnsi="Times New Roman"/>
          <w:sz w:val="24"/>
          <w:szCs w:val="24"/>
        </w:rPr>
        <w:footnoteReference w:id="107"/>
      </w:r>
      <w:r>
        <w:rPr>
          <w:rFonts w:ascii="Times New Roman" w:hAnsi="Times New Roman"/>
          <w:sz w:val="24"/>
          <w:szCs w:val="24"/>
        </w:rPr>
        <w:t xml:space="preserve"> </w:t>
      </w:r>
    </w:p>
    <w:p w:rsidR="00D549BC" w:rsidRDefault="00D549BC" w:rsidP="00753B95">
      <w:pPr>
        <w:spacing w:after="240"/>
        <w:contextualSpacing/>
        <w:rPr>
          <w:rFonts w:ascii="Times New Roman" w:hAnsi="Times New Roman"/>
          <w:sz w:val="24"/>
          <w:szCs w:val="24"/>
        </w:rPr>
      </w:pPr>
      <w:r w:rsidRPr="00C00F0F">
        <w:rPr>
          <w:rFonts w:ascii="Times New Roman" w:hAnsi="Times New Roman"/>
          <w:sz w:val="24"/>
          <w:szCs w:val="24"/>
        </w:rPr>
        <w:t>Entre todas as soluções aventadas para solucionar o problema relativo</w:t>
      </w:r>
      <w:r>
        <w:rPr>
          <w:rFonts w:ascii="Times New Roman" w:hAnsi="Times New Roman"/>
          <w:sz w:val="24"/>
          <w:szCs w:val="24"/>
        </w:rPr>
        <w:t xml:space="preserve"> ao excesso de Recursos Extraordinários no Supremo Tribunal Federal</w:t>
      </w:r>
      <w:r w:rsidRPr="00C00F0F">
        <w:rPr>
          <w:rFonts w:ascii="Times New Roman" w:hAnsi="Times New Roman"/>
          <w:sz w:val="24"/>
          <w:szCs w:val="24"/>
        </w:rPr>
        <w:t>, sem sombra de</w:t>
      </w:r>
      <w:r>
        <w:rPr>
          <w:rFonts w:ascii="Times New Roman" w:hAnsi="Times New Roman"/>
          <w:sz w:val="24"/>
          <w:szCs w:val="24"/>
        </w:rPr>
        <w:t xml:space="preserve"> </w:t>
      </w:r>
      <w:r w:rsidRPr="00C00F0F">
        <w:rPr>
          <w:rFonts w:ascii="Times New Roman" w:hAnsi="Times New Roman"/>
          <w:sz w:val="24"/>
          <w:szCs w:val="24"/>
        </w:rPr>
        <w:t>dúvida</w:t>
      </w:r>
      <w:r>
        <w:rPr>
          <w:rFonts w:ascii="Times New Roman" w:hAnsi="Times New Roman"/>
          <w:sz w:val="24"/>
          <w:szCs w:val="24"/>
        </w:rPr>
        <w:t>,</w:t>
      </w:r>
      <w:r w:rsidRPr="00C00F0F">
        <w:rPr>
          <w:rFonts w:ascii="Times New Roman" w:hAnsi="Times New Roman"/>
          <w:sz w:val="24"/>
          <w:szCs w:val="24"/>
        </w:rPr>
        <w:t xml:space="preserve"> aquela que ganhou ma</w:t>
      </w:r>
      <w:r>
        <w:rPr>
          <w:rFonts w:ascii="Times New Roman" w:hAnsi="Times New Roman"/>
          <w:sz w:val="24"/>
          <w:szCs w:val="24"/>
        </w:rPr>
        <w:t xml:space="preserve">ior número de adeptos no Brasil e em diversos outros países </w:t>
      </w:r>
      <w:r w:rsidRPr="00C00F0F">
        <w:rPr>
          <w:rFonts w:ascii="Times New Roman" w:hAnsi="Times New Roman"/>
          <w:sz w:val="24"/>
          <w:szCs w:val="24"/>
        </w:rPr>
        <w:t>foi a instituição de mecanismos de controle do acesso às Cortes Supremas, pela via</w:t>
      </w:r>
      <w:r>
        <w:rPr>
          <w:rFonts w:ascii="Times New Roman" w:hAnsi="Times New Roman"/>
          <w:sz w:val="24"/>
          <w:szCs w:val="24"/>
        </w:rPr>
        <w:t xml:space="preserve"> </w:t>
      </w:r>
      <w:r w:rsidRPr="00C00F0F">
        <w:rPr>
          <w:rFonts w:ascii="Times New Roman" w:hAnsi="Times New Roman"/>
          <w:sz w:val="24"/>
          <w:szCs w:val="24"/>
        </w:rPr>
        <w:t>recursal, proporcionando-lhes maior poder para negar admissibilidade às impugnações a</w:t>
      </w:r>
      <w:r>
        <w:rPr>
          <w:rFonts w:ascii="Times New Roman" w:hAnsi="Times New Roman"/>
          <w:sz w:val="24"/>
          <w:szCs w:val="24"/>
        </w:rPr>
        <w:t xml:space="preserve"> elas dirigidas.</w:t>
      </w:r>
      <w:r>
        <w:rPr>
          <w:rStyle w:val="FootnoteReference"/>
          <w:rFonts w:ascii="Times New Roman" w:hAnsi="Times New Roman"/>
          <w:sz w:val="24"/>
          <w:szCs w:val="24"/>
        </w:rPr>
        <w:footnoteReference w:id="108"/>
      </w:r>
      <w:r>
        <w:rPr>
          <w:rFonts w:ascii="Times New Roman" w:hAnsi="Times New Roman"/>
          <w:sz w:val="24"/>
          <w:szCs w:val="24"/>
        </w:rPr>
        <w:t xml:space="preserve"> </w:t>
      </w:r>
    </w:p>
    <w:p w:rsidR="00D549BC" w:rsidRDefault="00D549BC" w:rsidP="00790EC6">
      <w:pPr>
        <w:spacing w:after="240"/>
        <w:contextualSpacing/>
        <w:rPr>
          <w:rFonts w:ascii="Times New Roman" w:hAnsi="Times New Roman"/>
          <w:sz w:val="24"/>
          <w:szCs w:val="24"/>
        </w:rPr>
      </w:pPr>
      <w:r>
        <w:rPr>
          <w:rFonts w:ascii="Times New Roman" w:hAnsi="Times New Roman"/>
          <w:sz w:val="24"/>
          <w:szCs w:val="24"/>
        </w:rPr>
        <w:t>Nessa onda de ideias que visavam a restringir o acesso à Corte Suprema, o ex-Ministro VICTOR NUNES – o qual fora o grande incentivador da criação das Súmulas do STF</w:t>
      </w:r>
      <w:r>
        <w:rPr>
          <w:rStyle w:val="FootnoteReference"/>
          <w:rFonts w:ascii="Times New Roman" w:hAnsi="Times New Roman"/>
          <w:sz w:val="24"/>
          <w:szCs w:val="24"/>
        </w:rPr>
        <w:footnoteReference w:id="109"/>
      </w:r>
      <w:r>
        <w:rPr>
          <w:rFonts w:ascii="Times New Roman" w:hAnsi="Times New Roman"/>
          <w:sz w:val="24"/>
          <w:szCs w:val="24"/>
        </w:rPr>
        <w:t xml:space="preserve"> –, já em 1965, sugerira a instituição do requisito da “</w:t>
      </w:r>
      <w:r w:rsidRPr="000C3FE5">
        <w:rPr>
          <w:rFonts w:ascii="Times New Roman" w:hAnsi="Times New Roman"/>
          <w:i/>
          <w:sz w:val="24"/>
          <w:szCs w:val="24"/>
        </w:rPr>
        <w:t>relevância</w:t>
      </w:r>
      <w:r>
        <w:rPr>
          <w:rFonts w:ascii="Times New Roman" w:hAnsi="Times New Roman"/>
          <w:sz w:val="24"/>
          <w:szCs w:val="24"/>
        </w:rPr>
        <w:t>”, que a seu ver era a melhor forma de aliviar a sobrecarga de trabalho no Supremo Tribunal Federal, ressaltando, ainda, que essa técnica provinha da experiência da Suprema Corte norte-americana.</w:t>
      </w:r>
      <w:r>
        <w:rPr>
          <w:rStyle w:val="FootnoteReference"/>
          <w:rFonts w:ascii="Times New Roman" w:hAnsi="Times New Roman"/>
          <w:sz w:val="24"/>
          <w:szCs w:val="24"/>
        </w:rPr>
        <w:footnoteReference w:id="110"/>
      </w:r>
    </w:p>
    <w:p w:rsidR="00D549BC" w:rsidRDefault="00D549BC" w:rsidP="00E01B54">
      <w:pPr>
        <w:spacing w:after="240"/>
        <w:contextualSpacing/>
        <w:rPr>
          <w:rFonts w:ascii="Times New Roman" w:hAnsi="Times New Roman"/>
          <w:sz w:val="24"/>
          <w:szCs w:val="24"/>
        </w:rPr>
      </w:pPr>
      <w:r>
        <w:rPr>
          <w:rFonts w:ascii="Times New Roman" w:hAnsi="Times New Roman"/>
          <w:sz w:val="24"/>
          <w:szCs w:val="24"/>
        </w:rPr>
        <w:t xml:space="preserve">A sugestão do requisito da </w:t>
      </w:r>
      <w:r w:rsidRPr="00F31E5A">
        <w:rPr>
          <w:rFonts w:ascii="Times New Roman" w:hAnsi="Times New Roman"/>
          <w:i/>
          <w:sz w:val="24"/>
          <w:szCs w:val="24"/>
        </w:rPr>
        <w:t>relevância</w:t>
      </w:r>
      <w:r>
        <w:rPr>
          <w:rFonts w:ascii="Times New Roman" w:hAnsi="Times New Roman"/>
          <w:sz w:val="24"/>
          <w:szCs w:val="24"/>
        </w:rPr>
        <w:t xml:space="preserve"> não veio, como se almejava, com a reforma constitucional de 1969 (EC nº 1), surgindo, mais tarde, com o advento da Emenda Constitucional nº 7, de 13 de abril de 1977. </w:t>
      </w:r>
    </w:p>
    <w:p w:rsidR="00D549BC" w:rsidRDefault="00D549BC" w:rsidP="00E01B54">
      <w:pPr>
        <w:spacing w:after="240"/>
        <w:contextualSpacing/>
        <w:rPr>
          <w:rFonts w:ascii="Times New Roman" w:hAnsi="Times New Roman"/>
          <w:sz w:val="24"/>
          <w:szCs w:val="24"/>
        </w:rPr>
      </w:pPr>
      <w:r>
        <w:rPr>
          <w:rFonts w:ascii="Times New Roman" w:hAnsi="Times New Roman"/>
          <w:sz w:val="24"/>
          <w:szCs w:val="24"/>
        </w:rPr>
        <w:t xml:space="preserve">O estudo da </w:t>
      </w:r>
      <w:r w:rsidRPr="00F31E5A">
        <w:rPr>
          <w:rFonts w:ascii="Times New Roman" w:hAnsi="Times New Roman"/>
          <w:i/>
          <w:sz w:val="24"/>
          <w:szCs w:val="24"/>
        </w:rPr>
        <w:t>Arguição de Relevância da Questão Federal</w:t>
      </w:r>
      <w:r>
        <w:rPr>
          <w:rFonts w:ascii="Times New Roman" w:hAnsi="Times New Roman"/>
          <w:sz w:val="24"/>
          <w:szCs w:val="24"/>
        </w:rPr>
        <w:t xml:space="preserve"> passa a ser o objeto de nosso próximo subtópico.</w:t>
      </w:r>
    </w:p>
    <w:p w:rsidR="00D549BC" w:rsidRDefault="00D549BC" w:rsidP="00602183">
      <w:pPr>
        <w:spacing w:after="240"/>
        <w:ind w:firstLine="851"/>
        <w:contextualSpacing/>
        <w:rPr>
          <w:rFonts w:ascii="Times New Roman" w:hAnsi="Times New Roman"/>
          <w:sz w:val="24"/>
          <w:szCs w:val="24"/>
        </w:rPr>
      </w:pPr>
    </w:p>
    <w:p w:rsidR="00D549BC" w:rsidRDefault="00D549BC" w:rsidP="000615FD">
      <w:pPr>
        <w:spacing w:after="240"/>
        <w:ind w:firstLine="0"/>
        <w:contextualSpacing/>
        <w:rPr>
          <w:rFonts w:ascii="Times New Roman" w:hAnsi="Times New Roman"/>
          <w:sz w:val="24"/>
          <w:szCs w:val="24"/>
        </w:rPr>
      </w:pPr>
      <w:r>
        <w:rPr>
          <w:rFonts w:ascii="Times New Roman" w:hAnsi="Times New Roman"/>
          <w:sz w:val="24"/>
          <w:szCs w:val="24"/>
        </w:rPr>
        <w:t xml:space="preserve">3.1.2.6 Da </w:t>
      </w:r>
      <w:r w:rsidRPr="000615FD">
        <w:rPr>
          <w:rFonts w:ascii="Times New Roman" w:hAnsi="Times New Roman"/>
          <w:i/>
          <w:sz w:val="24"/>
          <w:szCs w:val="24"/>
        </w:rPr>
        <w:t>arguição de relevância</w:t>
      </w:r>
      <w:r>
        <w:rPr>
          <w:rFonts w:ascii="Times New Roman" w:hAnsi="Times New Roman"/>
          <w:sz w:val="24"/>
          <w:szCs w:val="24"/>
        </w:rPr>
        <w:t xml:space="preserve"> no Recurso Extraordinário e a Emenda Regimental nº 3, de 12 de junho de 1975</w:t>
      </w:r>
    </w:p>
    <w:p w:rsidR="00D549BC" w:rsidRDefault="00D549BC" w:rsidP="000615FD">
      <w:pPr>
        <w:spacing w:after="240"/>
        <w:ind w:firstLine="0"/>
        <w:contextualSpacing/>
        <w:rPr>
          <w:rFonts w:ascii="Times New Roman" w:hAnsi="Times New Roman"/>
          <w:sz w:val="24"/>
          <w:szCs w:val="24"/>
        </w:rPr>
      </w:pPr>
    </w:p>
    <w:p w:rsidR="00D549BC" w:rsidRDefault="00D549BC" w:rsidP="00E635AC">
      <w:pPr>
        <w:spacing w:after="240"/>
        <w:contextualSpacing/>
        <w:rPr>
          <w:rFonts w:ascii="Times New Roman" w:hAnsi="Times New Roman"/>
          <w:sz w:val="24"/>
          <w:szCs w:val="24"/>
        </w:rPr>
      </w:pPr>
      <w:r>
        <w:rPr>
          <w:rFonts w:ascii="Times New Roman" w:hAnsi="Times New Roman"/>
          <w:sz w:val="24"/>
          <w:szCs w:val="24"/>
        </w:rPr>
        <w:t>Conforme visto no tópico anterior, o STF, com seu Regimento Interno de 1970, disciplinou aquelas situações que não ensejariam o cabimento de RE, segundo a natureza, espécie ou valor pecuniário da causa, com base na autorização prevista no art. 119, parágrafo único da EC nº 1/1969. Todavia, a Corte Suprema brasileira, não satisfeita com aqueles requisitos já instituídos por meio do Regimento Interno de 1970 e previstos expressamente no artigo 308, incisos I, II, III e IV, resolveu, em 1975, editar a Emenda Regimental nº 3, a qual alterava os artigos 52, 60 e 308 do RISTF/1970.</w:t>
      </w:r>
    </w:p>
    <w:p w:rsidR="00D549BC" w:rsidRDefault="00D549BC" w:rsidP="00EB37AB">
      <w:pPr>
        <w:spacing w:after="240"/>
        <w:contextualSpacing/>
        <w:rPr>
          <w:rFonts w:ascii="Times New Roman" w:hAnsi="Times New Roman"/>
          <w:sz w:val="24"/>
          <w:szCs w:val="24"/>
        </w:rPr>
      </w:pPr>
      <w:r>
        <w:rPr>
          <w:rFonts w:ascii="Times New Roman" w:hAnsi="Times New Roman"/>
          <w:sz w:val="24"/>
          <w:szCs w:val="24"/>
        </w:rPr>
        <w:t xml:space="preserve">Interessa-nos aqui tratar apenas das inovações contidas no art. 308 do RISTF/1970, uma vez que a Emenda Regimental nº 3, de 12 de junho de 1975, acrescentou um novo requisito para admissão do Recurso Extraordinário, qual seja, a </w:t>
      </w:r>
      <w:r w:rsidRPr="00BA48CB">
        <w:rPr>
          <w:rFonts w:ascii="Times New Roman" w:hAnsi="Times New Roman"/>
          <w:i/>
          <w:sz w:val="24"/>
          <w:szCs w:val="24"/>
        </w:rPr>
        <w:t>relevância da questão federal</w:t>
      </w:r>
      <w:r>
        <w:rPr>
          <w:rFonts w:ascii="Times New Roman" w:hAnsi="Times New Roman"/>
          <w:sz w:val="24"/>
          <w:szCs w:val="24"/>
        </w:rPr>
        <w:t>, assim como regulamentou a competência para seu exame e processamento e, por fim, aumentou o rol de causas que não autorizariam o apelo extremo.</w:t>
      </w:r>
      <w:r>
        <w:rPr>
          <w:rStyle w:val="FootnoteReference"/>
          <w:rFonts w:ascii="Times New Roman" w:hAnsi="Times New Roman"/>
          <w:sz w:val="24"/>
          <w:szCs w:val="24"/>
        </w:rPr>
        <w:footnoteReference w:id="111"/>
      </w:r>
      <w:r>
        <w:rPr>
          <w:rFonts w:ascii="Times New Roman" w:hAnsi="Times New Roman"/>
          <w:sz w:val="24"/>
          <w:szCs w:val="24"/>
        </w:rPr>
        <w:t xml:space="preserve"> Vejamos, portanto, a nova redação dada ao citado dispositivo regimental: </w:t>
      </w:r>
    </w:p>
    <w:p w:rsidR="00D549BC" w:rsidRPr="00281F09" w:rsidRDefault="00D549BC" w:rsidP="006F663C">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Art. 308. Salvo nos casos de ofensa à Constituição ou </w:t>
      </w:r>
      <w:r w:rsidRPr="00281F09">
        <w:rPr>
          <w:rFonts w:ascii="Times New Roman" w:hAnsi="Times New Roman"/>
          <w:i/>
          <w:szCs w:val="24"/>
        </w:rPr>
        <w:t>relevância da questão federal</w:t>
      </w:r>
      <w:r w:rsidRPr="00281F09">
        <w:rPr>
          <w:rFonts w:ascii="Times New Roman" w:hAnsi="Times New Roman"/>
          <w:szCs w:val="24"/>
        </w:rPr>
        <w:t xml:space="preserve">, </w:t>
      </w:r>
      <w:r w:rsidRPr="00281F09">
        <w:rPr>
          <w:rFonts w:ascii="Times New Roman" w:hAnsi="Times New Roman"/>
          <w:i/>
          <w:szCs w:val="24"/>
        </w:rPr>
        <w:t>não caberá o recurso extraordinário</w:t>
      </w:r>
      <w:r w:rsidRPr="00281F09">
        <w:rPr>
          <w:rFonts w:ascii="Times New Roman" w:hAnsi="Times New Roman"/>
          <w:szCs w:val="24"/>
        </w:rPr>
        <w:t>, a que alude o seu art. 119, parágrafo ú</w:t>
      </w:r>
      <w:r>
        <w:rPr>
          <w:rFonts w:ascii="Times New Roman" w:hAnsi="Times New Roman"/>
          <w:szCs w:val="24"/>
        </w:rPr>
        <w:t xml:space="preserve">nico, das decisões proferidas: </w:t>
      </w:r>
    </w:p>
    <w:p w:rsidR="00D549BC" w:rsidRPr="00281F09" w:rsidRDefault="00D549BC" w:rsidP="006F663C">
      <w:pPr>
        <w:spacing w:after="240" w:line="240" w:lineRule="auto"/>
        <w:ind w:left="2268" w:firstLine="0"/>
        <w:contextualSpacing/>
        <w:rPr>
          <w:rFonts w:ascii="Times New Roman" w:hAnsi="Times New Roman"/>
          <w:szCs w:val="24"/>
        </w:rPr>
      </w:pPr>
      <w:r w:rsidRPr="00281F09">
        <w:rPr>
          <w:rFonts w:ascii="Times New Roman" w:hAnsi="Times New Roman"/>
          <w:szCs w:val="24"/>
        </w:rPr>
        <w:t>I - nos processos por crime ou contravenção a que sejam cominadas penas de multa, prisão simples ou detenção, isoladas, alternadas ou acumuladas, bem como as medidas de s</w:t>
      </w:r>
      <w:r>
        <w:rPr>
          <w:rFonts w:ascii="Times New Roman" w:hAnsi="Times New Roman"/>
          <w:szCs w:val="24"/>
        </w:rPr>
        <w:t>egurança com elas relacionadas;</w:t>
      </w:r>
    </w:p>
    <w:p w:rsidR="00D549BC" w:rsidRPr="00281F09" w:rsidRDefault="00D549BC" w:rsidP="006F663C">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II - nos </w:t>
      </w:r>
      <w:r w:rsidRPr="00281F09">
        <w:rPr>
          <w:rFonts w:ascii="Times New Roman" w:hAnsi="Times New Roman"/>
          <w:i/>
          <w:szCs w:val="24"/>
        </w:rPr>
        <w:t>habeas corpus</w:t>
      </w:r>
      <w:r w:rsidRPr="00281F09">
        <w:rPr>
          <w:rFonts w:ascii="Times New Roman" w:hAnsi="Times New Roman"/>
          <w:szCs w:val="24"/>
        </w:rPr>
        <w:t>, quando não trancarem a ação penal, não lhe impedirem a instauração ou a renovação, nem declararem a extinção da</w:t>
      </w:r>
      <w:r>
        <w:rPr>
          <w:rFonts w:ascii="Times New Roman" w:hAnsi="Times New Roman"/>
          <w:szCs w:val="24"/>
        </w:rPr>
        <w:t xml:space="preserve"> punibilidade;</w:t>
      </w:r>
    </w:p>
    <w:p w:rsidR="00D549BC" w:rsidRPr="00281F09" w:rsidRDefault="00D549BC" w:rsidP="006F663C">
      <w:pPr>
        <w:spacing w:after="240" w:line="240" w:lineRule="auto"/>
        <w:ind w:left="2268" w:firstLine="0"/>
        <w:contextualSpacing/>
        <w:rPr>
          <w:rFonts w:ascii="Times New Roman" w:hAnsi="Times New Roman"/>
          <w:szCs w:val="24"/>
        </w:rPr>
      </w:pPr>
      <w:r w:rsidRPr="00281F09">
        <w:rPr>
          <w:rFonts w:ascii="Times New Roman" w:hAnsi="Times New Roman"/>
          <w:szCs w:val="24"/>
        </w:rPr>
        <w:t>III - nos mandados de segurança</w:t>
      </w:r>
      <w:r>
        <w:rPr>
          <w:rFonts w:ascii="Times New Roman" w:hAnsi="Times New Roman"/>
          <w:szCs w:val="24"/>
        </w:rPr>
        <w:t>, quando não julgarem o mérito;</w:t>
      </w:r>
    </w:p>
    <w:p w:rsidR="00D549BC" w:rsidRPr="00281F09" w:rsidRDefault="00D549BC" w:rsidP="006F663C">
      <w:pPr>
        <w:spacing w:line="240" w:lineRule="auto"/>
        <w:ind w:left="2268" w:firstLine="0"/>
        <w:contextualSpacing/>
        <w:rPr>
          <w:rFonts w:ascii="Times New Roman" w:hAnsi="Times New Roman"/>
          <w:szCs w:val="24"/>
        </w:rPr>
      </w:pPr>
      <w:r w:rsidRPr="00281F09">
        <w:rPr>
          <w:rFonts w:ascii="Times New Roman" w:hAnsi="Times New Roman"/>
          <w:szCs w:val="24"/>
        </w:rPr>
        <w:t>IV - nos litígios decorrentes:</w:t>
      </w:r>
    </w:p>
    <w:p w:rsidR="00D549BC" w:rsidRPr="00281F09" w:rsidRDefault="00D549BC" w:rsidP="006F663C">
      <w:pPr>
        <w:pStyle w:val="ListParagraph"/>
        <w:numPr>
          <w:ilvl w:val="0"/>
          <w:numId w:val="8"/>
        </w:numPr>
        <w:spacing w:line="240" w:lineRule="auto"/>
        <w:rPr>
          <w:rFonts w:ascii="Times New Roman" w:hAnsi="Times New Roman"/>
          <w:szCs w:val="24"/>
        </w:rPr>
      </w:pPr>
      <w:r w:rsidRPr="00281F09">
        <w:rPr>
          <w:rFonts w:ascii="Times New Roman" w:hAnsi="Times New Roman"/>
          <w:szCs w:val="24"/>
        </w:rPr>
        <w:t>de acidente de trabalho;</w:t>
      </w:r>
    </w:p>
    <w:p w:rsidR="00D549BC" w:rsidRPr="00281F09" w:rsidRDefault="00D549BC" w:rsidP="006F663C">
      <w:pPr>
        <w:spacing w:line="240" w:lineRule="auto"/>
        <w:ind w:left="2268" w:firstLine="0"/>
        <w:contextualSpacing/>
        <w:rPr>
          <w:rFonts w:ascii="Times New Roman" w:hAnsi="Times New Roman"/>
          <w:szCs w:val="24"/>
        </w:rPr>
      </w:pPr>
      <w:r w:rsidRPr="00281F09">
        <w:rPr>
          <w:rFonts w:ascii="Times New Roman" w:hAnsi="Times New Roman"/>
          <w:szCs w:val="24"/>
        </w:rPr>
        <w:t>b) das relações de trabalho mencionadas</w:t>
      </w:r>
      <w:r>
        <w:rPr>
          <w:rFonts w:ascii="Times New Roman" w:hAnsi="Times New Roman"/>
          <w:szCs w:val="24"/>
        </w:rPr>
        <w:t xml:space="preserve"> no artigo 110 da Constituição;</w:t>
      </w:r>
    </w:p>
    <w:p w:rsidR="00D549BC" w:rsidRPr="00281F09" w:rsidRDefault="00D549BC" w:rsidP="006F663C">
      <w:pPr>
        <w:spacing w:line="240" w:lineRule="auto"/>
        <w:ind w:left="2268" w:firstLine="0"/>
        <w:contextualSpacing/>
        <w:rPr>
          <w:rFonts w:ascii="Times New Roman" w:hAnsi="Times New Roman"/>
          <w:szCs w:val="24"/>
        </w:rPr>
      </w:pPr>
      <w:r w:rsidRPr="00281F09">
        <w:rPr>
          <w:rFonts w:ascii="Times New Roman" w:hAnsi="Times New Roman"/>
          <w:szCs w:val="24"/>
        </w:rPr>
        <w:t>c) da previdência social</w:t>
      </w:r>
      <w:r>
        <w:rPr>
          <w:rFonts w:ascii="Times New Roman" w:hAnsi="Times New Roman"/>
          <w:szCs w:val="24"/>
        </w:rPr>
        <w:t>;</w:t>
      </w:r>
    </w:p>
    <w:p w:rsidR="00D549BC" w:rsidRPr="00281F09" w:rsidRDefault="00D549BC" w:rsidP="0019310F">
      <w:pPr>
        <w:spacing w:after="240" w:line="240" w:lineRule="auto"/>
        <w:ind w:left="2268" w:firstLine="0"/>
        <w:contextualSpacing/>
        <w:rPr>
          <w:rFonts w:ascii="Times New Roman" w:hAnsi="Times New Roman"/>
          <w:szCs w:val="24"/>
        </w:rPr>
      </w:pPr>
      <w:r w:rsidRPr="00281F09">
        <w:rPr>
          <w:rFonts w:ascii="Times New Roman" w:hAnsi="Times New Roman"/>
          <w:szCs w:val="24"/>
        </w:rPr>
        <w:t>d) da relação estatutária de serviço público, quando não for discutido o</w:t>
      </w:r>
      <w:r>
        <w:rPr>
          <w:rFonts w:ascii="Times New Roman" w:hAnsi="Times New Roman"/>
          <w:szCs w:val="24"/>
        </w:rPr>
        <w:t xml:space="preserve"> </w:t>
      </w:r>
      <w:r w:rsidRPr="00281F09">
        <w:rPr>
          <w:rFonts w:ascii="Times New Roman" w:hAnsi="Times New Roman"/>
          <w:szCs w:val="24"/>
        </w:rPr>
        <w:t>direito à constituição ou subsistência da própria relação jurídica fundamental;</w:t>
      </w:r>
    </w:p>
    <w:p w:rsidR="00D549BC" w:rsidRPr="00281F09" w:rsidRDefault="00D549BC" w:rsidP="0019310F">
      <w:pPr>
        <w:spacing w:after="240" w:line="240" w:lineRule="auto"/>
        <w:ind w:left="2268" w:firstLine="0"/>
        <w:contextualSpacing/>
        <w:rPr>
          <w:rFonts w:ascii="Times New Roman" w:hAnsi="Times New Roman"/>
          <w:szCs w:val="24"/>
        </w:rPr>
      </w:pPr>
    </w:p>
    <w:p w:rsidR="00D549BC" w:rsidRPr="00281F09" w:rsidRDefault="00D549BC" w:rsidP="0019310F">
      <w:pPr>
        <w:spacing w:after="240" w:line="240" w:lineRule="auto"/>
        <w:ind w:left="2268" w:firstLine="0"/>
        <w:contextualSpacing/>
        <w:rPr>
          <w:rFonts w:ascii="Times New Roman" w:hAnsi="Times New Roman"/>
          <w:szCs w:val="24"/>
        </w:rPr>
      </w:pPr>
      <w:r w:rsidRPr="00281F09">
        <w:rPr>
          <w:rFonts w:ascii="Times New Roman" w:hAnsi="Times New Roman"/>
          <w:szCs w:val="24"/>
        </w:rPr>
        <w:t>V - nas ações possessórias, nas de consignação em pagamento, nas relativas à locação, nos procedimentos sumaríssimos e nos processos cautelares;</w:t>
      </w:r>
    </w:p>
    <w:p w:rsidR="00D549BC" w:rsidRPr="00281F09" w:rsidRDefault="00D549BC" w:rsidP="0019310F">
      <w:pPr>
        <w:spacing w:after="240" w:line="240" w:lineRule="auto"/>
        <w:ind w:left="2268" w:firstLine="0"/>
        <w:contextualSpacing/>
        <w:rPr>
          <w:rFonts w:ascii="Times New Roman" w:hAnsi="Times New Roman"/>
          <w:szCs w:val="24"/>
        </w:rPr>
      </w:pPr>
      <w:r w:rsidRPr="00281F09">
        <w:rPr>
          <w:rFonts w:ascii="Times New Roman" w:hAnsi="Times New Roman"/>
          <w:szCs w:val="24"/>
        </w:rPr>
        <w:t>VI - nas execuções por título judicial;</w:t>
      </w:r>
    </w:p>
    <w:p w:rsidR="00D549BC" w:rsidRPr="00281F09" w:rsidRDefault="00D549BC" w:rsidP="0019310F">
      <w:pPr>
        <w:spacing w:after="240" w:line="240" w:lineRule="auto"/>
        <w:ind w:left="2268" w:firstLine="0"/>
        <w:contextualSpacing/>
        <w:rPr>
          <w:rFonts w:ascii="Times New Roman" w:hAnsi="Times New Roman"/>
          <w:szCs w:val="24"/>
        </w:rPr>
      </w:pPr>
      <w:r w:rsidRPr="00281F09">
        <w:rPr>
          <w:rFonts w:ascii="Times New Roman" w:hAnsi="Times New Roman"/>
          <w:szCs w:val="24"/>
        </w:rPr>
        <w:t>VII - sobre extinção do processo, sem julgamento do mérito, quando não obstarem a que o autor intente de novo a ação;</w:t>
      </w:r>
    </w:p>
    <w:p w:rsidR="00D549BC" w:rsidRPr="00281F09" w:rsidRDefault="00D549BC" w:rsidP="0019310F">
      <w:pPr>
        <w:spacing w:after="240" w:line="240" w:lineRule="auto"/>
        <w:ind w:left="2268" w:firstLine="0"/>
        <w:contextualSpacing/>
        <w:rPr>
          <w:rFonts w:ascii="Times New Roman" w:hAnsi="Times New Roman"/>
          <w:szCs w:val="24"/>
        </w:rPr>
      </w:pPr>
      <w:r w:rsidRPr="00281F09">
        <w:rPr>
          <w:rFonts w:ascii="Times New Roman" w:hAnsi="Times New Roman"/>
          <w:szCs w:val="24"/>
        </w:rPr>
        <w:t>VIII - nas causas cujo valor, declarado na petição inicial, ainda que para</w:t>
      </w:r>
      <w:r>
        <w:rPr>
          <w:rFonts w:ascii="Times New Roman" w:hAnsi="Times New Roman"/>
          <w:szCs w:val="24"/>
        </w:rPr>
        <w:t xml:space="preserve"> </w:t>
      </w:r>
      <w:r w:rsidRPr="00281F09">
        <w:rPr>
          <w:rFonts w:ascii="Times New Roman" w:hAnsi="Times New Roman"/>
          <w:szCs w:val="24"/>
        </w:rPr>
        <w:t>efeitos fiscais, ou determinado pelo juiz, se aquele for inexato ou desobediente aos critérios legais, não exceda de 100 vezes o maior salário mínimo vigente no País, na data do seu ajuizamento, quando uniformes as decisões das instâncias ordinárias; e de 50, quando entre elas tenha havido divergência, ou se trate de ação sujeita a instância única.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 3º. </w:t>
      </w:r>
      <w:r w:rsidRPr="00281F09">
        <w:rPr>
          <w:rFonts w:ascii="Times New Roman" w:hAnsi="Times New Roman"/>
          <w:b/>
          <w:szCs w:val="24"/>
        </w:rPr>
        <w:t>Caberá privativamente ao Supremo Tribunal Federal o exame da arg</w:t>
      </w:r>
      <w:r>
        <w:rPr>
          <w:rFonts w:ascii="Times New Roman" w:hAnsi="Times New Roman"/>
          <w:b/>
          <w:szCs w:val="24"/>
        </w:rPr>
        <w:t>u</w:t>
      </w:r>
      <w:r w:rsidRPr="00281F09">
        <w:rPr>
          <w:rFonts w:ascii="Times New Roman" w:hAnsi="Times New Roman"/>
          <w:b/>
          <w:szCs w:val="24"/>
        </w:rPr>
        <w:t>ição de relevância da questão federal</w:t>
      </w:r>
      <w:r w:rsidRPr="00281F09">
        <w:rPr>
          <w:rFonts w:ascii="Times New Roman" w:hAnsi="Times New Roman"/>
          <w:szCs w:val="24"/>
        </w:rPr>
        <w:t>.</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 4º. A arguição de relevância da questão federal processar-se-á por i</w:t>
      </w:r>
      <w:r>
        <w:rPr>
          <w:rFonts w:ascii="Times New Roman" w:hAnsi="Times New Roman"/>
          <w:szCs w:val="24"/>
        </w:rPr>
        <w:t xml:space="preserve">nstrumento, da seguinte forma: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I - na petição de recurso extraordinário, (arts. 304 e 305), o recorrente deduzirá, sucinta mas fundamentadamente, em capítulo específico e destacado, a demonstração da relevância da questão suscitada, pedirá formação do instrumento e indicará, além das enumeradas no inciso seguinte, outras peças essenciais cu</w:t>
      </w:r>
      <w:r>
        <w:rPr>
          <w:rFonts w:ascii="Times New Roman" w:hAnsi="Times New Roman"/>
          <w:szCs w:val="24"/>
        </w:rPr>
        <w:t>ja reprodução deva integrá-lo;</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II - juntada aos autos a petição, o Presidente do Tribunal de origem mandará formar instrumento do qual constarão, por fotocópia ou processo equivalente de reprodução, a sentença de primeira instância, o acórdão recorrido, a petição de recurso extraordinário e as peças indicada</w:t>
      </w:r>
      <w:r>
        <w:rPr>
          <w:rFonts w:ascii="Times New Roman" w:hAnsi="Times New Roman"/>
          <w:szCs w:val="24"/>
        </w:rPr>
        <w:t xml:space="preserve">s na forma do inciso anterior;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III - o recorrido será intimado para responder à ar</w:t>
      </w:r>
      <w:r>
        <w:rPr>
          <w:rFonts w:ascii="Times New Roman" w:hAnsi="Times New Roman"/>
          <w:szCs w:val="24"/>
        </w:rPr>
        <w:t xml:space="preserve">guição no prazo de cinco dias;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IV - formado o instrumento, com a resposta do recorrido ou sem ela, intimar-se-á o recorrente para, em quinze dias, promover sua reprodução, por fotocópia ou processo equivalente, em mais dez exemplares, e pagar as custas devidas ao Supremo Tribunal Federal (art. 111, §§ 1º, 2º e 3º), iguais às taxadas para o caso de agravo de instrumento;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V - correrão à conta do recorrente, no Tribunal de origem, as despesas com a formação, reprodução e remessa d</w:t>
      </w:r>
      <w:r>
        <w:rPr>
          <w:rFonts w:ascii="Times New Roman" w:hAnsi="Times New Roman"/>
          <w:szCs w:val="24"/>
        </w:rPr>
        <w:t xml:space="preserve">o instrumento;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VI - formado, reproduzido e preparado o instrumento, o Presidente do Tribunal mandará remetê-lo, em onze exemplares, ao Supremo Tribunal Federal;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VII - no Supremo Tribunal Federal, o instrumento será registrado na classe Arguição de Relevância (art. 60, VI), prescindirá de Relator e terá seus exemplares distribuídos a todos os Ministros, depois de neles indicada a sessão de Conselho que o Presidente houver </w:t>
      </w:r>
      <w:r>
        <w:rPr>
          <w:rFonts w:ascii="Times New Roman" w:hAnsi="Times New Roman"/>
          <w:szCs w:val="24"/>
        </w:rPr>
        <w:t xml:space="preserve">designado para sua apreciação;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VIII - da ata da sessão do Conselho, que se publicará para a ciência dos interessados, constará apenas a relação das arguições acolhidas e rejeitadas;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IX - a apreciação em Conselho não comportará pedido de vista, dispensará </w:t>
      </w:r>
      <w:r>
        <w:rPr>
          <w:rFonts w:ascii="Times New Roman" w:hAnsi="Times New Roman"/>
          <w:szCs w:val="24"/>
        </w:rPr>
        <w:t xml:space="preserve">motivação e será irrecorrível; </w:t>
      </w:r>
    </w:p>
    <w:p w:rsidR="00D549BC" w:rsidRPr="00281F09" w:rsidRDefault="00D549BC" w:rsidP="009617BB">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X - o acolhimento da arguição de relevância será comunicado ao Presidente do Tribunal de origem, para que faça processar o recurso extraordinário, mas não implicará o ulterior conhecimento </w:t>
      </w:r>
      <w:r>
        <w:rPr>
          <w:rFonts w:ascii="Times New Roman" w:hAnsi="Times New Roman"/>
          <w:szCs w:val="24"/>
        </w:rPr>
        <w:t xml:space="preserve">deste, pela Turma ou Plenário. </w:t>
      </w:r>
    </w:p>
    <w:p w:rsidR="00D549BC" w:rsidRDefault="00D549BC" w:rsidP="00076D72">
      <w:pPr>
        <w:spacing w:after="240" w:line="240" w:lineRule="auto"/>
        <w:ind w:left="2268" w:firstLine="0"/>
        <w:contextualSpacing/>
        <w:rPr>
          <w:rFonts w:ascii="Times New Roman" w:hAnsi="Times New Roman"/>
          <w:sz w:val="24"/>
          <w:szCs w:val="24"/>
        </w:rPr>
      </w:pPr>
      <w:r w:rsidRPr="00281F09">
        <w:rPr>
          <w:rFonts w:ascii="Times New Roman" w:hAnsi="Times New Roman"/>
          <w:szCs w:val="24"/>
        </w:rPr>
        <w:t>(...)</w:t>
      </w:r>
      <w:r>
        <w:rPr>
          <w:rStyle w:val="FootnoteReference"/>
          <w:rFonts w:ascii="Times New Roman" w:hAnsi="Times New Roman"/>
          <w:sz w:val="24"/>
          <w:szCs w:val="24"/>
        </w:rPr>
        <w:footnoteReference w:id="112"/>
      </w:r>
      <w:r>
        <w:rPr>
          <w:rFonts w:ascii="Times New Roman" w:hAnsi="Times New Roman"/>
          <w:sz w:val="24"/>
          <w:szCs w:val="24"/>
        </w:rPr>
        <w:t xml:space="preserve"> </w:t>
      </w:r>
    </w:p>
    <w:p w:rsidR="00D549BC" w:rsidRDefault="00D549BC" w:rsidP="00076D72">
      <w:pPr>
        <w:spacing w:after="240" w:line="240" w:lineRule="auto"/>
        <w:ind w:left="2268" w:firstLine="0"/>
        <w:contextualSpacing/>
        <w:rPr>
          <w:rFonts w:ascii="Times New Roman" w:hAnsi="Times New Roman"/>
          <w:sz w:val="24"/>
          <w:szCs w:val="24"/>
        </w:rPr>
      </w:pPr>
    </w:p>
    <w:p w:rsidR="00D549BC" w:rsidRDefault="00D549BC" w:rsidP="00266014">
      <w:pPr>
        <w:spacing w:after="240" w:line="240" w:lineRule="auto"/>
        <w:ind w:firstLine="1560"/>
        <w:contextualSpacing/>
        <w:rPr>
          <w:rFonts w:ascii="Times New Roman" w:hAnsi="Times New Roman"/>
          <w:sz w:val="24"/>
          <w:szCs w:val="24"/>
        </w:rPr>
      </w:pPr>
      <w:r>
        <w:rPr>
          <w:rFonts w:ascii="Times New Roman" w:hAnsi="Times New Roman"/>
          <w:sz w:val="24"/>
          <w:szCs w:val="24"/>
        </w:rPr>
        <w:tab/>
        <w:t xml:space="preserve">  </w:t>
      </w:r>
    </w:p>
    <w:p w:rsidR="00D549BC" w:rsidRDefault="00D549BC" w:rsidP="00BF1EF2">
      <w:pPr>
        <w:spacing w:after="240"/>
        <w:contextualSpacing/>
        <w:rPr>
          <w:rFonts w:ascii="Times New Roman" w:hAnsi="Times New Roman"/>
          <w:sz w:val="24"/>
          <w:szCs w:val="24"/>
        </w:rPr>
      </w:pPr>
      <w:r>
        <w:rPr>
          <w:rFonts w:ascii="Times New Roman" w:hAnsi="Times New Roman"/>
          <w:sz w:val="24"/>
          <w:szCs w:val="24"/>
        </w:rPr>
        <w:t xml:space="preserve">O novo instituto gerou rigorosas críticas por parte da doutrina, especialmente no que diz respeito à forma como ele foi criado, bem como ao procedimento estabelecido pelo Supremo Tribunal Federal em seu Regimento Interno. </w:t>
      </w:r>
    </w:p>
    <w:p w:rsidR="00D549BC" w:rsidRDefault="00D549BC" w:rsidP="00BF1EF2">
      <w:pPr>
        <w:spacing w:after="240"/>
        <w:contextualSpacing/>
        <w:rPr>
          <w:rFonts w:ascii="Times New Roman" w:hAnsi="Times New Roman"/>
          <w:sz w:val="24"/>
          <w:szCs w:val="24"/>
        </w:rPr>
      </w:pPr>
      <w:r>
        <w:rPr>
          <w:rFonts w:ascii="Times New Roman" w:hAnsi="Times New Roman"/>
          <w:sz w:val="24"/>
          <w:szCs w:val="24"/>
        </w:rPr>
        <w:t xml:space="preserve">A primeira delas apontava que a Corte, ao modificar a redação original do art. 308 do seu Regimento Interno, acabou por exceder a autorização constitucional constante do art. 119, parágrafo único da EC nº 1 de 1969, pois esta </w:t>
      </w:r>
      <w:r w:rsidRPr="003F5954">
        <w:rPr>
          <w:rFonts w:ascii="Times New Roman" w:hAnsi="Times New Roman"/>
          <w:sz w:val="24"/>
          <w:szCs w:val="24"/>
        </w:rPr>
        <w:t xml:space="preserve">não </w:t>
      </w:r>
      <w:r>
        <w:rPr>
          <w:rFonts w:ascii="Times New Roman" w:hAnsi="Times New Roman"/>
          <w:sz w:val="24"/>
          <w:szCs w:val="24"/>
        </w:rPr>
        <w:t>previa</w:t>
      </w:r>
      <w:r w:rsidRPr="003F5954">
        <w:rPr>
          <w:rFonts w:ascii="Times New Roman" w:hAnsi="Times New Roman"/>
          <w:sz w:val="24"/>
          <w:szCs w:val="24"/>
        </w:rPr>
        <w:t xml:space="preserve"> a possibilidade de restringir a admissibilidade do</w:t>
      </w:r>
      <w:r>
        <w:rPr>
          <w:rFonts w:ascii="Times New Roman" w:hAnsi="Times New Roman"/>
          <w:sz w:val="24"/>
          <w:szCs w:val="24"/>
        </w:rPr>
        <w:t xml:space="preserve"> Recurso Extraordinário</w:t>
      </w:r>
      <w:r w:rsidRPr="003F5954">
        <w:rPr>
          <w:rFonts w:ascii="Times New Roman" w:hAnsi="Times New Roman"/>
          <w:sz w:val="24"/>
          <w:szCs w:val="24"/>
        </w:rPr>
        <w:t xml:space="preserve">, interposto com fundamento </w:t>
      </w:r>
      <w:r>
        <w:rPr>
          <w:rFonts w:ascii="Times New Roman" w:hAnsi="Times New Roman"/>
          <w:sz w:val="24"/>
          <w:szCs w:val="24"/>
        </w:rPr>
        <w:t>n</w:t>
      </w:r>
      <w:r w:rsidRPr="003F5954">
        <w:rPr>
          <w:rFonts w:ascii="Times New Roman" w:hAnsi="Times New Roman"/>
          <w:sz w:val="24"/>
          <w:szCs w:val="24"/>
        </w:rPr>
        <w:t xml:space="preserve">as </w:t>
      </w:r>
      <w:r>
        <w:rPr>
          <w:rFonts w:ascii="Times New Roman" w:hAnsi="Times New Roman"/>
          <w:sz w:val="24"/>
          <w:szCs w:val="24"/>
        </w:rPr>
        <w:t>alínea</w:t>
      </w:r>
      <w:r w:rsidRPr="003F5954">
        <w:rPr>
          <w:rFonts w:ascii="Times New Roman" w:hAnsi="Times New Roman"/>
          <w:sz w:val="24"/>
          <w:szCs w:val="24"/>
        </w:rPr>
        <w:t>s “a” e “d” da</w:t>
      </w:r>
      <w:r>
        <w:rPr>
          <w:rFonts w:ascii="Times New Roman" w:hAnsi="Times New Roman"/>
          <w:sz w:val="24"/>
          <w:szCs w:val="24"/>
        </w:rPr>
        <w:t xml:space="preserve"> </w:t>
      </w:r>
      <w:r w:rsidRPr="003F5954">
        <w:rPr>
          <w:rFonts w:ascii="Times New Roman" w:hAnsi="Times New Roman"/>
          <w:sz w:val="24"/>
          <w:szCs w:val="24"/>
        </w:rPr>
        <w:t>norma constitucional, em virtude da “</w:t>
      </w:r>
      <w:r w:rsidRPr="008D1F65">
        <w:rPr>
          <w:rFonts w:ascii="Times New Roman" w:hAnsi="Times New Roman"/>
          <w:i/>
          <w:sz w:val="24"/>
          <w:szCs w:val="24"/>
        </w:rPr>
        <w:t>relevância da questão federal</w:t>
      </w:r>
      <w:r w:rsidRPr="003F5954">
        <w:rPr>
          <w:rFonts w:ascii="Times New Roman" w:hAnsi="Times New Roman"/>
          <w:sz w:val="24"/>
          <w:szCs w:val="24"/>
        </w:rPr>
        <w:t>”.</w:t>
      </w:r>
      <w:r>
        <w:rPr>
          <w:rFonts w:ascii="Times New Roman" w:hAnsi="Times New Roman"/>
          <w:sz w:val="24"/>
          <w:szCs w:val="24"/>
        </w:rPr>
        <w:t xml:space="preserve"> Assim, o novo instituto da arguição de relevância, nasceu, do ponto de vista jurídico, bastante questionável acerca de sua constitucionalidade.  </w:t>
      </w:r>
    </w:p>
    <w:p w:rsidR="00D549BC" w:rsidRDefault="00D549BC" w:rsidP="00BA48D3">
      <w:pPr>
        <w:spacing w:after="240"/>
        <w:contextualSpacing/>
        <w:rPr>
          <w:rFonts w:ascii="Times New Roman" w:hAnsi="Times New Roman"/>
          <w:sz w:val="24"/>
          <w:szCs w:val="24"/>
        </w:rPr>
      </w:pPr>
      <w:r>
        <w:rPr>
          <w:rFonts w:ascii="Times New Roman" w:hAnsi="Times New Roman"/>
          <w:sz w:val="24"/>
          <w:szCs w:val="24"/>
        </w:rPr>
        <w:t>Outras questões polêmicas que surgiram em torno da arguição de relevância referiam-se a seu procedimento complexo e oneroso, pois o recorrente deveria cumprir uma série de formalidades indicadas no art. 308, § 4º, incisos I, II, III, IV e V do alterado Regimento Interno. Criticava-se também que a aferição do que fosse “relevante” ficava a critério, incontestavelmente, do STF. Outro ponto é que a “relevância” de uma questão é um dado axiológico a ser levado em conta pelo legislador quando faz a norma e não pelo julgador que a aplica.</w:t>
      </w:r>
      <w:r>
        <w:rPr>
          <w:rStyle w:val="FootnoteReference"/>
          <w:rFonts w:ascii="Times New Roman" w:hAnsi="Times New Roman"/>
          <w:sz w:val="24"/>
          <w:szCs w:val="24"/>
        </w:rPr>
        <w:footnoteReference w:id="113"/>
      </w:r>
      <w:r>
        <w:rPr>
          <w:rFonts w:ascii="Times New Roman" w:hAnsi="Times New Roman"/>
          <w:sz w:val="24"/>
          <w:szCs w:val="24"/>
        </w:rPr>
        <w:t xml:space="preserve"> Por fim, questionava-se o fato de a sessão de Conselho, que julgava as arguições, ser secreta e dispensar motivação para as escolhas e rejeições.</w:t>
      </w:r>
      <w:r>
        <w:rPr>
          <w:rStyle w:val="FootnoteReference"/>
          <w:rFonts w:ascii="Times New Roman" w:hAnsi="Times New Roman"/>
          <w:sz w:val="24"/>
          <w:szCs w:val="24"/>
        </w:rPr>
        <w:footnoteReference w:id="114"/>
      </w:r>
    </w:p>
    <w:p w:rsidR="00D549BC" w:rsidRDefault="00D549BC" w:rsidP="00147F0E">
      <w:pPr>
        <w:spacing w:after="240"/>
        <w:contextualSpacing/>
        <w:rPr>
          <w:rFonts w:ascii="Times New Roman" w:hAnsi="Times New Roman"/>
          <w:sz w:val="24"/>
          <w:szCs w:val="24"/>
        </w:rPr>
      </w:pPr>
      <w:r>
        <w:rPr>
          <w:rFonts w:ascii="Times New Roman" w:hAnsi="Times New Roman"/>
          <w:sz w:val="24"/>
          <w:szCs w:val="24"/>
        </w:rPr>
        <w:t xml:space="preserve"> Logo em seguida, houve o advento da Emenda Constitucional nº 7, de 13 de abril de 1977, inspirada em trabalho de uma Comissão Especial composta pelos Ministros do Supremo Tribunal Federal Thompson Flores, Rodrigues Alckmin e Xavier de Albuquerque,</w:t>
      </w:r>
      <w:r>
        <w:rPr>
          <w:rStyle w:val="FootnoteReference"/>
          <w:rFonts w:ascii="Times New Roman" w:hAnsi="Times New Roman"/>
          <w:sz w:val="24"/>
          <w:szCs w:val="24"/>
        </w:rPr>
        <w:footnoteReference w:id="115"/>
      </w:r>
      <w:r>
        <w:rPr>
          <w:rFonts w:ascii="Times New Roman" w:hAnsi="Times New Roman"/>
          <w:sz w:val="24"/>
          <w:szCs w:val="24"/>
        </w:rPr>
        <w:t xml:space="preserve"> que previu expressamente a </w:t>
      </w:r>
      <w:r>
        <w:rPr>
          <w:rFonts w:ascii="Times New Roman" w:hAnsi="Times New Roman"/>
          <w:i/>
          <w:sz w:val="24"/>
          <w:szCs w:val="24"/>
        </w:rPr>
        <w:t xml:space="preserve">relevância da questão federal </w:t>
      </w:r>
      <w:r>
        <w:rPr>
          <w:rFonts w:ascii="Times New Roman" w:hAnsi="Times New Roman"/>
          <w:sz w:val="24"/>
          <w:szCs w:val="24"/>
        </w:rPr>
        <w:t>na nova redação do artigo 119, cujo § 1º passou a prever: “</w:t>
      </w:r>
      <w:r w:rsidRPr="00367686">
        <w:rPr>
          <w:rFonts w:ascii="Times New Roman" w:hAnsi="Times New Roman"/>
          <w:sz w:val="24"/>
          <w:szCs w:val="24"/>
        </w:rPr>
        <w:t xml:space="preserve">As causas a que se fere o item III, alíneas </w:t>
      </w:r>
      <w:r w:rsidRPr="00367686">
        <w:rPr>
          <w:rFonts w:ascii="Times New Roman" w:hAnsi="Times New Roman"/>
          <w:i/>
          <w:sz w:val="24"/>
          <w:szCs w:val="24"/>
        </w:rPr>
        <w:t>a</w:t>
      </w:r>
      <w:r w:rsidRPr="00367686">
        <w:rPr>
          <w:rFonts w:ascii="Times New Roman" w:hAnsi="Times New Roman"/>
          <w:sz w:val="24"/>
          <w:szCs w:val="24"/>
        </w:rPr>
        <w:t xml:space="preserve"> e </w:t>
      </w:r>
      <w:r w:rsidRPr="00367686">
        <w:rPr>
          <w:rFonts w:ascii="Times New Roman" w:hAnsi="Times New Roman"/>
          <w:i/>
          <w:sz w:val="24"/>
          <w:szCs w:val="24"/>
        </w:rPr>
        <w:t>d</w:t>
      </w:r>
      <w:r w:rsidRPr="00367686">
        <w:rPr>
          <w:rFonts w:ascii="Times New Roman" w:hAnsi="Times New Roman"/>
          <w:sz w:val="24"/>
          <w:szCs w:val="24"/>
        </w:rPr>
        <w:t xml:space="preserve"> , deste artigo, serão indicadas pelo Supremo Tribunal Federal no regimento interno, que atenderá à sua natureza, espécie, valor pecuniário e </w:t>
      </w:r>
      <w:r w:rsidRPr="00367686">
        <w:rPr>
          <w:rFonts w:ascii="Times New Roman" w:hAnsi="Times New Roman"/>
          <w:i/>
          <w:sz w:val="24"/>
          <w:szCs w:val="24"/>
        </w:rPr>
        <w:t>relevância da questão federal</w:t>
      </w:r>
      <w:r>
        <w:rPr>
          <w:rFonts w:ascii="Times New Roman" w:hAnsi="Times New Roman"/>
          <w:sz w:val="24"/>
          <w:szCs w:val="24"/>
        </w:rPr>
        <w:t>” (grifo nosso).</w:t>
      </w:r>
      <w:r>
        <w:rPr>
          <w:rStyle w:val="FootnoteReference"/>
          <w:rFonts w:ascii="Times New Roman" w:hAnsi="Times New Roman"/>
          <w:sz w:val="24"/>
          <w:szCs w:val="24"/>
        </w:rPr>
        <w:footnoteReference w:id="116"/>
      </w:r>
    </w:p>
    <w:p w:rsidR="00D549BC" w:rsidRDefault="00D549BC" w:rsidP="00CD1ED1">
      <w:pPr>
        <w:spacing w:after="240"/>
        <w:contextualSpacing/>
        <w:rPr>
          <w:rFonts w:ascii="Times New Roman" w:hAnsi="Times New Roman"/>
          <w:sz w:val="24"/>
          <w:szCs w:val="24"/>
        </w:rPr>
      </w:pPr>
      <w:r>
        <w:rPr>
          <w:rFonts w:ascii="Times New Roman" w:hAnsi="Times New Roman"/>
          <w:sz w:val="24"/>
          <w:szCs w:val="24"/>
        </w:rPr>
        <w:t xml:space="preserve">Com efeito, o instituto da Arguição de Relevância da Questão Federal passou, a partir de 1977, a ter </w:t>
      </w:r>
      <w:r w:rsidRPr="00E07BC9">
        <w:rPr>
          <w:rFonts w:ascii="Times New Roman" w:hAnsi="Times New Roman"/>
          <w:i/>
          <w:sz w:val="24"/>
          <w:szCs w:val="24"/>
        </w:rPr>
        <w:t>status</w:t>
      </w:r>
      <w:r>
        <w:rPr>
          <w:rFonts w:ascii="Times New Roman" w:hAnsi="Times New Roman"/>
          <w:sz w:val="24"/>
          <w:szCs w:val="24"/>
        </w:rPr>
        <w:t xml:space="preserve"> constitucional, pondo fim às discussões sobre sua suposta inconstitucionalidade, visto que fora, inicialmente, instituído em 1975, por meio de Emenda Regimental do próprio STF.</w:t>
      </w:r>
    </w:p>
    <w:p w:rsidR="00D549BC" w:rsidRDefault="00D549BC" w:rsidP="00CD1ED1">
      <w:pPr>
        <w:spacing w:after="240"/>
        <w:contextualSpacing/>
        <w:rPr>
          <w:rFonts w:ascii="Times New Roman" w:hAnsi="Times New Roman"/>
          <w:sz w:val="24"/>
          <w:szCs w:val="24"/>
        </w:rPr>
      </w:pPr>
      <w:r>
        <w:rPr>
          <w:rFonts w:ascii="Times New Roman" w:hAnsi="Times New Roman"/>
          <w:sz w:val="24"/>
          <w:szCs w:val="24"/>
        </w:rPr>
        <w:t xml:space="preserve">Em 27 de outubro de 1980, portanto três anos após a EC nº 7/77, tivemos a publicação do novo Regimento Interno do Supremo Tribunal Federal, o qual está em vigor até hoje, sendo que muitas de suas disposições originais já foram revogadas ou modificadas em virtude de emendas regimentais posteriores. </w:t>
      </w:r>
    </w:p>
    <w:p w:rsidR="00D549BC" w:rsidRDefault="00D549BC" w:rsidP="00CD1ED1">
      <w:pPr>
        <w:spacing w:after="240"/>
        <w:contextualSpacing/>
        <w:rPr>
          <w:rFonts w:ascii="Times New Roman" w:hAnsi="Times New Roman"/>
          <w:sz w:val="24"/>
          <w:szCs w:val="24"/>
        </w:rPr>
      </w:pPr>
      <w:r>
        <w:rPr>
          <w:rFonts w:ascii="Times New Roman" w:hAnsi="Times New Roman"/>
          <w:sz w:val="24"/>
          <w:szCs w:val="24"/>
        </w:rPr>
        <w:t xml:space="preserve">Interessa-nos aqui falar do artigo 325 do RISTF/1980, que elencava as hipóteses de não cabimento do Recurso Extraordinário. </w:t>
      </w:r>
      <w:r w:rsidRPr="00F82625">
        <w:rPr>
          <w:rFonts w:ascii="Times New Roman" w:hAnsi="Times New Roman"/>
          <w:sz w:val="24"/>
          <w:szCs w:val="24"/>
        </w:rPr>
        <w:t>Inicialmente,</w:t>
      </w:r>
      <w:r>
        <w:rPr>
          <w:rFonts w:ascii="Times New Roman" w:hAnsi="Times New Roman"/>
          <w:sz w:val="24"/>
          <w:szCs w:val="24"/>
        </w:rPr>
        <w:t xml:space="preserve"> eram oito essas hipóteses, conforme</w:t>
      </w:r>
      <w:r w:rsidRPr="00F82625">
        <w:rPr>
          <w:rFonts w:ascii="Times New Roman" w:hAnsi="Times New Roman"/>
          <w:sz w:val="24"/>
          <w:szCs w:val="24"/>
        </w:rPr>
        <w:t xml:space="preserve"> </w:t>
      </w:r>
      <w:r>
        <w:rPr>
          <w:rFonts w:ascii="Times New Roman" w:hAnsi="Times New Roman"/>
          <w:sz w:val="24"/>
          <w:szCs w:val="24"/>
        </w:rPr>
        <w:t>vimos</w:t>
      </w:r>
      <w:r w:rsidRPr="00F82625">
        <w:rPr>
          <w:rFonts w:ascii="Times New Roman" w:hAnsi="Times New Roman"/>
          <w:sz w:val="24"/>
          <w:szCs w:val="24"/>
        </w:rPr>
        <w:t xml:space="preserve"> acima, sendo que</w:t>
      </w:r>
      <w:r>
        <w:rPr>
          <w:rFonts w:ascii="Times New Roman" w:hAnsi="Times New Roman"/>
          <w:sz w:val="24"/>
          <w:szCs w:val="24"/>
        </w:rPr>
        <w:t>,</w:t>
      </w:r>
      <w:r w:rsidRPr="00F82625">
        <w:rPr>
          <w:rFonts w:ascii="Times New Roman" w:hAnsi="Times New Roman"/>
          <w:sz w:val="24"/>
          <w:szCs w:val="24"/>
        </w:rPr>
        <w:t xml:space="preserve"> a partir</w:t>
      </w:r>
      <w:r>
        <w:rPr>
          <w:rFonts w:ascii="Times New Roman" w:hAnsi="Times New Roman"/>
          <w:sz w:val="24"/>
          <w:szCs w:val="24"/>
        </w:rPr>
        <w:t xml:space="preserve"> </w:t>
      </w:r>
      <w:r w:rsidRPr="00F82625">
        <w:rPr>
          <w:rFonts w:ascii="Times New Roman" w:hAnsi="Times New Roman"/>
          <w:sz w:val="24"/>
          <w:szCs w:val="24"/>
        </w:rPr>
        <w:t>d</w:t>
      </w:r>
      <w:r>
        <w:rPr>
          <w:rFonts w:ascii="Times New Roman" w:hAnsi="Times New Roman"/>
          <w:sz w:val="24"/>
          <w:szCs w:val="24"/>
        </w:rPr>
        <w:t xml:space="preserve">e </w:t>
      </w:r>
      <w:r w:rsidRPr="00F82625">
        <w:rPr>
          <w:rFonts w:ascii="Times New Roman" w:hAnsi="Times New Roman"/>
          <w:sz w:val="24"/>
          <w:szCs w:val="24"/>
        </w:rPr>
        <w:t>1980, foi acrescido mais um inciso</w:t>
      </w:r>
      <w:r>
        <w:rPr>
          <w:rFonts w:ascii="Times New Roman" w:hAnsi="Times New Roman"/>
          <w:sz w:val="24"/>
          <w:szCs w:val="24"/>
        </w:rPr>
        <w:t xml:space="preserve"> (o IX)</w:t>
      </w:r>
      <w:r w:rsidRPr="00F82625">
        <w:rPr>
          <w:rFonts w:ascii="Times New Roman" w:hAnsi="Times New Roman"/>
          <w:sz w:val="24"/>
          <w:szCs w:val="24"/>
        </w:rPr>
        <w:t xml:space="preserve"> ao rol de situações em</w:t>
      </w:r>
      <w:r>
        <w:rPr>
          <w:rFonts w:ascii="Times New Roman" w:hAnsi="Times New Roman"/>
          <w:sz w:val="24"/>
          <w:szCs w:val="24"/>
        </w:rPr>
        <w:t xml:space="preserve"> </w:t>
      </w:r>
      <w:r w:rsidRPr="00F82625">
        <w:rPr>
          <w:rFonts w:ascii="Times New Roman" w:hAnsi="Times New Roman"/>
          <w:sz w:val="24"/>
          <w:szCs w:val="24"/>
        </w:rPr>
        <w:t xml:space="preserve">que não era cabível o </w:t>
      </w:r>
      <w:r>
        <w:rPr>
          <w:rFonts w:ascii="Times New Roman" w:hAnsi="Times New Roman"/>
          <w:sz w:val="24"/>
          <w:szCs w:val="24"/>
        </w:rPr>
        <w:t>RE</w:t>
      </w:r>
      <w:r w:rsidRPr="00F82625">
        <w:rPr>
          <w:rFonts w:ascii="Times New Roman" w:hAnsi="Times New Roman"/>
          <w:sz w:val="24"/>
          <w:szCs w:val="24"/>
        </w:rPr>
        <w:t xml:space="preserve">, </w:t>
      </w:r>
      <w:r>
        <w:rPr>
          <w:rFonts w:ascii="Times New Roman" w:hAnsi="Times New Roman"/>
          <w:sz w:val="24"/>
          <w:szCs w:val="24"/>
        </w:rPr>
        <w:t>exceto</w:t>
      </w:r>
      <w:r w:rsidRPr="00F82625">
        <w:rPr>
          <w:rFonts w:ascii="Times New Roman" w:hAnsi="Times New Roman"/>
          <w:sz w:val="24"/>
          <w:szCs w:val="24"/>
        </w:rPr>
        <w:t xml:space="preserve"> nos casos de ofensa à Constituição</w:t>
      </w:r>
      <w:r>
        <w:rPr>
          <w:rFonts w:ascii="Times New Roman" w:hAnsi="Times New Roman"/>
          <w:sz w:val="24"/>
          <w:szCs w:val="24"/>
        </w:rPr>
        <w:t xml:space="preserve"> da República</w:t>
      </w:r>
      <w:r w:rsidRPr="00F82625">
        <w:rPr>
          <w:rFonts w:ascii="Times New Roman" w:hAnsi="Times New Roman"/>
          <w:sz w:val="24"/>
          <w:szCs w:val="24"/>
        </w:rPr>
        <w:t>, em manifesta divergência com a Súmula do STF, ou nas hipóteses de relevância da</w:t>
      </w:r>
      <w:r>
        <w:rPr>
          <w:rFonts w:ascii="Times New Roman" w:hAnsi="Times New Roman"/>
          <w:sz w:val="24"/>
          <w:szCs w:val="24"/>
        </w:rPr>
        <w:t xml:space="preserve"> </w:t>
      </w:r>
      <w:r w:rsidRPr="00F82625">
        <w:rPr>
          <w:rFonts w:ascii="Times New Roman" w:hAnsi="Times New Roman"/>
          <w:sz w:val="24"/>
          <w:szCs w:val="24"/>
        </w:rPr>
        <w:t>questão federal</w:t>
      </w:r>
      <w:r>
        <w:rPr>
          <w:rFonts w:ascii="Times New Roman" w:hAnsi="Times New Roman"/>
          <w:sz w:val="24"/>
          <w:szCs w:val="24"/>
        </w:rPr>
        <w:t>.</w:t>
      </w:r>
      <w:r>
        <w:rPr>
          <w:rStyle w:val="FootnoteReference"/>
          <w:rFonts w:ascii="Times New Roman" w:hAnsi="Times New Roman"/>
          <w:sz w:val="24"/>
          <w:szCs w:val="24"/>
        </w:rPr>
        <w:footnoteReference w:id="117"/>
      </w:r>
      <w:r w:rsidRPr="00F82625">
        <w:rPr>
          <w:rFonts w:ascii="Times New Roman" w:hAnsi="Times New Roman"/>
          <w:sz w:val="24"/>
          <w:szCs w:val="24"/>
        </w:rPr>
        <w:t xml:space="preserve"> </w:t>
      </w:r>
    </w:p>
    <w:p w:rsidR="00D549BC" w:rsidRDefault="00D549BC" w:rsidP="00CD1ED1">
      <w:pPr>
        <w:spacing w:after="240"/>
        <w:contextualSpacing/>
        <w:rPr>
          <w:rFonts w:ascii="Times New Roman" w:hAnsi="Times New Roman"/>
          <w:sz w:val="24"/>
          <w:szCs w:val="24"/>
        </w:rPr>
      </w:pPr>
      <w:r>
        <w:rPr>
          <w:rFonts w:ascii="Times New Roman" w:hAnsi="Times New Roman"/>
          <w:sz w:val="24"/>
          <w:szCs w:val="24"/>
        </w:rPr>
        <w:t xml:space="preserve">Outra mudança significativa e que se deu no bojo do Regimento Interno do STF de 1980, foi a Emenda Regimental nº 2, de 4 de dezembro de 1985, a qual alterou a sistemática até então adotada, tanto para o Recurso Extraordinário quanto para a Arguição de Relevância da Questão Federal. Em vez de discriminar as hipóteses de não cabimento do Recurso Extraordinário, o Regimento Interno do Supremo Tribunal Federal, passou a prever hipóteses taxativas de cabimento do referido recurso. Vejamos, por conseguinte, a nova redação do artigo 325 do RISTF de 1980, </w:t>
      </w:r>
      <w:r w:rsidRPr="008E1E58">
        <w:rPr>
          <w:rFonts w:ascii="Times New Roman" w:hAnsi="Times New Roman"/>
          <w:i/>
          <w:sz w:val="24"/>
          <w:szCs w:val="24"/>
        </w:rPr>
        <w:t>verbis</w:t>
      </w:r>
      <w:r>
        <w:rPr>
          <w:rFonts w:ascii="Times New Roman" w:hAnsi="Times New Roman"/>
          <w:sz w:val="24"/>
          <w:szCs w:val="24"/>
        </w:rPr>
        <w:t xml:space="preserve">:  </w:t>
      </w:r>
    </w:p>
    <w:p w:rsidR="00D549BC" w:rsidRDefault="00D549BC" w:rsidP="00F82625">
      <w:pPr>
        <w:spacing w:after="240"/>
        <w:ind w:firstLine="851"/>
        <w:contextualSpacing/>
        <w:rPr>
          <w:rFonts w:ascii="Times New Roman" w:hAnsi="Times New Roman"/>
          <w:sz w:val="24"/>
          <w:szCs w:val="24"/>
        </w:rPr>
      </w:pPr>
    </w:p>
    <w:p w:rsidR="00D549BC" w:rsidRDefault="00D549BC" w:rsidP="00F82625">
      <w:pPr>
        <w:spacing w:after="240"/>
        <w:ind w:firstLine="851"/>
        <w:contextualSpacing/>
        <w:rPr>
          <w:rFonts w:ascii="Times New Roman" w:hAnsi="Times New Roman"/>
          <w:sz w:val="24"/>
          <w:szCs w:val="24"/>
        </w:rPr>
      </w:pP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 xml:space="preserve">Art. 325. Nas hipóteses das alíneas </w:t>
      </w:r>
      <w:r>
        <w:rPr>
          <w:rFonts w:ascii="Times New Roman" w:hAnsi="Times New Roman"/>
          <w:szCs w:val="24"/>
        </w:rPr>
        <w:t>“a”</w:t>
      </w:r>
      <w:r w:rsidRPr="00281F09">
        <w:rPr>
          <w:rFonts w:ascii="Times New Roman" w:hAnsi="Times New Roman"/>
          <w:szCs w:val="24"/>
        </w:rPr>
        <w:t xml:space="preserve"> e </w:t>
      </w:r>
      <w:r>
        <w:rPr>
          <w:rFonts w:ascii="Times New Roman" w:hAnsi="Times New Roman"/>
          <w:szCs w:val="24"/>
        </w:rPr>
        <w:t>“d”</w:t>
      </w:r>
      <w:r w:rsidRPr="00281F09">
        <w:rPr>
          <w:rFonts w:ascii="Times New Roman" w:hAnsi="Times New Roman"/>
          <w:szCs w:val="24"/>
        </w:rPr>
        <w:t xml:space="preserve"> do inciso III do artigo</w:t>
      </w:r>
      <w:r>
        <w:rPr>
          <w:rFonts w:ascii="Times New Roman" w:hAnsi="Times New Roman"/>
          <w:szCs w:val="24"/>
        </w:rPr>
        <w:t xml:space="preserve"> </w:t>
      </w:r>
      <w:r w:rsidRPr="00281F09">
        <w:rPr>
          <w:rFonts w:ascii="Times New Roman" w:hAnsi="Times New Roman"/>
          <w:szCs w:val="24"/>
        </w:rPr>
        <w:t xml:space="preserve">119 da Constituição Federal, </w:t>
      </w:r>
      <w:r w:rsidRPr="00281F09">
        <w:rPr>
          <w:rFonts w:ascii="Times New Roman" w:hAnsi="Times New Roman"/>
          <w:i/>
          <w:szCs w:val="24"/>
        </w:rPr>
        <w:t xml:space="preserve">cabe </w:t>
      </w:r>
      <w:r>
        <w:rPr>
          <w:rFonts w:ascii="Times New Roman" w:hAnsi="Times New Roman"/>
          <w:i/>
          <w:szCs w:val="24"/>
        </w:rPr>
        <w:t>r</w:t>
      </w:r>
      <w:r w:rsidRPr="00281F09">
        <w:rPr>
          <w:rFonts w:ascii="Times New Roman" w:hAnsi="Times New Roman"/>
          <w:i/>
          <w:szCs w:val="24"/>
        </w:rPr>
        <w:t>ecurso extraordinário</w:t>
      </w:r>
      <w:r w:rsidRPr="00281F09">
        <w:rPr>
          <w:rFonts w:ascii="Times New Roman" w:hAnsi="Times New Roman"/>
          <w:szCs w:val="24"/>
        </w:rPr>
        <w:t>:</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I - nos casos de ofensa à Constituição Federal;</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II - nos casos de divergência com a Súmula do Supremo Tribunal</w:t>
      </w:r>
      <w:r>
        <w:rPr>
          <w:rFonts w:ascii="Times New Roman" w:hAnsi="Times New Roman"/>
          <w:szCs w:val="24"/>
        </w:rPr>
        <w:t xml:space="preserve"> </w:t>
      </w:r>
      <w:r w:rsidRPr="00281F09">
        <w:rPr>
          <w:rFonts w:ascii="Times New Roman" w:hAnsi="Times New Roman"/>
          <w:szCs w:val="24"/>
        </w:rPr>
        <w:t>Federal;</w:t>
      </w:r>
      <w:r>
        <w:rPr>
          <w:rFonts w:ascii="Times New Roman" w:hAnsi="Times New Roman"/>
          <w:szCs w:val="24"/>
        </w:rPr>
        <w:t xml:space="preserve"> </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III - nos processos por crime a que seja cominada pena de reclusão;</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IV - nas revisões criminais dos processos de que trata o inciso</w:t>
      </w:r>
      <w:r>
        <w:rPr>
          <w:rFonts w:ascii="Times New Roman" w:hAnsi="Times New Roman"/>
          <w:szCs w:val="24"/>
        </w:rPr>
        <w:t xml:space="preserve"> </w:t>
      </w:r>
      <w:r w:rsidRPr="00281F09">
        <w:rPr>
          <w:rFonts w:ascii="Times New Roman" w:hAnsi="Times New Roman"/>
          <w:szCs w:val="24"/>
        </w:rPr>
        <w:t>anterior;</w:t>
      </w:r>
      <w:r>
        <w:rPr>
          <w:rFonts w:ascii="Times New Roman" w:hAnsi="Times New Roman"/>
          <w:szCs w:val="24"/>
        </w:rPr>
        <w:t xml:space="preserve"> </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V - nas ações relativas à nacionalidade e aos direitos políticos;</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VI - nos mandados de segurança julgados originariamente por</w:t>
      </w:r>
      <w:r>
        <w:rPr>
          <w:rFonts w:ascii="Times New Roman" w:hAnsi="Times New Roman"/>
          <w:szCs w:val="24"/>
        </w:rPr>
        <w:t xml:space="preserve"> </w:t>
      </w:r>
      <w:r w:rsidRPr="00281F09">
        <w:rPr>
          <w:rFonts w:ascii="Times New Roman" w:hAnsi="Times New Roman"/>
          <w:szCs w:val="24"/>
        </w:rPr>
        <w:t>Tribunal Federal ou Estadual, em matéria de mérito;</w:t>
      </w:r>
      <w:r>
        <w:rPr>
          <w:rFonts w:ascii="Times New Roman" w:hAnsi="Times New Roman"/>
          <w:szCs w:val="24"/>
        </w:rPr>
        <w:t xml:space="preserve"> </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VII - nas ações populares;</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VIII - nas ações relativas ao exercício de mandato eletivo federal,</w:t>
      </w:r>
      <w:r>
        <w:rPr>
          <w:rFonts w:ascii="Times New Roman" w:hAnsi="Times New Roman"/>
          <w:szCs w:val="24"/>
        </w:rPr>
        <w:t xml:space="preserve"> </w:t>
      </w:r>
      <w:r w:rsidRPr="00281F09">
        <w:rPr>
          <w:rFonts w:ascii="Times New Roman" w:hAnsi="Times New Roman"/>
          <w:szCs w:val="24"/>
        </w:rPr>
        <w:t>estadual ou municipal, bem como às garantias da magistratura;</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IX - nas ações relativas ao estado das pessoas, em matéria de</w:t>
      </w:r>
      <w:r>
        <w:rPr>
          <w:rFonts w:ascii="Times New Roman" w:hAnsi="Times New Roman"/>
          <w:szCs w:val="24"/>
        </w:rPr>
        <w:t xml:space="preserve"> </w:t>
      </w:r>
      <w:r w:rsidRPr="00281F09">
        <w:rPr>
          <w:rFonts w:ascii="Times New Roman" w:hAnsi="Times New Roman"/>
          <w:szCs w:val="24"/>
        </w:rPr>
        <w:t>mérito;</w:t>
      </w:r>
      <w:r>
        <w:rPr>
          <w:rFonts w:ascii="Times New Roman" w:hAnsi="Times New Roman"/>
          <w:szCs w:val="24"/>
        </w:rPr>
        <w:t xml:space="preserve"> </w:t>
      </w:r>
    </w:p>
    <w:p w:rsidR="00D549BC" w:rsidRDefault="00D549BC" w:rsidP="00281F09">
      <w:pPr>
        <w:spacing w:after="240" w:line="240" w:lineRule="auto"/>
        <w:ind w:left="2268" w:firstLine="0"/>
        <w:contextualSpacing/>
        <w:rPr>
          <w:rFonts w:ascii="Times New Roman" w:hAnsi="Times New Roman"/>
          <w:szCs w:val="24"/>
        </w:rPr>
      </w:pPr>
      <w:r w:rsidRPr="00281F09">
        <w:rPr>
          <w:rFonts w:ascii="Times New Roman" w:hAnsi="Times New Roman"/>
          <w:szCs w:val="24"/>
        </w:rPr>
        <w:t>X - nas ações rescisórias, quando julgadas procedentes em questão</w:t>
      </w:r>
      <w:r>
        <w:rPr>
          <w:rFonts w:ascii="Times New Roman" w:hAnsi="Times New Roman"/>
          <w:szCs w:val="24"/>
        </w:rPr>
        <w:t xml:space="preserve"> </w:t>
      </w:r>
      <w:r w:rsidRPr="00281F09">
        <w:rPr>
          <w:rFonts w:ascii="Times New Roman" w:hAnsi="Times New Roman"/>
          <w:szCs w:val="24"/>
        </w:rPr>
        <w:t>de direito material;</w:t>
      </w:r>
    </w:p>
    <w:p w:rsidR="00D549BC" w:rsidRDefault="00D549BC" w:rsidP="00281F09">
      <w:pPr>
        <w:spacing w:after="240" w:line="240" w:lineRule="auto"/>
        <w:ind w:left="2268" w:firstLine="0"/>
        <w:contextualSpacing/>
        <w:rPr>
          <w:rFonts w:ascii="Times New Roman" w:hAnsi="Times New Roman"/>
          <w:sz w:val="24"/>
          <w:szCs w:val="24"/>
        </w:rPr>
      </w:pPr>
      <w:r w:rsidRPr="00281F09">
        <w:rPr>
          <w:rFonts w:ascii="Times New Roman" w:hAnsi="Times New Roman"/>
          <w:szCs w:val="24"/>
        </w:rPr>
        <w:t>XI - em todos os demais feitos, quando reconhecida relevância da</w:t>
      </w:r>
      <w:r>
        <w:rPr>
          <w:rFonts w:ascii="Times New Roman" w:hAnsi="Times New Roman"/>
          <w:szCs w:val="24"/>
        </w:rPr>
        <w:t xml:space="preserve"> </w:t>
      </w:r>
      <w:r w:rsidRPr="00281F09">
        <w:rPr>
          <w:rFonts w:ascii="Times New Roman" w:hAnsi="Times New Roman"/>
          <w:szCs w:val="24"/>
        </w:rPr>
        <w:t>questão federal.</w:t>
      </w:r>
    </w:p>
    <w:p w:rsidR="00D549BC" w:rsidRDefault="00D549BC" w:rsidP="00281F09">
      <w:pPr>
        <w:spacing w:after="240"/>
        <w:ind w:left="2268" w:firstLine="0"/>
        <w:contextualSpacing/>
        <w:rPr>
          <w:rFonts w:ascii="Times New Roman" w:hAnsi="Times New Roman"/>
          <w:sz w:val="24"/>
          <w:szCs w:val="24"/>
        </w:rPr>
      </w:pPr>
    </w:p>
    <w:p w:rsidR="00D549BC" w:rsidRDefault="00D549BC" w:rsidP="00990E21">
      <w:pPr>
        <w:spacing w:after="240"/>
        <w:contextualSpacing/>
        <w:rPr>
          <w:rFonts w:ascii="Times New Roman" w:hAnsi="Times New Roman"/>
          <w:sz w:val="24"/>
          <w:szCs w:val="24"/>
        </w:rPr>
      </w:pPr>
      <w:r>
        <w:rPr>
          <w:rFonts w:ascii="Times New Roman" w:hAnsi="Times New Roman"/>
          <w:sz w:val="24"/>
          <w:szCs w:val="24"/>
        </w:rPr>
        <w:t xml:space="preserve">Percebe-se que o inciso XI do citado dispositivo regimental abriu exceção ao rol taxativo de hipóteses de cabimento do RE, caso ficasse reconhecida pelo Tribunal a Relevância da Questão Federal nele posta em julgamento. Sobre essa nova dinâmica, introduzida pela Emenda Regimental nº 2 de 1985, esclarecedoras são as palavras de ARRUDA ALVIM: </w:t>
      </w:r>
    </w:p>
    <w:p w:rsidR="00D549BC" w:rsidRPr="00F64CC6" w:rsidRDefault="00D549BC" w:rsidP="00F64CC6">
      <w:pPr>
        <w:spacing w:after="240" w:line="240" w:lineRule="auto"/>
        <w:ind w:left="2268" w:firstLine="0"/>
        <w:contextualSpacing/>
        <w:rPr>
          <w:rFonts w:ascii="Times New Roman" w:hAnsi="Times New Roman"/>
          <w:szCs w:val="24"/>
        </w:rPr>
      </w:pPr>
      <w:r w:rsidRPr="00F64CC6">
        <w:rPr>
          <w:rFonts w:ascii="Times New Roman" w:hAnsi="Times New Roman"/>
          <w:szCs w:val="24"/>
        </w:rPr>
        <w:t xml:space="preserve">Atualmente, diante da configuração do RI S.T.F., é constatável que um grande número de causas e questões federais, em princípio, e, como regra geral, resta excluído da esfera de cabimento do RE, uma vez que, clara e normalmente terá cabimento esse recurso só nas hipóteses discriminadas no RI, no seu art. 325, incs. I a X (redação da Em. Reg. n. 2/85); o que não estiver descrito, como hipótese ensejadora de RE, pela técnica da Em. Reg. n. 2/85, não comporta RE, </w:t>
      </w:r>
      <w:r w:rsidRPr="00F64CC6">
        <w:rPr>
          <w:rFonts w:ascii="Times New Roman" w:hAnsi="Times New Roman"/>
          <w:i/>
          <w:szCs w:val="24"/>
        </w:rPr>
        <w:t>mas pode vir a comportar RE</w:t>
      </w:r>
      <w:r w:rsidRPr="00F64CC6">
        <w:rPr>
          <w:rFonts w:ascii="Times New Roman" w:hAnsi="Times New Roman"/>
          <w:szCs w:val="24"/>
        </w:rPr>
        <w:t>,</w:t>
      </w:r>
      <w:r w:rsidRPr="00F64CC6">
        <w:rPr>
          <w:rFonts w:ascii="Times New Roman" w:hAnsi="Times New Roman"/>
          <w:i/>
          <w:szCs w:val="24"/>
        </w:rPr>
        <w:t xml:space="preserve"> se acolhida a relevância</w:t>
      </w:r>
      <w:r w:rsidRPr="00F64CC6">
        <w:rPr>
          <w:rFonts w:ascii="Times New Roman" w:hAnsi="Times New Roman"/>
          <w:szCs w:val="24"/>
        </w:rPr>
        <w:t>.</w:t>
      </w:r>
    </w:p>
    <w:p w:rsidR="00D549BC" w:rsidRDefault="00D549BC" w:rsidP="00F64CC6">
      <w:pPr>
        <w:spacing w:after="240" w:line="240" w:lineRule="auto"/>
        <w:ind w:left="2268" w:firstLine="0"/>
        <w:contextualSpacing/>
        <w:rPr>
          <w:rFonts w:ascii="Times New Roman" w:hAnsi="Times New Roman"/>
          <w:sz w:val="24"/>
          <w:szCs w:val="24"/>
        </w:rPr>
      </w:pPr>
      <w:r w:rsidRPr="00F64CC6">
        <w:rPr>
          <w:rFonts w:ascii="Times New Roman" w:hAnsi="Times New Roman"/>
          <w:szCs w:val="24"/>
        </w:rPr>
        <w:t>Neste passo, a técnica adotada pelo atual regimento, difere daquela empregada nos regimentos anteriores, em que casuisticamente se excetuavam as hipóteses de não cabimento. Todavia, a finalidade a ser atingida, por meio da disciplina do atual RI é a mesma dos precedentes RIs; nestes antigos regimentos, entretanto, havia explicitude, através de</w:t>
      </w:r>
      <w:r>
        <w:rPr>
          <w:rFonts w:ascii="Times New Roman" w:hAnsi="Times New Roman"/>
          <w:szCs w:val="24"/>
        </w:rPr>
        <w:t xml:space="preserve"> </w:t>
      </w:r>
      <w:r w:rsidRPr="00F64CC6">
        <w:rPr>
          <w:rFonts w:ascii="Times New Roman" w:hAnsi="Times New Roman"/>
          <w:szCs w:val="24"/>
        </w:rPr>
        <w:t>definição das hipóteses, das quais delas não comportavam RE, co</w:t>
      </w:r>
      <w:r>
        <w:rPr>
          <w:rFonts w:ascii="Times New Roman" w:hAnsi="Times New Roman"/>
          <w:szCs w:val="24"/>
        </w:rPr>
        <w:t>m o que, se não tivesse havido “</w:t>
      </w:r>
      <w:r w:rsidRPr="00F64CC6">
        <w:rPr>
          <w:rFonts w:ascii="Times New Roman" w:hAnsi="Times New Roman"/>
          <w:szCs w:val="24"/>
        </w:rPr>
        <w:t>exclusão</w:t>
      </w:r>
      <w:r>
        <w:rPr>
          <w:rFonts w:ascii="Times New Roman" w:hAnsi="Times New Roman"/>
          <w:szCs w:val="24"/>
        </w:rPr>
        <w:t>”</w:t>
      </w:r>
      <w:r w:rsidRPr="00F64CC6">
        <w:rPr>
          <w:rFonts w:ascii="Times New Roman" w:hAnsi="Times New Roman"/>
          <w:szCs w:val="24"/>
        </w:rPr>
        <w:t xml:space="preserve">, era caso de RE com </w:t>
      </w:r>
      <w:r w:rsidRPr="00F64CC6">
        <w:rPr>
          <w:rFonts w:ascii="Times New Roman" w:hAnsi="Times New Roman"/>
          <w:i/>
          <w:szCs w:val="24"/>
        </w:rPr>
        <w:t>fulcro direto</w:t>
      </w:r>
      <w:r w:rsidRPr="00F64CC6">
        <w:rPr>
          <w:rFonts w:ascii="Times New Roman" w:hAnsi="Times New Roman"/>
          <w:szCs w:val="24"/>
        </w:rPr>
        <w:t xml:space="preserve"> nas letras </w:t>
      </w:r>
      <w:r>
        <w:rPr>
          <w:rFonts w:ascii="Times New Roman" w:hAnsi="Times New Roman"/>
          <w:szCs w:val="24"/>
        </w:rPr>
        <w:t>“</w:t>
      </w:r>
      <w:r w:rsidRPr="00F64CC6">
        <w:rPr>
          <w:rFonts w:ascii="Times New Roman" w:hAnsi="Times New Roman"/>
          <w:szCs w:val="24"/>
        </w:rPr>
        <w:t>a</w:t>
      </w:r>
      <w:r>
        <w:rPr>
          <w:rFonts w:ascii="Times New Roman" w:hAnsi="Times New Roman"/>
          <w:szCs w:val="24"/>
        </w:rPr>
        <w:t>”</w:t>
      </w:r>
      <w:r w:rsidRPr="00F64CC6">
        <w:rPr>
          <w:rFonts w:ascii="Times New Roman" w:hAnsi="Times New Roman"/>
          <w:szCs w:val="24"/>
        </w:rPr>
        <w:t xml:space="preserve"> e </w:t>
      </w:r>
      <w:r>
        <w:rPr>
          <w:rFonts w:ascii="Times New Roman" w:hAnsi="Times New Roman"/>
          <w:szCs w:val="24"/>
        </w:rPr>
        <w:t>“</w:t>
      </w:r>
      <w:r w:rsidRPr="00F64CC6">
        <w:rPr>
          <w:rFonts w:ascii="Times New Roman" w:hAnsi="Times New Roman"/>
          <w:szCs w:val="24"/>
        </w:rPr>
        <w:t>d</w:t>
      </w:r>
      <w:r>
        <w:rPr>
          <w:rFonts w:ascii="Times New Roman" w:hAnsi="Times New Roman"/>
          <w:szCs w:val="24"/>
        </w:rPr>
        <w:t>”</w:t>
      </w:r>
      <w:r w:rsidRPr="00F64CC6">
        <w:rPr>
          <w:rFonts w:ascii="Times New Roman" w:hAnsi="Times New Roman"/>
          <w:szCs w:val="24"/>
        </w:rPr>
        <w:t xml:space="preserve">, do inc. </w:t>
      </w:r>
      <w:r w:rsidRPr="00F307AF">
        <w:rPr>
          <w:rFonts w:ascii="Times New Roman" w:hAnsi="Times New Roman"/>
          <w:szCs w:val="24"/>
        </w:rPr>
        <w:t xml:space="preserve">III, do art. 119. </w:t>
      </w:r>
      <w:r w:rsidRPr="005A1FAF">
        <w:rPr>
          <w:rFonts w:ascii="Times New Roman" w:hAnsi="Times New Roman"/>
          <w:szCs w:val="24"/>
        </w:rPr>
        <w:t xml:space="preserve">C.F.. </w:t>
      </w:r>
      <w:r w:rsidRPr="00F64CC6">
        <w:rPr>
          <w:rFonts w:ascii="Times New Roman" w:hAnsi="Times New Roman"/>
          <w:szCs w:val="24"/>
        </w:rPr>
        <w:t>Atu</w:t>
      </w:r>
      <w:r>
        <w:rPr>
          <w:rFonts w:ascii="Times New Roman" w:hAnsi="Times New Roman"/>
          <w:szCs w:val="24"/>
        </w:rPr>
        <w:t>almente, porém, o que não está “</w:t>
      </w:r>
      <w:r w:rsidRPr="00F64CC6">
        <w:rPr>
          <w:rFonts w:ascii="Times New Roman" w:hAnsi="Times New Roman"/>
          <w:szCs w:val="24"/>
        </w:rPr>
        <w:t>positivamente</w:t>
      </w:r>
      <w:r>
        <w:rPr>
          <w:rFonts w:ascii="Times New Roman" w:hAnsi="Times New Roman"/>
          <w:szCs w:val="24"/>
        </w:rPr>
        <w:t>”</w:t>
      </w:r>
      <w:r w:rsidRPr="00F64CC6">
        <w:rPr>
          <w:rFonts w:ascii="Times New Roman" w:hAnsi="Times New Roman"/>
          <w:szCs w:val="24"/>
        </w:rPr>
        <w:t xml:space="preserve"> previsto como ensejando recurso extraordinário, </w:t>
      </w:r>
      <w:r>
        <w:rPr>
          <w:rFonts w:ascii="Times New Roman" w:hAnsi="Times New Roman"/>
          <w:szCs w:val="24"/>
        </w:rPr>
        <w:t>“</w:t>
      </w:r>
      <w:r w:rsidRPr="00F64CC6">
        <w:rPr>
          <w:rFonts w:ascii="Times New Roman" w:hAnsi="Times New Roman"/>
          <w:szCs w:val="24"/>
        </w:rPr>
        <w:t>ipso facto</w:t>
      </w:r>
      <w:r>
        <w:rPr>
          <w:rFonts w:ascii="Times New Roman" w:hAnsi="Times New Roman"/>
          <w:szCs w:val="24"/>
        </w:rPr>
        <w:t>”</w:t>
      </w:r>
      <w:r w:rsidRPr="00F64CC6">
        <w:rPr>
          <w:rFonts w:ascii="Times New Roman" w:hAnsi="Times New Roman"/>
          <w:szCs w:val="24"/>
        </w:rPr>
        <w:t>, resta excluído</w:t>
      </w:r>
      <w:r>
        <w:rPr>
          <w:rFonts w:ascii="Times New Roman" w:hAnsi="Times New Roman"/>
          <w:szCs w:val="24"/>
        </w:rPr>
        <w:t>.</w:t>
      </w:r>
      <w:r>
        <w:rPr>
          <w:rStyle w:val="FootnoteReference"/>
          <w:rFonts w:ascii="Times New Roman" w:hAnsi="Times New Roman"/>
          <w:szCs w:val="24"/>
        </w:rPr>
        <w:footnoteReference w:id="118"/>
      </w:r>
      <w:r>
        <w:rPr>
          <w:rFonts w:ascii="Times New Roman" w:hAnsi="Times New Roman"/>
          <w:sz w:val="24"/>
          <w:szCs w:val="24"/>
        </w:rPr>
        <w:t xml:space="preserve"> </w:t>
      </w:r>
    </w:p>
    <w:p w:rsidR="00D549BC" w:rsidRDefault="00D549BC" w:rsidP="0091147D">
      <w:pPr>
        <w:spacing w:after="240"/>
        <w:ind w:firstLine="851"/>
        <w:contextualSpacing/>
        <w:rPr>
          <w:rFonts w:ascii="Times New Roman" w:hAnsi="Times New Roman"/>
          <w:sz w:val="24"/>
          <w:szCs w:val="24"/>
        </w:rPr>
      </w:pPr>
    </w:p>
    <w:p w:rsidR="00D549BC" w:rsidRDefault="00D549BC" w:rsidP="00887968">
      <w:pPr>
        <w:spacing w:after="240"/>
        <w:contextualSpacing/>
        <w:rPr>
          <w:rFonts w:ascii="Times New Roman" w:hAnsi="Times New Roman"/>
          <w:sz w:val="24"/>
          <w:szCs w:val="24"/>
        </w:rPr>
      </w:pPr>
      <w:r>
        <w:rPr>
          <w:rFonts w:ascii="Times New Roman" w:hAnsi="Times New Roman"/>
          <w:sz w:val="24"/>
          <w:szCs w:val="24"/>
        </w:rPr>
        <w:t xml:space="preserve">Portanto, a partir de 1985, fora das hipóteses dos incisos I a X do art. 325 do RISTF de 1980, seria imprescindível a demonstração de Relevância da Questão Federal pelo recorrente. Não podemos deixar de mencionar que o Regimento Interno do STF trouxe, ainda, a importante e inédita definição, no art. 327, § 1º, do que seria relevante do ponto de vista infraconstitucional, a ensejar o cabimento do apelo excepcional. Com efeito, uma questão que não comportasse Recurso Extraordinário – por estar fora das hipóteses taxativas do art. 325 – poderia vir a ser admitida, caso a Corte, ponderando os aspectos </w:t>
      </w:r>
      <w:r w:rsidRPr="0009570A">
        <w:rPr>
          <w:rFonts w:ascii="Times New Roman" w:hAnsi="Times New Roman"/>
          <w:i/>
          <w:sz w:val="24"/>
          <w:szCs w:val="24"/>
        </w:rPr>
        <w:t>morais</w:t>
      </w:r>
      <w:r>
        <w:rPr>
          <w:rFonts w:ascii="Times New Roman" w:hAnsi="Times New Roman"/>
          <w:sz w:val="24"/>
          <w:szCs w:val="24"/>
        </w:rPr>
        <w:t xml:space="preserve">, </w:t>
      </w:r>
      <w:r w:rsidRPr="0009570A">
        <w:rPr>
          <w:rFonts w:ascii="Times New Roman" w:hAnsi="Times New Roman"/>
          <w:i/>
          <w:sz w:val="24"/>
          <w:szCs w:val="24"/>
        </w:rPr>
        <w:t>econômicos</w:t>
      </w:r>
      <w:r>
        <w:rPr>
          <w:rFonts w:ascii="Times New Roman" w:hAnsi="Times New Roman"/>
          <w:sz w:val="24"/>
          <w:szCs w:val="24"/>
        </w:rPr>
        <w:t xml:space="preserve">, </w:t>
      </w:r>
      <w:r w:rsidRPr="0009570A">
        <w:rPr>
          <w:rFonts w:ascii="Times New Roman" w:hAnsi="Times New Roman"/>
          <w:i/>
          <w:sz w:val="24"/>
          <w:szCs w:val="24"/>
        </w:rPr>
        <w:t>políticos</w:t>
      </w:r>
      <w:r>
        <w:rPr>
          <w:rFonts w:ascii="Times New Roman" w:hAnsi="Times New Roman"/>
          <w:sz w:val="24"/>
          <w:szCs w:val="24"/>
        </w:rPr>
        <w:t xml:space="preserve"> ou </w:t>
      </w:r>
      <w:r w:rsidRPr="0009570A">
        <w:rPr>
          <w:rFonts w:ascii="Times New Roman" w:hAnsi="Times New Roman"/>
          <w:i/>
          <w:sz w:val="24"/>
          <w:szCs w:val="24"/>
        </w:rPr>
        <w:t>sociais</w:t>
      </w:r>
      <w:r>
        <w:rPr>
          <w:rFonts w:ascii="Times New Roman" w:hAnsi="Times New Roman"/>
          <w:sz w:val="24"/>
          <w:szCs w:val="24"/>
        </w:rPr>
        <w:t xml:space="preserve"> da causa, entendesse que o assunto era verdadeiramente relevante.</w:t>
      </w:r>
      <w:r>
        <w:rPr>
          <w:rStyle w:val="FootnoteReference"/>
          <w:rFonts w:ascii="Times New Roman" w:hAnsi="Times New Roman"/>
          <w:sz w:val="24"/>
          <w:szCs w:val="24"/>
        </w:rPr>
        <w:footnoteReference w:id="119"/>
      </w:r>
      <w:r>
        <w:rPr>
          <w:rFonts w:ascii="Times New Roman" w:hAnsi="Times New Roman"/>
          <w:sz w:val="24"/>
          <w:szCs w:val="24"/>
        </w:rPr>
        <w:t xml:space="preserve"> </w:t>
      </w:r>
    </w:p>
    <w:p w:rsidR="00D549BC" w:rsidRDefault="00D549BC" w:rsidP="00887968">
      <w:pPr>
        <w:spacing w:after="240"/>
        <w:contextualSpacing/>
        <w:rPr>
          <w:rFonts w:ascii="Times New Roman" w:hAnsi="Times New Roman"/>
          <w:sz w:val="24"/>
          <w:szCs w:val="24"/>
        </w:rPr>
      </w:pPr>
      <w:r>
        <w:rPr>
          <w:rFonts w:ascii="Times New Roman" w:hAnsi="Times New Roman"/>
          <w:sz w:val="24"/>
          <w:szCs w:val="24"/>
        </w:rPr>
        <w:t xml:space="preserve">Não é demais reconhecermos que tal norma regimental, ao prescindir de uma configuração específica para definir o seu objeto, de certa forma, introduziu uma novidade de significativa importância para o direito brasileiro: o conceito vago no âmbito recursal extraordinário. </w:t>
      </w:r>
    </w:p>
    <w:p w:rsidR="00D549BC" w:rsidRDefault="00D549BC" w:rsidP="00887968">
      <w:pPr>
        <w:spacing w:after="240"/>
        <w:contextualSpacing/>
        <w:rPr>
          <w:rFonts w:ascii="Times New Roman" w:hAnsi="Times New Roman"/>
          <w:sz w:val="24"/>
          <w:szCs w:val="24"/>
        </w:rPr>
      </w:pPr>
      <w:r>
        <w:rPr>
          <w:rFonts w:ascii="Times New Roman" w:hAnsi="Times New Roman"/>
          <w:sz w:val="24"/>
          <w:szCs w:val="24"/>
        </w:rPr>
        <w:t xml:space="preserve">Acerca do conceito vago presente no art. 327, § 1º do RISTF/1980, é elucidativa a explanação feita por ARRUDA ALVIM: </w:t>
      </w:r>
    </w:p>
    <w:p w:rsidR="00D549BC" w:rsidRPr="00AB03F6" w:rsidRDefault="00D549BC" w:rsidP="0093205D">
      <w:pPr>
        <w:spacing w:after="240" w:line="240" w:lineRule="auto"/>
        <w:ind w:left="2268" w:firstLine="0"/>
        <w:contextualSpacing/>
        <w:rPr>
          <w:rFonts w:ascii="Times New Roman" w:hAnsi="Times New Roman"/>
          <w:szCs w:val="24"/>
        </w:rPr>
      </w:pPr>
      <w:r w:rsidRPr="00AB03F6">
        <w:rPr>
          <w:rFonts w:ascii="Times New Roman" w:hAnsi="Times New Roman"/>
          <w:szCs w:val="24"/>
        </w:rPr>
        <w:t xml:space="preserve">Em nosso sentir, </w:t>
      </w:r>
      <w:r w:rsidRPr="00AB03F6">
        <w:rPr>
          <w:rFonts w:ascii="Times New Roman" w:hAnsi="Times New Roman"/>
          <w:i/>
          <w:szCs w:val="24"/>
        </w:rPr>
        <w:t>para compatibilizar a “diminuição quantitativa”</w:t>
      </w:r>
      <w:r w:rsidRPr="00AB03F6">
        <w:rPr>
          <w:rFonts w:ascii="Times New Roman" w:hAnsi="Times New Roman"/>
          <w:szCs w:val="24"/>
        </w:rPr>
        <w:t xml:space="preserve"> de casos resolvidos pelo S.T.F., </w:t>
      </w:r>
      <w:r w:rsidRPr="00AB03F6">
        <w:rPr>
          <w:rFonts w:ascii="Times New Roman" w:hAnsi="Times New Roman"/>
          <w:i/>
          <w:szCs w:val="24"/>
        </w:rPr>
        <w:t>sem perda</w:t>
      </w:r>
      <w:r w:rsidRPr="00AB03F6">
        <w:rPr>
          <w:rFonts w:ascii="Times New Roman" w:hAnsi="Times New Roman"/>
          <w:szCs w:val="24"/>
        </w:rPr>
        <w:t xml:space="preserve">, </w:t>
      </w:r>
      <w:r w:rsidRPr="00AB03F6">
        <w:rPr>
          <w:rFonts w:ascii="Times New Roman" w:hAnsi="Times New Roman"/>
          <w:i/>
          <w:szCs w:val="24"/>
        </w:rPr>
        <w:t>ao menos significativa</w:t>
      </w:r>
      <w:r w:rsidRPr="00AB03F6">
        <w:rPr>
          <w:rFonts w:ascii="Times New Roman" w:hAnsi="Times New Roman"/>
          <w:szCs w:val="24"/>
        </w:rPr>
        <w:t xml:space="preserve">, </w:t>
      </w:r>
      <w:r w:rsidRPr="00AB03F6">
        <w:rPr>
          <w:rFonts w:ascii="Times New Roman" w:hAnsi="Times New Roman"/>
          <w:i/>
          <w:szCs w:val="24"/>
        </w:rPr>
        <w:t>da própria qualidade do controle</w:t>
      </w:r>
      <w:r w:rsidRPr="00AB03F6">
        <w:rPr>
          <w:rFonts w:ascii="Times New Roman" w:hAnsi="Times New Roman"/>
          <w:szCs w:val="24"/>
        </w:rPr>
        <w:t xml:space="preserve">, e sem descuido dos valores considerados essenciais, que podem estar em muitíssimas hipóteses, para as quais não esteja previsto RE, é adequada a arguição de relevância. </w:t>
      </w:r>
    </w:p>
    <w:p w:rsidR="00D549BC" w:rsidRPr="00AB03F6" w:rsidRDefault="00D549BC" w:rsidP="0093205D">
      <w:pPr>
        <w:spacing w:after="240" w:line="240" w:lineRule="auto"/>
        <w:ind w:left="2268" w:firstLine="0"/>
        <w:contextualSpacing/>
        <w:rPr>
          <w:rFonts w:ascii="Times New Roman" w:hAnsi="Times New Roman"/>
          <w:szCs w:val="24"/>
        </w:rPr>
      </w:pPr>
      <w:r w:rsidRPr="00AB03F6">
        <w:rPr>
          <w:rFonts w:ascii="Times New Roman" w:hAnsi="Times New Roman"/>
          <w:szCs w:val="24"/>
        </w:rPr>
        <w:t xml:space="preserve">Portanto, subsiste esse controle, sobre todo o direito federal “relevante”, e se constitui, a utilização do conceito vago, nesse art. 327, § 1º, RI S.T.F., na maneira concebida para isso, onde se oferta o </w:t>
      </w:r>
      <w:r w:rsidRPr="00AB03F6">
        <w:rPr>
          <w:rFonts w:ascii="Times New Roman" w:hAnsi="Times New Roman"/>
          <w:i/>
          <w:szCs w:val="24"/>
        </w:rPr>
        <w:t>modus faciendi</w:t>
      </w:r>
      <w:r w:rsidRPr="00AB03F6">
        <w:rPr>
          <w:rFonts w:ascii="Times New Roman" w:hAnsi="Times New Roman"/>
          <w:szCs w:val="24"/>
        </w:rPr>
        <w:t xml:space="preserve"> para se perseguir esse fim, de cobertura e compreensão das hipóteses que não foram objeto de previsão específica para RE. </w:t>
      </w:r>
    </w:p>
    <w:p w:rsidR="00D549BC" w:rsidRPr="00AB03F6" w:rsidRDefault="00D549BC" w:rsidP="0093205D">
      <w:pPr>
        <w:spacing w:after="240" w:line="240" w:lineRule="auto"/>
        <w:ind w:left="2268" w:firstLine="0"/>
        <w:contextualSpacing/>
        <w:rPr>
          <w:rFonts w:ascii="Times New Roman" w:hAnsi="Times New Roman"/>
          <w:szCs w:val="24"/>
        </w:rPr>
      </w:pPr>
      <w:r w:rsidRPr="00AB03F6">
        <w:rPr>
          <w:rFonts w:ascii="Times New Roman" w:hAnsi="Times New Roman"/>
          <w:szCs w:val="24"/>
        </w:rPr>
        <w:t xml:space="preserve">É certo que, hoje, não mais se controla, através do RE, a totalidade do direito federal, quantitativamente entendida (= a integralidade efetiva das causas e das questões federais), precisamente porque, em função do comando constitucional (art. 119, § 1º), foi e é lícito excluir diversas causas e questões, desde que o Legislador (= S.T.F.) as tenha por irrelevantes. Estas, enquanto subsistam como causas e questões irrelevantes, ficam fora do controle do S.T.F., </w:t>
      </w:r>
      <w:r w:rsidRPr="00AB03F6">
        <w:rPr>
          <w:rFonts w:ascii="Times New Roman" w:hAnsi="Times New Roman"/>
          <w:i/>
          <w:szCs w:val="24"/>
        </w:rPr>
        <w:t>porque não há razão de ser</w:t>
      </w:r>
      <w:r w:rsidRPr="00AB03F6">
        <w:rPr>
          <w:rFonts w:ascii="Times New Roman" w:hAnsi="Times New Roman"/>
          <w:szCs w:val="24"/>
        </w:rPr>
        <w:t xml:space="preserve">, </w:t>
      </w:r>
      <w:r w:rsidRPr="00AB03F6">
        <w:rPr>
          <w:rFonts w:ascii="Times New Roman" w:hAnsi="Times New Roman"/>
          <w:i/>
          <w:szCs w:val="24"/>
        </w:rPr>
        <w:t>para esse reexame</w:t>
      </w:r>
      <w:r>
        <w:rPr>
          <w:rFonts w:ascii="Times New Roman" w:hAnsi="Times New Roman"/>
          <w:i/>
          <w:szCs w:val="24"/>
        </w:rPr>
        <w:t>.</w:t>
      </w:r>
      <w:r>
        <w:rPr>
          <w:rStyle w:val="FootnoteReference"/>
          <w:rFonts w:ascii="Times New Roman" w:hAnsi="Times New Roman"/>
          <w:i/>
          <w:szCs w:val="24"/>
        </w:rPr>
        <w:footnoteReference w:id="120"/>
      </w:r>
      <w:r w:rsidRPr="00AB03F6">
        <w:rPr>
          <w:rFonts w:ascii="Times New Roman" w:hAnsi="Times New Roman"/>
          <w:szCs w:val="24"/>
        </w:rPr>
        <w:t xml:space="preserve"> </w:t>
      </w:r>
    </w:p>
    <w:p w:rsidR="00D549BC" w:rsidRDefault="00D549BC" w:rsidP="0093205D">
      <w:pPr>
        <w:spacing w:after="240" w:line="240" w:lineRule="auto"/>
        <w:ind w:left="2268" w:firstLine="0"/>
        <w:contextualSpacing/>
        <w:rPr>
          <w:rFonts w:ascii="Times New Roman" w:hAnsi="Times New Roman"/>
          <w:sz w:val="24"/>
          <w:szCs w:val="24"/>
        </w:rPr>
      </w:pPr>
    </w:p>
    <w:p w:rsidR="00D549BC" w:rsidRDefault="00D549BC" w:rsidP="00020E5D">
      <w:pPr>
        <w:spacing w:after="240"/>
        <w:contextualSpacing/>
        <w:rPr>
          <w:rFonts w:ascii="Times New Roman" w:hAnsi="Times New Roman"/>
          <w:sz w:val="24"/>
          <w:szCs w:val="24"/>
        </w:rPr>
      </w:pPr>
      <w:r>
        <w:rPr>
          <w:rFonts w:ascii="Times New Roman" w:hAnsi="Times New Roman"/>
          <w:sz w:val="24"/>
          <w:szCs w:val="24"/>
        </w:rPr>
        <w:t xml:space="preserve">Conforme anteriormente destacado, muitas foram as críticas sobre o alto grau de subjetivismo da norma, assim como a ausência de uma definição mais concreta e objetiva do que seria efetivamente relevante. Apontar quais as causas relevantes para todo o país em sessão secreta e por meio de decisão imotivada (art. 328, IX do RISTF de 1980), em pleno regime de exceção, não poderia contar com a aquiescência dos defensores do direito. </w:t>
      </w:r>
    </w:p>
    <w:p w:rsidR="00D549BC" w:rsidRDefault="00D549BC" w:rsidP="00120504">
      <w:pPr>
        <w:spacing w:after="240"/>
        <w:contextualSpacing/>
        <w:rPr>
          <w:rFonts w:ascii="Times New Roman" w:hAnsi="Times New Roman"/>
          <w:sz w:val="24"/>
          <w:szCs w:val="24"/>
        </w:rPr>
      </w:pPr>
      <w:r>
        <w:rPr>
          <w:rFonts w:ascii="Times New Roman" w:hAnsi="Times New Roman"/>
          <w:sz w:val="24"/>
          <w:szCs w:val="24"/>
        </w:rPr>
        <w:t>Somente em 1985, a Sessão de Conselho deixou de ser secreta, visto que a Emenda Regimental nº 2, ao alterar o procedimento para julgamento da arguição de relevância, foi silente a esse respeito, além de prever que “a</w:t>
      </w:r>
      <w:r w:rsidRPr="002D1497">
        <w:rPr>
          <w:rFonts w:ascii="Times New Roman" w:hAnsi="Times New Roman"/>
          <w:sz w:val="24"/>
          <w:szCs w:val="24"/>
        </w:rPr>
        <w:t xml:space="preserve"> ata da sessão do Conselho será pub</w:t>
      </w:r>
      <w:r>
        <w:rPr>
          <w:rFonts w:ascii="Times New Roman" w:hAnsi="Times New Roman"/>
          <w:sz w:val="24"/>
          <w:szCs w:val="24"/>
        </w:rPr>
        <w:t>licada para a ciência dos interes</w:t>
      </w:r>
      <w:r w:rsidRPr="002D1497">
        <w:rPr>
          <w:rFonts w:ascii="Times New Roman" w:hAnsi="Times New Roman"/>
          <w:sz w:val="24"/>
          <w:szCs w:val="24"/>
        </w:rPr>
        <w:t>sados,</w:t>
      </w:r>
      <w:r>
        <w:rPr>
          <w:rFonts w:ascii="Times New Roman" w:hAnsi="Times New Roman"/>
          <w:sz w:val="24"/>
          <w:szCs w:val="24"/>
        </w:rPr>
        <w:t xml:space="preserve"> </w:t>
      </w:r>
      <w:r w:rsidRPr="002D1497">
        <w:rPr>
          <w:rFonts w:ascii="Times New Roman" w:hAnsi="Times New Roman"/>
          <w:sz w:val="24"/>
          <w:szCs w:val="24"/>
        </w:rPr>
        <w:t>relacionando-se as arg</w:t>
      </w:r>
      <w:r>
        <w:rPr>
          <w:rFonts w:ascii="Times New Roman" w:hAnsi="Times New Roman"/>
          <w:sz w:val="24"/>
          <w:szCs w:val="24"/>
        </w:rPr>
        <w:t>u</w:t>
      </w:r>
      <w:r w:rsidRPr="002D1497">
        <w:rPr>
          <w:rFonts w:ascii="Times New Roman" w:hAnsi="Times New Roman"/>
          <w:sz w:val="24"/>
          <w:szCs w:val="24"/>
        </w:rPr>
        <w:t>ições acolhidas no todo ou em parte, e as rejeitadas, mencionada,</w:t>
      </w:r>
      <w:r>
        <w:rPr>
          <w:rFonts w:ascii="Times New Roman" w:hAnsi="Times New Roman"/>
          <w:sz w:val="24"/>
          <w:szCs w:val="24"/>
        </w:rPr>
        <w:t xml:space="preserve"> </w:t>
      </w:r>
      <w:r w:rsidRPr="002D1497">
        <w:rPr>
          <w:rFonts w:ascii="Times New Roman" w:hAnsi="Times New Roman"/>
          <w:sz w:val="24"/>
          <w:szCs w:val="24"/>
        </w:rPr>
        <w:t xml:space="preserve">no primeiro caso, a questão federal </w:t>
      </w:r>
      <w:r>
        <w:rPr>
          <w:rFonts w:ascii="Times New Roman" w:hAnsi="Times New Roman"/>
          <w:sz w:val="24"/>
          <w:szCs w:val="24"/>
        </w:rPr>
        <w:t>tida</w:t>
      </w:r>
      <w:r w:rsidRPr="002D1497">
        <w:rPr>
          <w:rFonts w:ascii="Times New Roman" w:hAnsi="Times New Roman"/>
          <w:sz w:val="24"/>
          <w:szCs w:val="24"/>
        </w:rPr>
        <w:t xml:space="preserve"> como relevante</w:t>
      </w:r>
      <w:r>
        <w:rPr>
          <w:rFonts w:ascii="Times New Roman" w:hAnsi="Times New Roman"/>
          <w:sz w:val="24"/>
          <w:szCs w:val="24"/>
        </w:rPr>
        <w:t>”.</w:t>
      </w:r>
      <w:r>
        <w:rPr>
          <w:rStyle w:val="FootnoteReference"/>
          <w:rFonts w:ascii="Times New Roman" w:hAnsi="Times New Roman"/>
          <w:sz w:val="24"/>
          <w:szCs w:val="24"/>
        </w:rPr>
        <w:footnoteReference w:id="121"/>
      </w:r>
      <w:r>
        <w:rPr>
          <w:rFonts w:ascii="Times New Roman" w:hAnsi="Times New Roman"/>
          <w:sz w:val="24"/>
          <w:szCs w:val="24"/>
        </w:rPr>
        <w:t xml:space="preserve"> </w:t>
      </w:r>
    </w:p>
    <w:p w:rsidR="00D549BC" w:rsidRDefault="00D549BC" w:rsidP="000615FD">
      <w:pPr>
        <w:spacing w:after="240"/>
        <w:ind w:firstLine="851"/>
        <w:contextualSpacing/>
        <w:rPr>
          <w:rFonts w:ascii="Times New Roman" w:hAnsi="Times New Roman"/>
          <w:sz w:val="24"/>
          <w:szCs w:val="24"/>
        </w:rPr>
      </w:pPr>
      <w:r>
        <w:rPr>
          <w:rFonts w:ascii="Times New Roman" w:hAnsi="Times New Roman"/>
          <w:sz w:val="24"/>
          <w:szCs w:val="24"/>
        </w:rPr>
        <w:t>Assim, buscou-se, por meio do requisito de relevância da questão federal, desestimular a parte sucumbente de ir até ao órgão de cúpula do Judiciário numa tentativa, muitas vezes, meramente protelatória e com intuito de estender ao máximo a duração do processo.</w:t>
      </w:r>
      <w:r>
        <w:rPr>
          <w:rStyle w:val="FootnoteReference"/>
          <w:rFonts w:ascii="Times New Roman" w:hAnsi="Times New Roman"/>
          <w:sz w:val="24"/>
          <w:szCs w:val="24"/>
        </w:rPr>
        <w:footnoteReference w:id="122"/>
      </w:r>
      <w:r>
        <w:rPr>
          <w:rFonts w:ascii="Times New Roman" w:hAnsi="Times New Roman"/>
          <w:sz w:val="24"/>
          <w:szCs w:val="24"/>
        </w:rPr>
        <w:t xml:space="preserve"> </w:t>
      </w:r>
    </w:p>
    <w:p w:rsidR="00D549BC" w:rsidRDefault="00D549BC" w:rsidP="000615FD">
      <w:pPr>
        <w:spacing w:after="240"/>
        <w:ind w:firstLine="851"/>
        <w:contextualSpacing/>
        <w:rPr>
          <w:rFonts w:ascii="Times New Roman" w:hAnsi="Times New Roman"/>
          <w:sz w:val="24"/>
          <w:szCs w:val="24"/>
        </w:rPr>
      </w:pPr>
      <w:r>
        <w:rPr>
          <w:rFonts w:ascii="Times New Roman" w:hAnsi="Times New Roman"/>
          <w:sz w:val="24"/>
          <w:szCs w:val="24"/>
        </w:rPr>
        <w:t>O instituto da Arguição de Relevância da Questão Federal vigeu por cerca de 13 anos (1975 a 1988) e, a partir da promulgação da Carta Magna de 1988, deixou de existir, sendo “reativado”, posteriormente, com o advento da Emenda Constitucional nº 45 de 2004, a qual trouxe à tona a Repercussão Geral. Embora existam várias características em comum entre a Arguição de Relevância e a Repercussão Geral, visto que ambas foram pensadas para diminuir o número excessivo de recursos distribuídos ao STF, criando mecanismos próprios de seleção e filtragem ao acesso à Jurisdição Constitucional, efetivamente, o instituto da Repercussão Geral possui contornos peculiares que o diferencia do sistema vigente na ordem constitucional anterior.</w:t>
      </w:r>
      <w:r>
        <w:rPr>
          <w:rStyle w:val="FootnoteReference"/>
          <w:rFonts w:ascii="Times New Roman" w:hAnsi="Times New Roman"/>
          <w:sz w:val="24"/>
          <w:szCs w:val="24"/>
        </w:rPr>
        <w:footnoteReference w:id="123"/>
      </w:r>
      <w:r>
        <w:rPr>
          <w:rFonts w:ascii="Times New Roman" w:hAnsi="Times New Roman"/>
          <w:sz w:val="24"/>
          <w:szCs w:val="24"/>
        </w:rPr>
        <w:t xml:space="preserve"> </w:t>
      </w:r>
    </w:p>
    <w:p w:rsidR="00D549BC" w:rsidRDefault="00D549BC" w:rsidP="00134FDB">
      <w:pPr>
        <w:spacing w:after="240"/>
        <w:contextualSpacing/>
        <w:rPr>
          <w:rFonts w:ascii="Times New Roman" w:hAnsi="Times New Roman"/>
          <w:sz w:val="24"/>
          <w:szCs w:val="24"/>
        </w:rPr>
      </w:pPr>
      <w:r>
        <w:rPr>
          <w:rFonts w:ascii="Times New Roman" w:hAnsi="Times New Roman"/>
          <w:sz w:val="24"/>
          <w:szCs w:val="24"/>
        </w:rPr>
        <w:t>Por fim, resta-nos perguntar se a Arguição de Relevância atingiu seu desiderato durante os treze anos em que vigeu na ordem jurídica brasileira. Essa é a problemática a ser enfrentada a seguir.</w:t>
      </w:r>
    </w:p>
    <w:p w:rsidR="00D549BC" w:rsidRDefault="00D549BC" w:rsidP="008F5049">
      <w:pPr>
        <w:spacing w:after="240"/>
        <w:ind w:firstLine="0"/>
        <w:contextualSpacing/>
        <w:rPr>
          <w:rFonts w:ascii="Times New Roman" w:hAnsi="Times New Roman"/>
          <w:sz w:val="24"/>
          <w:szCs w:val="24"/>
        </w:rPr>
      </w:pPr>
    </w:p>
    <w:p w:rsidR="00D549BC" w:rsidRPr="00471629" w:rsidRDefault="00D549BC" w:rsidP="008F5049">
      <w:pPr>
        <w:spacing w:after="240"/>
        <w:ind w:firstLine="0"/>
        <w:contextualSpacing/>
        <w:rPr>
          <w:rFonts w:ascii="Times New Roman" w:hAnsi="Times New Roman"/>
          <w:sz w:val="24"/>
          <w:szCs w:val="24"/>
        </w:rPr>
      </w:pPr>
      <w:r w:rsidRPr="00471629">
        <w:rPr>
          <w:rFonts w:ascii="Times New Roman" w:hAnsi="Times New Roman"/>
          <w:sz w:val="24"/>
          <w:szCs w:val="24"/>
        </w:rPr>
        <w:t>3.2 A MANUTENÇÃO DA CRISE E O ADVENTO DA CONSTITUIÇÃO DE 1988</w:t>
      </w:r>
    </w:p>
    <w:p w:rsidR="00D549BC" w:rsidRDefault="00D549BC" w:rsidP="008F5049">
      <w:pPr>
        <w:spacing w:after="240"/>
        <w:ind w:firstLine="0"/>
        <w:contextualSpacing/>
        <w:rPr>
          <w:rFonts w:ascii="Times New Roman" w:hAnsi="Times New Roman"/>
          <w:sz w:val="24"/>
          <w:szCs w:val="24"/>
        </w:rPr>
      </w:pPr>
      <w:r>
        <w:rPr>
          <w:rFonts w:ascii="Times New Roman" w:hAnsi="Times New Roman"/>
          <w:sz w:val="24"/>
          <w:szCs w:val="24"/>
        </w:rPr>
        <w:t xml:space="preserve">  </w:t>
      </w:r>
    </w:p>
    <w:p w:rsidR="00D549BC" w:rsidRDefault="00D549BC" w:rsidP="00134FDB">
      <w:pPr>
        <w:spacing w:after="240"/>
        <w:contextualSpacing/>
        <w:rPr>
          <w:rFonts w:ascii="Times New Roman" w:hAnsi="Times New Roman"/>
          <w:sz w:val="24"/>
          <w:szCs w:val="24"/>
        </w:rPr>
      </w:pPr>
      <w:r>
        <w:rPr>
          <w:rFonts w:ascii="Times New Roman" w:hAnsi="Times New Roman"/>
          <w:sz w:val="24"/>
          <w:szCs w:val="24"/>
        </w:rPr>
        <w:t>A Arguição de Relevância não se aplicava às questões constitucionais em geral, por se entender que seriam sempre relevantes.</w:t>
      </w:r>
      <w:r>
        <w:rPr>
          <w:rStyle w:val="FootnoteReference"/>
          <w:rFonts w:ascii="Times New Roman" w:hAnsi="Times New Roman"/>
          <w:sz w:val="24"/>
          <w:szCs w:val="24"/>
        </w:rPr>
        <w:footnoteReference w:id="124"/>
      </w:r>
      <w:r>
        <w:rPr>
          <w:rFonts w:ascii="Times New Roman" w:hAnsi="Times New Roman"/>
          <w:sz w:val="24"/>
          <w:szCs w:val="24"/>
        </w:rPr>
        <w:t xml:space="preserve"> Apesar da existência desse filtro, instituído em 1975, continuava a crescer o número de Recursos Extraordinários e de Agravos de Instrumento interpostos contra sua inadmissão pelo Tribunal </w:t>
      </w:r>
      <w:r w:rsidRPr="00734919">
        <w:rPr>
          <w:rFonts w:ascii="Times New Roman" w:hAnsi="Times New Roman"/>
          <w:i/>
          <w:sz w:val="24"/>
          <w:szCs w:val="24"/>
        </w:rPr>
        <w:t>a quo</w:t>
      </w:r>
      <w:r>
        <w:rPr>
          <w:rFonts w:ascii="Times New Roman" w:hAnsi="Times New Roman"/>
          <w:sz w:val="24"/>
          <w:szCs w:val="24"/>
        </w:rPr>
        <w:t xml:space="preserve">. </w:t>
      </w:r>
    </w:p>
    <w:p w:rsidR="00D549BC" w:rsidRDefault="00D549BC" w:rsidP="00134FDB">
      <w:pPr>
        <w:spacing w:after="240"/>
        <w:contextualSpacing/>
        <w:rPr>
          <w:rFonts w:ascii="Times New Roman" w:hAnsi="Times New Roman"/>
          <w:sz w:val="24"/>
          <w:szCs w:val="24"/>
        </w:rPr>
      </w:pPr>
      <w:r>
        <w:rPr>
          <w:rFonts w:ascii="Times New Roman" w:hAnsi="Times New Roman"/>
          <w:sz w:val="24"/>
          <w:szCs w:val="24"/>
        </w:rPr>
        <w:t>Segundo MOREIRA ALVES,</w:t>
      </w:r>
      <w:r>
        <w:rPr>
          <w:rStyle w:val="FootnoteReference"/>
          <w:rFonts w:ascii="Times New Roman" w:hAnsi="Times New Roman"/>
          <w:sz w:val="24"/>
          <w:szCs w:val="24"/>
        </w:rPr>
        <w:footnoteReference w:id="125"/>
      </w:r>
      <w:r>
        <w:rPr>
          <w:rFonts w:ascii="Times New Roman" w:hAnsi="Times New Roman"/>
          <w:sz w:val="24"/>
          <w:szCs w:val="24"/>
        </w:rPr>
        <w:t xml:space="preserve"> as estatísticas a respeito desse aumento eram expressivas: de 1979 a 1984, o número de Recursos Extraordinários passou de 1.661 para 3.673; quanto aos Agravos de Instrumento, de 2.956 para 6.630. No que diz respeito às Arguições de Relevância, que eram processadas em instrumento próprio, os números são ainda mais surpreendentes: foram de 8.433 em 1979 para 17.780 em 1984; totalizando, no período compreendido entre 1979 a 1984, 76.748 arguições.</w:t>
      </w:r>
    </w:p>
    <w:p w:rsidR="00D549BC" w:rsidRDefault="00D549BC" w:rsidP="00134FDB">
      <w:pPr>
        <w:spacing w:after="240"/>
        <w:contextualSpacing/>
        <w:rPr>
          <w:rFonts w:ascii="Times New Roman" w:hAnsi="Times New Roman"/>
          <w:sz w:val="24"/>
          <w:szCs w:val="24"/>
        </w:rPr>
      </w:pPr>
      <w:r>
        <w:rPr>
          <w:rFonts w:ascii="Times New Roman" w:hAnsi="Times New Roman"/>
          <w:sz w:val="24"/>
          <w:szCs w:val="24"/>
        </w:rPr>
        <w:t>O ex-Ministro da Corte DJACI FALCÃO também traz uma ideia geral do número de arguições julgadas pelo STF: em 1976 (primeiro ano de vigência do instituto), foram apresentadas 647 arguições, sendo que, em 1987 (último ano de vigência), esse número pulou para 5.979, com acolhimento de 1.121 arguições (aproximadamente 20% do total).</w:t>
      </w:r>
      <w:r>
        <w:rPr>
          <w:rStyle w:val="FootnoteReference"/>
          <w:rFonts w:ascii="Times New Roman" w:hAnsi="Times New Roman"/>
          <w:sz w:val="24"/>
          <w:szCs w:val="24"/>
        </w:rPr>
        <w:footnoteReference w:id="126"/>
      </w:r>
    </w:p>
    <w:p w:rsidR="00D549BC" w:rsidRDefault="00D549BC" w:rsidP="00385229">
      <w:pPr>
        <w:spacing w:after="240"/>
        <w:contextualSpacing/>
        <w:rPr>
          <w:rFonts w:ascii="Times New Roman" w:hAnsi="Times New Roman"/>
          <w:sz w:val="24"/>
          <w:szCs w:val="24"/>
        </w:rPr>
      </w:pPr>
      <w:r>
        <w:rPr>
          <w:rFonts w:ascii="Times New Roman" w:hAnsi="Times New Roman"/>
          <w:sz w:val="24"/>
          <w:szCs w:val="24"/>
        </w:rPr>
        <w:t>Portanto, o que se vislumbrava, à época da elaboração da nova Constituição da República, era um STF ainda congestionado, consequência do grande número de feitos que a ele eram dirigidos anualmente. Nem mesmo o surgimento da arguição de relevância e suas posteriores modificações conseguiu dar conta da crise de funcionalidade que lhe atingia.</w:t>
      </w:r>
    </w:p>
    <w:p w:rsidR="00D549BC" w:rsidRDefault="00D549BC" w:rsidP="00696AA2">
      <w:pPr>
        <w:spacing w:after="240"/>
        <w:ind w:firstLine="851"/>
        <w:contextualSpacing/>
        <w:rPr>
          <w:rFonts w:ascii="Times New Roman" w:hAnsi="Times New Roman"/>
          <w:sz w:val="24"/>
          <w:szCs w:val="24"/>
        </w:rPr>
      </w:pPr>
      <w:r>
        <w:rPr>
          <w:rFonts w:ascii="Times New Roman" w:hAnsi="Times New Roman"/>
          <w:sz w:val="24"/>
          <w:szCs w:val="24"/>
        </w:rPr>
        <w:t xml:space="preserve"> </w:t>
      </w:r>
    </w:p>
    <w:p w:rsidR="00D549BC" w:rsidRPr="00CA5B63" w:rsidRDefault="00D549BC" w:rsidP="00CA5B63">
      <w:pPr>
        <w:spacing w:after="240"/>
        <w:ind w:firstLine="0"/>
        <w:contextualSpacing/>
        <w:rPr>
          <w:rFonts w:ascii="Times New Roman" w:hAnsi="Times New Roman"/>
          <w:b/>
          <w:sz w:val="24"/>
          <w:szCs w:val="24"/>
        </w:rPr>
      </w:pPr>
      <w:r w:rsidRPr="00CA5B63">
        <w:rPr>
          <w:rFonts w:ascii="Times New Roman" w:hAnsi="Times New Roman"/>
          <w:b/>
          <w:sz w:val="24"/>
          <w:szCs w:val="24"/>
        </w:rPr>
        <w:t>3.2.1 As (nova</w:t>
      </w:r>
      <w:r>
        <w:rPr>
          <w:rFonts w:ascii="Times New Roman" w:hAnsi="Times New Roman"/>
          <w:b/>
          <w:sz w:val="24"/>
          <w:szCs w:val="24"/>
        </w:rPr>
        <w:t>s</w:t>
      </w:r>
      <w:r w:rsidRPr="00CA5B63">
        <w:rPr>
          <w:rFonts w:ascii="Times New Roman" w:hAnsi="Times New Roman"/>
          <w:b/>
          <w:sz w:val="24"/>
          <w:szCs w:val="24"/>
        </w:rPr>
        <w:t>) tentativas de solução para a crise</w:t>
      </w:r>
    </w:p>
    <w:p w:rsidR="00D549BC" w:rsidRDefault="00D549BC" w:rsidP="00696AA2">
      <w:pPr>
        <w:spacing w:after="240"/>
        <w:ind w:firstLine="851"/>
        <w:contextualSpacing/>
        <w:rPr>
          <w:rFonts w:ascii="Times New Roman" w:hAnsi="Times New Roman"/>
          <w:sz w:val="24"/>
          <w:szCs w:val="24"/>
        </w:rPr>
      </w:pPr>
    </w:p>
    <w:p w:rsidR="00D549BC" w:rsidRDefault="00D549BC" w:rsidP="00385229">
      <w:pPr>
        <w:spacing w:after="240"/>
        <w:contextualSpacing/>
        <w:rPr>
          <w:rFonts w:ascii="Times New Roman" w:hAnsi="Times New Roman"/>
          <w:sz w:val="24"/>
          <w:szCs w:val="24"/>
        </w:rPr>
      </w:pPr>
      <w:r>
        <w:rPr>
          <w:rFonts w:ascii="Times New Roman" w:hAnsi="Times New Roman"/>
          <w:sz w:val="24"/>
          <w:szCs w:val="24"/>
        </w:rPr>
        <w:t xml:space="preserve">A nova ordem jurídica inaugurada em 5 de outubro de 1988, por meio da promulgação da Constituição da República Federativa do Brasil, provocou profundas alterações na estrutura de cúpula do Judiciário e dos recursos a ela endereçados, inclusive com a supressão da arguição de relevância da questão federal. </w:t>
      </w:r>
    </w:p>
    <w:p w:rsidR="00D549BC" w:rsidRDefault="00D549BC" w:rsidP="00385229">
      <w:pPr>
        <w:spacing w:after="240"/>
        <w:contextualSpacing/>
        <w:rPr>
          <w:rFonts w:ascii="Times New Roman" w:hAnsi="Times New Roman"/>
          <w:sz w:val="24"/>
          <w:szCs w:val="24"/>
        </w:rPr>
      </w:pPr>
      <w:r>
        <w:rPr>
          <w:rFonts w:ascii="Times New Roman" w:hAnsi="Times New Roman"/>
          <w:sz w:val="24"/>
          <w:szCs w:val="24"/>
        </w:rPr>
        <w:t>O quadro de instabilidade institucional ocasionado pela pletora de feitos que abarcavam no STF nas últimas décadas era de conhecimento da Assembleia Nacional Constituinte, órgão responsável pela elaboração do novo texto constitucional.</w:t>
      </w:r>
      <w:r>
        <w:rPr>
          <w:rStyle w:val="FootnoteReference"/>
          <w:rFonts w:ascii="Times New Roman" w:hAnsi="Times New Roman"/>
          <w:sz w:val="24"/>
          <w:szCs w:val="24"/>
        </w:rPr>
        <w:footnoteReference w:id="127"/>
      </w:r>
      <w:r>
        <w:rPr>
          <w:rFonts w:ascii="Times New Roman" w:hAnsi="Times New Roman"/>
          <w:sz w:val="24"/>
          <w:szCs w:val="24"/>
        </w:rPr>
        <w:t xml:space="preserve"> </w:t>
      </w:r>
    </w:p>
    <w:p w:rsidR="00D549BC" w:rsidRDefault="00D549BC" w:rsidP="00385229">
      <w:pPr>
        <w:spacing w:after="240"/>
        <w:contextualSpacing/>
        <w:rPr>
          <w:rFonts w:ascii="Times New Roman" w:hAnsi="Times New Roman"/>
          <w:sz w:val="24"/>
          <w:szCs w:val="24"/>
        </w:rPr>
      </w:pPr>
      <w:r>
        <w:rPr>
          <w:rFonts w:ascii="Times New Roman" w:hAnsi="Times New Roman"/>
          <w:sz w:val="24"/>
          <w:szCs w:val="24"/>
        </w:rPr>
        <w:t xml:space="preserve">O próprio STF fez questão de apresentar à Assembleia Constituinte diversas propostas a serem inseridas na nova Carta Política, a saber, (i) idade limite para nomeação de Ministro do STF aos 66 anos; (ii) alterações nas suas competências; (iii) manutenção da exclusividade da iniciativa da Representação de Inconstitucionalidade em favor do Procurador Geral da República; (iv) garantia ao PGR contra eventual demissão </w:t>
      </w:r>
      <w:r w:rsidRPr="00153881">
        <w:rPr>
          <w:rFonts w:ascii="Times New Roman" w:hAnsi="Times New Roman"/>
          <w:i/>
          <w:sz w:val="24"/>
          <w:szCs w:val="24"/>
        </w:rPr>
        <w:t>ad nutum</w:t>
      </w:r>
      <w:r>
        <w:rPr>
          <w:rFonts w:ascii="Times New Roman" w:hAnsi="Times New Roman"/>
          <w:sz w:val="24"/>
          <w:szCs w:val="24"/>
        </w:rPr>
        <w:t xml:space="preserve"> pelo Presidente da República; (v) não modificação do STF para a Corte Constitucional exclusivamente; (vi) criação do Tribunal Superior Federal e de Tribunais Regionais Federais, com a competência daquele para julgar recursos especiais contra decisões de recursos ordinários prolatados por estes.</w:t>
      </w:r>
      <w:r>
        <w:rPr>
          <w:rStyle w:val="FootnoteReference"/>
          <w:rFonts w:ascii="Times New Roman" w:hAnsi="Times New Roman"/>
          <w:sz w:val="24"/>
          <w:szCs w:val="24"/>
        </w:rPr>
        <w:footnoteReference w:id="128"/>
      </w:r>
      <w:r>
        <w:rPr>
          <w:rFonts w:ascii="Times New Roman" w:hAnsi="Times New Roman"/>
          <w:sz w:val="24"/>
          <w:szCs w:val="24"/>
        </w:rPr>
        <w:t xml:space="preserve"> </w:t>
      </w:r>
    </w:p>
    <w:p w:rsidR="00D549BC" w:rsidRDefault="00D549BC" w:rsidP="00385229">
      <w:pPr>
        <w:spacing w:after="240"/>
        <w:contextualSpacing/>
        <w:rPr>
          <w:rFonts w:ascii="Times New Roman" w:hAnsi="Times New Roman"/>
          <w:sz w:val="24"/>
          <w:szCs w:val="24"/>
        </w:rPr>
      </w:pPr>
      <w:r>
        <w:rPr>
          <w:rFonts w:ascii="Times New Roman" w:hAnsi="Times New Roman"/>
          <w:sz w:val="24"/>
          <w:szCs w:val="24"/>
        </w:rPr>
        <w:t xml:space="preserve">Todavia, muitas daquelas sugestões feitas pela Corte Suprema não se concretizaram no Texto Magno de 1988. No tocante ao Supremo Tribunal Federal, podemos afirmar que houve restrição do Recurso Extraordinário a questões exclusivamente constitucionais, isso em decorrência da criação do Superior Tribunal de Justiça (STJ) e do Recurso Especial (REsp). </w:t>
      </w:r>
    </w:p>
    <w:p w:rsidR="00D549BC" w:rsidRDefault="00D549BC" w:rsidP="00385229">
      <w:pPr>
        <w:spacing w:after="240"/>
        <w:contextualSpacing/>
        <w:rPr>
          <w:rFonts w:ascii="Times New Roman" w:hAnsi="Times New Roman"/>
          <w:sz w:val="24"/>
          <w:szCs w:val="24"/>
        </w:rPr>
      </w:pPr>
      <w:r w:rsidRPr="003843D7">
        <w:rPr>
          <w:rFonts w:ascii="Times New Roman" w:hAnsi="Times New Roman"/>
          <w:sz w:val="24"/>
          <w:szCs w:val="24"/>
        </w:rPr>
        <w:t xml:space="preserve">Foi reforçado, </w:t>
      </w:r>
      <w:r>
        <w:rPr>
          <w:rFonts w:ascii="Times New Roman" w:hAnsi="Times New Roman"/>
          <w:sz w:val="24"/>
          <w:szCs w:val="24"/>
        </w:rPr>
        <w:t>dessa forma</w:t>
      </w:r>
      <w:r w:rsidRPr="003843D7">
        <w:rPr>
          <w:rFonts w:ascii="Times New Roman" w:hAnsi="Times New Roman"/>
          <w:sz w:val="24"/>
          <w:szCs w:val="24"/>
        </w:rPr>
        <w:t>,</w:t>
      </w:r>
      <w:r>
        <w:rPr>
          <w:rFonts w:ascii="Times New Roman" w:hAnsi="Times New Roman"/>
          <w:sz w:val="24"/>
          <w:szCs w:val="24"/>
        </w:rPr>
        <w:t xml:space="preserve"> o perfil de Corte C</w:t>
      </w:r>
      <w:r w:rsidRPr="003843D7">
        <w:rPr>
          <w:rFonts w:ascii="Times New Roman" w:hAnsi="Times New Roman"/>
          <w:sz w:val="24"/>
          <w:szCs w:val="24"/>
        </w:rPr>
        <w:t>onstitucional do Supremo, na medida em que sua competência para</w:t>
      </w:r>
      <w:r>
        <w:rPr>
          <w:rFonts w:ascii="Times New Roman" w:hAnsi="Times New Roman"/>
          <w:sz w:val="24"/>
          <w:szCs w:val="24"/>
        </w:rPr>
        <w:t xml:space="preserve"> </w:t>
      </w:r>
      <w:r w:rsidRPr="003843D7">
        <w:rPr>
          <w:rFonts w:ascii="Times New Roman" w:hAnsi="Times New Roman"/>
          <w:sz w:val="24"/>
          <w:szCs w:val="24"/>
        </w:rPr>
        <w:t xml:space="preserve">julgar </w:t>
      </w:r>
      <w:r>
        <w:rPr>
          <w:rFonts w:ascii="Times New Roman" w:hAnsi="Times New Roman"/>
          <w:sz w:val="24"/>
          <w:szCs w:val="24"/>
        </w:rPr>
        <w:t>R</w:t>
      </w:r>
      <w:r w:rsidRPr="003843D7">
        <w:rPr>
          <w:rFonts w:ascii="Times New Roman" w:hAnsi="Times New Roman"/>
          <w:sz w:val="24"/>
          <w:szCs w:val="24"/>
        </w:rPr>
        <w:t xml:space="preserve">ecursos </w:t>
      </w:r>
      <w:r>
        <w:rPr>
          <w:rFonts w:ascii="Times New Roman" w:hAnsi="Times New Roman"/>
          <w:sz w:val="24"/>
          <w:szCs w:val="24"/>
        </w:rPr>
        <w:t>E</w:t>
      </w:r>
      <w:r w:rsidRPr="003843D7">
        <w:rPr>
          <w:rFonts w:ascii="Times New Roman" w:hAnsi="Times New Roman"/>
          <w:sz w:val="24"/>
          <w:szCs w:val="24"/>
        </w:rPr>
        <w:t>xtraordinários ficou restrita a casos de violação do texto</w:t>
      </w:r>
      <w:r>
        <w:rPr>
          <w:rFonts w:ascii="Times New Roman" w:hAnsi="Times New Roman"/>
          <w:sz w:val="24"/>
          <w:szCs w:val="24"/>
        </w:rPr>
        <w:t xml:space="preserve"> constitucional</w:t>
      </w:r>
      <w:r w:rsidRPr="003843D7">
        <w:rPr>
          <w:rFonts w:ascii="Times New Roman" w:hAnsi="Times New Roman"/>
          <w:sz w:val="24"/>
          <w:szCs w:val="24"/>
        </w:rPr>
        <w:t>. Previa o artigo 102, inciso III, em sua redação original: “Compete ao</w:t>
      </w:r>
      <w:r>
        <w:rPr>
          <w:rFonts w:ascii="Times New Roman" w:hAnsi="Times New Roman"/>
          <w:sz w:val="24"/>
          <w:szCs w:val="24"/>
        </w:rPr>
        <w:t xml:space="preserve"> </w:t>
      </w:r>
      <w:r w:rsidRPr="003843D7">
        <w:rPr>
          <w:rFonts w:ascii="Times New Roman" w:hAnsi="Times New Roman"/>
          <w:sz w:val="24"/>
          <w:szCs w:val="24"/>
        </w:rPr>
        <w:t>Supremo Tribunal Federal, precipuamente, a guar</w:t>
      </w:r>
      <w:r>
        <w:rPr>
          <w:rFonts w:ascii="Times New Roman" w:hAnsi="Times New Roman"/>
          <w:sz w:val="24"/>
          <w:szCs w:val="24"/>
        </w:rPr>
        <w:t xml:space="preserve">da da Constituição, cabendo-lhe: III </w:t>
      </w:r>
      <w:r w:rsidRPr="00417F3F">
        <w:rPr>
          <w:rFonts w:ascii="Times New Roman" w:hAnsi="Times New Roman"/>
          <w:sz w:val="24"/>
          <w:szCs w:val="24"/>
        </w:rPr>
        <w:t>- julgar, mediante recurso extraordinário, as causas decididas em única ou última instância, quando a decisão recorrida:</w:t>
      </w:r>
      <w:r>
        <w:rPr>
          <w:rFonts w:ascii="Times New Roman" w:hAnsi="Times New Roman"/>
          <w:sz w:val="24"/>
          <w:szCs w:val="24"/>
        </w:rPr>
        <w:t xml:space="preserve"> </w:t>
      </w:r>
      <w:r w:rsidRPr="00417F3F">
        <w:rPr>
          <w:rFonts w:ascii="Times New Roman" w:hAnsi="Times New Roman"/>
          <w:sz w:val="24"/>
          <w:szCs w:val="24"/>
        </w:rPr>
        <w:t xml:space="preserve">a) </w:t>
      </w:r>
      <w:r w:rsidRPr="00417F3F">
        <w:rPr>
          <w:rFonts w:ascii="Times New Roman" w:hAnsi="Times New Roman"/>
          <w:i/>
          <w:sz w:val="24"/>
          <w:szCs w:val="24"/>
        </w:rPr>
        <w:t>contrariar dispositivo desta Constituição</w:t>
      </w:r>
      <w:r w:rsidRPr="00417F3F">
        <w:rPr>
          <w:rFonts w:ascii="Times New Roman" w:hAnsi="Times New Roman"/>
          <w:sz w:val="24"/>
          <w:szCs w:val="24"/>
        </w:rPr>
        <w:t>;</w:t>
      </w:r>
      <w:r>
        <w:rPr>
          <w:rFonts w:ascii="Times New Roman" w:hAnsi="Times New Roman"/>
          <w:sz w:val="24"/>
          <w:szCs w:val="24"/>
        </w:rPr>
        <w:t xml:space="preserve"> </w:t>
      </w:r>
      <w:r w:rsidRPr="00417F3F">
        <w:rPr>
          <w:rFonts w:ascii="Times New Roman" w:hAnsi="Times New Roman"/>
          <w:sz w:val="24"/>
          <w:szCs w:val="24"/>
        </w:rPr>
        <w:t xml:space="preserve">b) </w:t>
      </w:r>
      <w:r w:rsidRPr="00417F3F">
        <w:rPr>
          <w:rFonts w:ascii="Times New Roman" w:hAnsi="Times New Roman"/>
          <w:i/>
          <w:sz w:val="24"/>
          <w:szCs w:val="24"/>
        </w:rPr>
        <w:t>declarar a inconstitucionalidade</w:t>
      </w:r>
      <w:r w:rsidRPr="00417F3F">
        <w:rPr>
          <w:rFonts w:ascii="Times New Roman" w:hAnsi="Times New Roman"/>
          <w:sz w:val="24"/>
          <w:szCs w:val="24"/>
        </w:rPr>
        <w:t xml:space="preserve"> de tratado ou lei federal;</w:t>
      </w:r>
      <w:r>
        <w:rPr>
          <w:rFonts w:ascii="Times New Roman" w:hAnsi="Times New Roman"/>
          <w:sz w:val="24"/>
          <w:szCs w:val="24"/>
        </w:rPr>
        <w:t xml:space="preserve"> </w:t>
      </w:r>
      <w:r w:rsidRPr="00417F3F">
        <w:rPr>
          <w:rFonts w:ascii="Times New Roman" w:hAnsi="Times New Roman"/>
          <w:sz w:val="24"/>
          <w:szCs w:val="24"/>
        </w:rPr>
        <w:t xml:space="preserve">c) julgar válida lei ou ato de governo local </w:t>
      </w:r>
      <w:r w:rsidRPr="00417F3F">
        <w:rPr>
          <w:rFonts w:ascii="Times New Roman" w:hAnsi="Times New Roman"/>
          <w:i/>
          <w:sz w:val="24"/>
          <w:szCs w:val="24"/>
        </w:rPr>
        <w:t>contestado em face desta Constituição</w:t>
      </w:r>
      <w:r>
        <w:rPr>
          <w:rFonts w:ascii="Times New Roman" w:hAnsi="Times New Roman"/>
          <w:sz w:val="24"/>
          <w:szCs w:val="24"/>
        </w:rPr>
        <w:t xml:space="preserve">” (grifos nossos). </w:t>
      </w:r>
    </w:p>
    <w:p w:rsidR="00D549BC" w:rsidRDefault="00D549BC" w:rsidP="000A16EA">
      <w:pPr>
        <w:spacing w:after="240"/>
        <w:contextualSpacing/>
        <w:rPr>
          <w:rFonts w:ascii="Times New Roman" w:hAnsi="Times New Roman"/>
          <w:sz w:val="24"/>
          <w:szCs w:val="24"/>
        </w:rPr>
      </w:pPr>
      <w:r>
        <w:rPr>
          <w:rFonts w:ascii="Times New Roman" w:hAnsi="Times New Roman"/>
          <w:sz w:val="24"/>
          <w:szCs w:val="24"/>
        </w:rPr>
        <w:t xml:space="preserve">Outro ponto importante, inaugurado com a redemocratização, foi a ampliação, ao contrário do que até então ocorrera, do controle de constitucionalidade </w:t>
      </w:r>
      <w:r w:rsidRPr="004955CB">
        <w:rPr>
          <w:rFonts w:ascii="Times New Roman" w:hAnsi="Times New Roman"/>
          <w:i/>
          <w:sz w:val="24"/>
          <w:szCs w:val="24"/>
        </w:rPr>
        <w:t>in abstracto</w:t>
      </w:r>
      <w:r>
        <w:rPr>
          <w:rFonts w:ascii="Times New Roman" w:hAnsi="Times New Roman"/>
          <w:sz w:val="24"/>
          <w:szCs w:val="24"/>
        </w:rPr>
        <w:t xml:space="preserve"> em detrimento do controle </w:t>
      </w:r>
      <w:r w:rsidRPr="004955CB">
        <w:rPr>
          <w:rFonts w:ascii="Times New Roman" w:hAnsi="Times New Roman"/>
          <w:i/>
          <w:sz w:val="24"/>
          <w:szCs w:val="24"/>
        </w:rPr>
        <w:t>in concreto</w:t>
      </w:r>
      <w:r>
        <w:rPr>
          <w:rFonts w:ascii="Times New Roman" w:hAnsi="Times New Roman"/>
          <w:sz w:val="24"/>
          <w:szCs w:val="24"/>
        </w:rPr>
        <w:t xml:space="preserve">, com a manutenção da Representação de Inconstitucionalidade, sob a denominação, agora, de Ação Direta de Inconstitucionalidade (ADI), e aumento do rol dos legitimados para propô-la. </w:t>
      </w:r>
    </w:p>
    <w:p w:rsidR="00D549BC" w:rsidRDefault="00D549BC" w:rsidP="000A16EA">
      <w:pPr>
        <w:spacing w:after="240"/>
        <w:contextualSpacing/>
        <w:rPr>
          <w:rFonts w:ascii="Times New Roman" w:hAnsi="Times New Roman"/>
          <w:sz w:val="24"/>
          <w:szCs w:val="24"/>
        </w:rPr>
      </w:pPr>
      <w:r w:rsidRPr="007D7876">
        <w:rPr>
          <w:rFonts w:ascii="Times New Roman" w:hAnsi="Times New Roman"/>
          <w:sz w:val="24"/>
          <w:szCs w:val="24"/>
        </w:rPr>
        <w:t>Imaginou-se</w:t>
      </w:r>
      <w:r>
        <w:rPr>
          <w:rFonts w:ascii="Times New Roman" w:hAnsi="Times New Roman"/>
          <w:sz w:val="24"/>
          <w:szCs w:val="24"/>
        </w:rPr>
        <w:t>, ainda,</w:t>
      </w:r>
      <w:r w:rsidRPr="007D7876">
        <w:rPr>
          <w:rFonts w:ascii="Times New Roman" w:hAnsi="Times New Roman"/>
          <w:sz w:val="24"/>
          <w:szCs w:val="24"/>
        </w:rPr>
        <w:t xml:space="preserve"> que</w:t>
      </w:r>
      <w:r>
        <w:rPr>
          <w:rFonts w:ascii="Times New Roman" w:hAnsi="Times New Roman"/>
          <w:sz w:val="24"/>
          <w:szCs w:val="24"/>
        </w:rPr>
        <w:t xml:space="preserve"> </w:t>
      </w:r>
      <w:r w:rsidRPr="007D7876">
        <w:rPr>
          <w:rFonts w:ascii="Times New Roman" w:hAnsi="Times New Roman"/>
          <w:sz w:val="24"/>
          <w:szCs w:val="24"/>
        </w:rPr>
        <w:t xml:space="preserve">poderia desafogar o </w:t>
      </w:r>
      <w:r>
        <w:rPr>
          <w:rFonts w:ascii="Times New Roman" w:hAnsi="Times New Roman"/>
          <w:sz w:val="24"/>
          <w:szCs w:val="24"/>
        </w:rPr>
        <w:t>Supremo Tribunal Federal</w:t>
      </w:r>
      <w:r w:rsidRPr="007D7876">
        <w:rPr>
          <w:rFonts w:ascii="Times New Roman" w:hAnsi="Times New Roman"/>
          <w:sz w:val="24"/>
          <w:szCs w:val="24"/>
        </w:rPr>
        <w:t xml:space="preserve"> a criação de um segundo Tribunal Superior, com</w:t>
      </w:r>
      <w:r>
        <w:rPr>
          <w:rFonts w:ascii="Times New Roman" w:hAnsi="Times New Roman"/>
          <w:sz w:val="24"/>
          <w:szCs w:val="24"/>
        </w:rPr>
        <w:t xml:space="preserve"> </w:t>
      </w:r>
      <w:r w:rsidRPr="007D7876">
        <w:rPr>
          <w:rFonts w:ascii="Times New Roman" w:hAnsi="Times New Roman"/>
          <w:sz w:val="24"/>
          <w:szCs w:val="24"/>
        </w:rPr>
        <w:t xml:space="preserve">número bem maior de ministros (trinta e três), e com </w:t>
      </w:r>
      <w:r>
        <w:rPr>
          <w:rFonts w:ascii="Times New Roman" w:hAnsi="Times New Roman"/>
          <w:sz w:val="24"/>
          <w:szCs w:val="24"/>
        </w:rPr>
        <w:t>competência para julgar as causas decididas, em única ou última instância, pelos Tribunais Regionais Federais ou pelos Tribunais dos Estados, do Distrito Federal e Territórios. Tal julgamento dar-se-ia quando a decisão recorrida</w:t>
      </w:r>
      <w:r w:rsidRPr="007D7876">
        <w:rPr>
          <w:rFonts w:ascii="Times New Roman" w:hAnsi="Times New Roman"/>
          <w:sz w:val="24"/>
          <w:szCs w:val="24"/>
        </w:rPr>
        <w:t xml:space="preserve"> </w:t>
      </w:r>
      <w:r>
        <w:rPr>
          <w:rFonts w:ascii="Times New Roman" w:hAnsi="Times New Roman"/>
          <w:sz w:val="24"/>
          <w:szCs w:val="24"/>
        </w:rPr>
        <w:t>contrariasse</w:t>
      </w:r>
      <w:r w:rsidRPr="007D7876">
        <w:rPr>
          <w:rFonts w:ascii="Times New Roman" w:hAnsi="Times New Roman"/>
          <w:sz w:val="24"/>
          <w:szCs w:val="24"/>
        </w:rPr>
        <w:t xml:space="preserve"> tratado ou lei federa</w:t>
      </w:r>
      <w:r>
        <w:rPr>
          <w:rFonts w:ascii="Times New Roman" w:hAnsi="Times New Roman"/>
          <w:sz w:val="24"/>
          <w:szCs w:val="24"/>
        </w:rPr>
        <w:t>l</w:t>
      </w:r>
      <w:r w:rsidRPr="007D7876">
        <w:rPr>
          <w:rFonts w:ascii="Times New Roman" w:hAnsi="Times New Roman"/>
          <w:sz w:val="24"/>
          <w:szCs w:val="24"/>
        </w:rPr>
        <w:t>,</w:t>
      </w:r>
      <w:r>
        <w:rPr>
          <w:rFonts w:ascii="Times New Roman" w:hAnsi="Times New Roman"/>
          <w:sz w:val="24"/>
          <w:szCs w:val="24"/>
        </w:rPr>
        <w:t xml:space="preserve"> ou lhes negasse vigência, bem como aquela</w:t>
      </w:r>
      <w:r w:rsidRPr="007D7876">
        <w:rPr>
          <w:rFonts w:ascii="Times New Roman" w:hAnsi="Times New Roman"/>
          <w:sz w:val="24"/>
          <w:szCs w:val="24"/>
        </w:rPr>
        <w:t>s que envolvessem a diversidade de</w:t>
      </w:r>
      <w:r>
        <w:rPr>
          <w:rFonts w:ascii="Times New Roman" w:hAnsi="Times New Roman"/>
          <w:sz w:val="24"/>
          <w:szCs w:val="24"/>
        </w:rPr>
        <w:t xml:space="preserve"> </w:t>
      </w:r>
      <w:r w:rsidRPr="007D7876">
        <w:rPr>
          <w:rFonts w:ascii="Times New Roman" w:hAnsi="Times New Roman"/>
          <w:sz w:val="24"/>
          <w:szCs w:val="24"/>
        </w:rPr>
        <w:t>entendimento entre os demais Tribunais da Federação, sempre em âmbito</w:t>
      </w:r>
      <w:r>
        <w:rPr>
          <w:rFonts w:ascii="Times New Roman" w:hAnsi="Times New Roman"/>
          <w:sz w:val="24"/>
          <w:szCs w:val="24"/>
        </w:rPr>
        <w:t xml:space="preserve"> infraconstitucional</w:t>
      </w:r>
      <w:r w:rsidRPr="007D7876">
        <w:rPr>
          <w:rFonts w:ascii="Times New Roman" w:hAnsi="Times New Roman"/>
          <w:sz w:val="24"/>
          <w:szCs w:val="24"/>
        </w:rPr>
        <w:t>.</w:t>
      </w:r>
      <w:r>
        <w:rPr>
          <w:rFonts w:ascii="Times New Roman" w:hAnsi="Times New Roman"/>
          <w:sz w:val="24"/>
          <w:szCs w:val="24"/>
        </w:rPr>
        <w:t xml:space="preserve">  </w:t>
      </w:r>
    </w:p>
    <w:p w:rsidR="00D549BC" w:rsidRDefault="00D549BC" w:rsidP="000A16EA">
      <w:pPr>
        <w:spacing w:after="240"/>
        <w:contextualSpacing/>
        <w:rPr>
          <w:rFonts w:ascii="Times New Roman" w:hAnsi="Times New Roman"/>
          <w:sz w:val="24"/>
          <w:szCs w:val="24"/>
        </w:rPr>
      </w:pPr>
      <w:r>
        <w:rPr>
          <w:rFonts w:ascii="Times New Roman" w:hAnsi="Times New Roman"/>
          <w:sz w:val="24"/>
          <w:szCs w:val="24"/>
        </w:rPr>
        <w:t xml:space="preserve">Por outro lado, é possível afirmarmos que, para além da pretensão de desafogar o Supremo Tribunal Federal de milhares de processos – com a criação do STJ e a assunção da competência para resolver as questões infraconstitucionais em sede de Recurso Especial –, buscou-se, também, corrigir a missão institucional da Corte Suprema, qual seja, a de guardiã da Carta Política e do Estado Democrático de Direito. </w:t>
      </w:r>
    </w:p>
    <w:p w:rsidR="00D549BC" w:rsidRDefault="00D549BC" w:rsidP="002005BE">
      <w:pPr>
        <w:spacing w:after="240"/>
        <w:contextualSpacing/>
        <w:rPr>
          <w:rFonts w:ascii="Times New Roman" w:hAnsi="Times New Roman"/>
          <w:sz w:val="24"/>
          <w:szCs w:val="24"/>
        </w:rPr>
      </w:pPr>
      <w:r>
        <w:rPr>
          <w:rFonts w:ascii="Times New Roman" w:hAnsi="Times New Roman"/>
          <w:sz w:val="24"/>
          <w:szCs w:val="24"/>
        </w:rPr>
        <w:t xml:space="preserve">Com efeito, a fim viabilizar essa missão institucional atribuída ao órgão de cúpula do Judiciário brasileiro, o legislador constituinte originário acabou por </w:t>
      </w:r>
      <w:r w:rsidRPr="006F5323">
        <w:rPr>
          <w:rFonts w:ascii="Times New Roman" w:hAnsi="Times New Roman"/>
          <w:sz w:val="24"/>
          <w:szCs w:val="24"/>
        </w:rPr>
        <w:t>cria</w:t>
      </w:r>
      <w:r>
        <w:rPr>
          <w:rFonts w:ascii="Times New Roman" w:hAnsi="Times New Roman"/>
          <w:sz w:val="24"/>
          <w:szCs w:val="24"/>
        </w:rPr>
        <w:t>r</w:t>
      </w:r>
      <w:r w:rsidRPr="006F5323">
        <w:rPr>
          <w:rFonts w:ascii="Times New Roman" w:hAnsi="Times New Roman"/>
          <w:sz w:val="24"/>
          <w:szCs w:val="24"/>
        </w:rPr>
        <w:t xml:space="preserve"> </w:t>
      </w:r>
      <w:r>
        <w:rPr>
          <w:rFonts w:ascii="Times New Roman" w:hAnsi="Times New Roman"/>
          <w:sz w:val="24"/>
          <w:szCs w:val="24"/>
        </w:rPr>
        <w:t>o Superior Tribunal de Justiça</w:t>
      </w:r>
      <w:r w:rsidRPr="006F5323">
        <w:rPr>
          <w:rFonts w:ascii="Times New Roman" w:hAnsi="Times New Roman"/>
          <w:sz w:val="24"/>
          <w:szCs w:val="24"/>
        </w:rPr>
        <w:t xml:space="preserve">, cuja atribuição seria a de </w:t>
      </w:r>
      <w:r>
        <w:rPr>
          <w:rFonts w:ascii="Times New Roman" w:hAnsi="Times New Roman"/>
          <w:sz w:val="24"/>
          <w:szCs w:val="24"/>
        </w:rPr>
        <w:t>“guardião”</w:t>
      </w:r>
      <w:r w:rsidRPr="006F5323">
        <w:rPr>
          <w:rFonts w:ascii="Times New Roman" w:hAnsi="Times New Roman"/>
          <w:sz w:val="24"/>
          <w:szCs w:val="24"/>
        </w:rPr>
        <w:t xml:space="preserve"> da legislação federal, deixando</w:t>
      </w:r>
      <w:r>
        <w:rPr>
          <w:rFonts w:ascii="Times New Roman" w:hAnsi="Times New Roman"/>
          <w:sz w:val="24"/>
          <w:szCs w:val="24"/>
        </w:rPr>
        <w:t>, por conseguinte,</w:t>
      </w:r>
      <w:r w:rsidRPr="006F5323">
        <w:rPr>
          <w:rFonts w:ascii="Times New Roman" w:hAnsi="Times New Roman"/>
          <w:sz w:val="24"/>
          <w:szCs w:val="24"/>
        </w:rPr>
        <w:t xml:space="preserve"> ao S</w:t>
      </w:r>
      <w:r>
        <w:rPr>
          <w:rFonts w:ascii="Times New Roman" w:hAnsi="Times New Roman"/>
          <w:sz w:val="24"/>
          <w:szCs w:val="24"/>
        </w:rPr>
        <w:t xml:space="preserve">upremo </w:t>
      </w:r>
      <w:r w:rsidRPr="006F5323">
        <w:rPr>
          <w:rFonts w:ascii="Times New Roman" w:hAnsi="Times New Roman"/>
          <w:sz w:val="24"/>
          <w:szCs w:val="24"/>
        </w:rPr>
        <w:t>T</w:t>
      </w:r>
      <w:r>
        <w:rPr>
          <w:rFonts w:ascii="Times New Roman" w:hAnsi="Times New Roman"/>
          <w:sz w:val="24"/>
          <w:szCs w:val="24"/>
        </w:rPr>
        <w:t xml:space="preserve">ribunal </w:t>
      </w:r>
      <w:r w:rsidRPr="006F5323">
        <w:rPr>
          <w:rFonts w:ascii="Times New Roman" w:hAnsi="Times New Roman"/>
          <w:sz w:val="24"/>
          <w:szCs w:val="24"/>
        </w:rPr>
        <w:t>F</w:t>
      </w:r>
      <w:r>
        <w:rPr>
          <w:rFonts w:ascii="Times New Roman" w:hAnsi="Times New Roman"/>
          <w:sz w:val="24"/>
          <w:szCs w:val="24"/>
        </w:rPr>
        <w:t>ederal</w:t>
      </w:r>
      <w:r w:rsidRPr="006F5323">
        <w:rPr>
          <w:rFonts w:ascii="Times New Roman" w:hAnsi="Times New Roman"/>
          <w:sz w:val="24"/>
          <w:szCs w:val="24"/>
        </w:rPr>
        <w:t xml:space="preserve"> a atribuição de proteção da esfera constitucional. </w:t>
      </w:r>
    </w:p>
    <w:p w:rsidR="00D549BC" w:rsidRDefault="00D549BC" w:rsidP="007D7876">
      <w:pPr>
        <w:spacing w:after="240"/>
        <w:ind w:firstLine="851"/>
        <w:contextualSpacing/>
        <w:rPr>
          <w:rFonts w:ascii="Times New Roman" w:hAnsi="Times New Roman"/>
          <w:sz w:val="24"/>
          <w:szCs w:val="24"/>
        </w:rPr>
      </w:pPr>
    </w:p>
    <w:p w:rsidR="00D549BC" w:rsidRPr="002C25F4" w:rsidRDefault="00D549BC" w:rsidP="00D4798A">
      <w:pPr>
        <w:spacing w:after="240"/>
        <w:ind w:firstLine="0"/>
        <w:contextualSpacing/>
        <w:rPr>
          <w:rFonts w:ascii="Times New Roman" w:hAnsi="Times New Roman"/>
          <w:b/>
          <w:sz w:val="24"/>
          <w:szCs w:val="24"/>
        </w:rPr>
      </w:pPr>
      <w:r w:rsidRPr="002C25F4">
        <w:rPr>
          <w:rFonts w:ascii="Times New Roman" w:hAnsi="Times New Roman"/>
          <w:b/>
          <w:sz w:val="24"/>
          <w:szCs w:val="24"/>
        </w:rPr>
        <w:t>3.2.2 A criação do Superior Tribunal de Justiça</w:t>
      </w:r>
      <w:r>
        <w:rPr>
          <w:rFonts w:ascii="Times New Roman" w:hAnsi="Times New Roman"/>
          <w:b/>
          <w:sz w:val="24"/>
          <w:szCs w:val="24"/>
        </w:rPr>
        <w:t xml:space="preserve">: considerações gerais </w:t>
      </w:r>
    </w:p>
    <w:p w:rsidR="00D549BC" w:rsidRDefault="00D549BC" w:rsidP="007D7876">
      <w:pPr>
        <w:spacing w:after="240"/>
        <w:ind w:firstLine="851"/>
        <w:contextualSpacing/>
        <w:rPr>
          <w:rFonts w:ascii="Times New Roman" w:hAnsi="Times New Roman"/>
          <w:sz w:val="24"/>
          <w:szCs w:val="24"/>
        </w:rPr>
      </w:pPr>
    </w:p>
    <w:p w:rsidR="00D549BC" w:rsidRDefault="00D549BC" w:rsidP="002005BE">
      <w:pPr>
        <w:spacing w:after="240"/>
        <w:contextualSpacing/>
        <w:rPr>
          <w:rFonts w:ascii="Times New Roman" w:hAnsi="Times New Roman"/>
          <w:sz w:val="24"/>
          <w:szCs w:val="24"/>
        </w:rPr>
      </w:pPr>
      <w:r>
        <w:rPr>
          <w:rFonts w:ascii="Times New Roman" w:hAnsi="Times New Roman"/>
          <w:sz w:val="24"/>
          <w:szCs w:val="24"/>
        </w:rPr>
        <w:t xml:space="preserve">A vigente ordem constitucional prevê uma Corte de Justiça (arts. 104 e 105 da CRFB/88) encarregada do controle da inteireza positiva do direito infraconstitucional, com o respectivo instrumento processual: o Recurso Especial. </w:t>
      </w:r>
    </w:p>
    <w:p w:rsidR="00D549BC" w:rsidRDefault="00D549BC" w:rsidP="001227DB">
      <w:pPr>
        <w:spacing w:after="240"/>
        <w:contextualSpacing/>
        <w:rPr>
          <w:rFonts w:ascii="Times New Roman" w:hAnsi="Times New Roman"/>
          <w:sz w:val="24"/>
          <w:szCs w:val="24"/>
        </w:rPr>
      </w:pPr>
      <w:r>
        <w:rPr>
          <w:rFonts w:ascii="Times New Roman" w:hAnsi="Times New Roman"/>
          <w:sz w:val="24"/>
          <w:szCs w:val="24"/>
        </w:rPr>
        <w:t xml:space="preserve">Porém, cabe-nos perguntar quando surgiu, na história do ordenamento jurídico pátrio, a ideia de criar um novo Tribunal Superior, desta feita, com o fito de zelar pela integralidade da legislação infraconstitucional, deixando-se ao Supremo Tribunal Federal as questões exclusivamente constitucionais. </w:t>
      </w:r>
    </w:p>
    <w:p w:rsidR="00D549BC" w:rsidRDefault="00D549BC" w:rsidP="00B460FF">
      <w:pPr>
        <w:spacing w:after="240"/>
        <w:ind w:firstLine="851"/>
        <w:contextualSpacing/>
        <w:rPr>
          <w:rFonts w:ascii="Times New Roman" w:hAnsi="Times New Roman"/>
          <w:sz w:val="24"/>
          <w:szCs w:val="24"/>
        </w:rPr>
      </w:pPr>
      <w:r>
        <w:rPr>
          <w:rFonts w:ascii="Times New Roman" w:hAnsi="Times New Roman"/>
          <w:sz w:val="24"/>
          <w:szCs w:val="24"/>
        </w:rPr>
        <w:t>Segundo RODOLFO DE CAMARGO MANCUSO,</w:t>
      </w:r>
      <w:r>
        <w:rPr>
          <w:rStyle w:val="FootnoteReference"/>
          <w:rFonts w:ascii="Times New Roman" w:hAnsi="Times New Roman"/>
          <w:sz w:val="24"/>
          <w:szCs w:val="24"/>
        </w:rPr>
        <w:footnoteReference w:id="129"/>
      </w:r>
      <w:r>
        <w:rPr>
          <w:rFonts w:ascii="Times New Roman" w:hAnsi="Times New Roman"/>
          <w:sz w:val="24"/>
          <w:szCs w:val="24"/>
        </w:rPr>
        <w:t xml:space="preserve"> a história é velha demais e remonta à década de 60: </w:t>
      </w:r>
    </w:p>
    <w:p w:rsidR="00D549BC" w:rsidRPr="002103C1" w:rsidRDefault="00D549BC" w:rsidP="002103C1">
      <w:pPr>
        <w:spacing w:after="240" w:line="240" w:lineRule="auto"/>
        <w:ind w:left="2268" w:firstLine="0"/>
        <w:contextualSpacing/>
        <w:rPr>
          <w:rFonts w:ascii="Times New Roman" w:hAnsi="Times New Roman"/>
        </w:rPr>
      </w:pPr>
      <w:r w:rsidRPr="002103C1">
        <w:rPr>
          <w:rFonts w:ascii="Times New Roman" w:hAnsi="Times New Roman"/>
        </w:rPr>
        <w:t xml:space="preserve">Naquele ano [1965], uma mesa-redonda foi formada na Fundação Getúlio Vargas, presidida pelo Min. Themístocles Brandão Cavalcanti e integrada por Caio Tácito, Lamy Filho, Flávio Bauer Novelli, Miguel Seabra Fagundes, Alcino de Paula Salazar, Caio Mário da Silva Pereira, José Frederico Marques, Gilberto de Ulhôa Canto, Levy Fernandes Carneiro, Mário Pessoa e Miguel Reale. A ilustre plêiade de juristas discutiu acerca da viabilidade da criação de um Tribunal Superior, para julgar recursos extraordinários relativos ao direito federal comum. No relatório alusivo ao encontro, estabeleceu-se nos itens 9, 10 e 11: </w:t>
      </w:r>
    </w:p>
    <w:p w:rsidR="00D549BC" w:rsidRPr="002103C1" w:rsidRDefault="00D549BC" w:rsidP="002103C1">
      <w:pPr>
        <w:spacing w:after="240" w:line="240" w:lineRule="auto"/>
        <w:ind w:left="2268" w:firstLine="0"/>
        <w:contextualSpacing/>
        <w:rPr>
          <w:rFonts w:ascii="Times New Roman" w:hAnsi="Times New Roman"/>
        </w:rPr>
      </w:pPr>
      <w:r>
        <w:rPr>
          <w:rFonts w:ascii="Times New Roman" w:hAnsi="Times New Roman"/>
        </w:rPr>
        <w:t>“</w:t>
      </w:r>
      <w:r w:rsidRPr="002103C1">
        <w:rPr>
          <w:rFonts w:ascii="Times New Roman" w:hAnsi="Times New Roman"/>
        </w:rPr>
        <w:t xml:space="preserve">9. Decidiu-se, sem maior dificuldade, pela criação de um novo Tribunal. As divergências sobre a sua natureza e o número de tribunais, que a princípio suscitaram debates, pouco a pouco se encaminharam por uma solução que mereceu, afinal, o assentimento de todos. Seria criado um único Tribunal, que teria uma função eminente como instância federal sobre matéria que não tivesse, com especificidade, natureza constitucional, ao mesmo tempo que teria a tarefa de apreciar os mandados de segurança e </w:t>
      </w:r>
      <w:r w:rsidRPr="002103C1">
        <w:rPr>
          <w:rFonts w:ascii="Times New Roman" w:hAnsi="Times New Roman"/>
          <w:i/>
        </w:rPr>
        <w:t>habeas corpus</w:t>
      </w:r>
      <w:r w:rsidRPr="002103C1">
        <w:rPr>
          <w:rFonts w:ascii="Times New Roman" w:hAnsi="Times New Roman"/>
        </w:rPr>
        <w:t xml:space="preserve"> originários, contra atos dos Ministros de Estado e os recursos ordinários das decisões denegatórias em última instância federal ou dos Estados. </w:t>
      </w:r>
    </w:p>
    <w:p w:rsidR="00D549BC" w:rsidRPr="002103C1" w:rsidRDefault="00D549BC" w:rsidP="002103C1">
      <w:pPr>
        <w:spacing w:after="240" w:line="240" w:lineRule="auto"/>
        <w:ind w:left="2268" w:firstLine="0"/>
        <w:contextualSpacing/>
        <w:rPr>
          <w:rFonts w:ascii="Times New Roman" w:hAnsi="Times New Roman"/>
        </w:rPr>
      </w:pPr>
      <w:r w:rsidRPr="002103C1">
        <w:rPr>
          <w:rFonts w:ascii="Times New Roman" w:hAnsi="Times New Roman"/>
        </w:rPr>
        <w:t xml:space="preserve">10. Assim, também, os recursos extraordinários fundados exclusivamente na Lei Federal seriam encaminhados a esse novo tribunal, aliviando o STF de uma sobrecarga. </w:t>
      </w:r>
    </w:p>
    <w:p w:rsidR="00D549BC" w:rsidRDefault="00D549BC" w:rsidP="002103C1">
      <w:pPr>
        <w:spacing w:after="240" w:line="240" w:lineRule="auto"/>
        <w:ind w:left="2268" w:firstLine="0"/>
        <w:contextualSpacing/>
        <w:rPr>
          <w:rFonts w:ascii="Times New Roman" w:hAnsi="Times New Roman"/>
        </w:rPr>
      </w:pPr>
      <w:r w:rsidRPr="002103C1">
        <w:rPr>
          <w:rFonts w:ascii="Times New Roman" w:hAnsi="Times New Roman"/>
        </w:rPr>
        <w:t>11. Realizada essa tarefa inicial pela mesa-redonda, que reduziu seu debate a um projeto que vai em anexo, frisaram os seus membros, sem reservas, que a sugestão em momento algum poderia significar um desprestígio para o STF. Seria, antes, o aprimoramento de uma instituição que teria a seu cargo somente matéria da mais alta relevância jurídica e constitucional, dispensando-o de outras mais da competência dos tribunai</w:t>
      </w:r>
      <w:r>
        <w:rPr>
          <w:rFonts w:ascii="Times New Roman" w:hAnsi="Times New Roman"/>
        </w:rPr>
        <w:t>s comuns, federais ou estaduais”</w:t>
      </w:r>
      <w:r w:rsidRPr="002103C1">
        <w:rPr>
          <w:rFonts w:ascii="Times New Roman" w:hAnsi="Times New Roman"/>
        </w:rPr>
        <w:t>.</w:t>
      </w:r>
      <w:r>
        <w:rPr>
          <w:rFonts w:ascii="Times New Roman" w:hAnsi="Times New Roman"/>
        </w:rPr>
        <w:t xml:space="preserve"> </w:t>
      </w:r>
    </w:p>
    <w:p w:rsidR="00D549BC" w:rsidRDefault="00D549BC" w:rsidP="001227DB">
      <w:pPr>
        <w:spacing w:after="240" w:line="240" w:lineRule="auto"/>
        <w:ind w:firstLine="0"/>
        <w:contextualSpacing/>
        <w:rPr>
          <w:rFonts w:ascii="Times New Roman" w:hAnsi="Times New Roman"/>
          <w:sz w:val="24"/>
          <w:szCs w:val="24"/>
        </w:rPr>
      </w:pPr>
      <w:r>
        <w:rPr>
          <w:rFonts w:ascii="Times New Roman" w:hAnsi="Times New Roman"/>
        </w:rPr>
        <w:tab/>
      </w:r>
      <w:r>
        <w:rPr>
          <w:rFonts w:ascii="Times New Roman" w:hAnsi="Times New Roman"/>
          <w:sz w:val="24"/>
          <w:szCs w:val="24"/>
        </w:rPr>
        <w:t xml:space="preserve"> </w:t>
      </w:r>
    </w:p>
    <w:p w:rsidR="00D549BC" w:rsidRDefault="00D549BC" w:rsidP="001227DB">
      <w:pPr>
        <w:spacing w:after="240"/>
        <w:contextualSpacing/>
        <w:rPr>
          <w:rFonts w:ascii="Times New Roman" w:hAnsi="Times New Roman"/>
          <w:sz w:val="24"/>
          <w:szCs w:val="24"/>
        </w:rPr>
      </w:pPr>
      <w:r>
        <w:rPr>
          <w:rFonts w:ascii="Times New Roman" w:hAnsi="Times New Roman"/>
          <w:sz w:val="24"/>
          <w:szCs w:val="24"/>
        </w:rPr>
        <w:t xml:space="preserve">Percebe-se, a partir do trecho acima destacado, que a ideia de criar um novo Tribunal Superior já vinha sendo discutida desde a década de 60 e acompanhada da justificativa de aliviar a sobrecarga de trabalhos no STF. </w:t>
      </w:r>
    </w:p>
    <w:p w:rsidR="00D549BC" w:rsidRDefault="00D549BC" w:rsidP="00393D12">
      <w:pPr>
        <w:spacing w:after="240"/>
        <w:contextualSpacing/>
        <w:rPr>
          <w:rFonts w:ascii="Times New Roman" w:hAnsi="Times New Roman"/>
          <w:sz w:val="24"/>
          <w:szCs w:val="24"/>
        </w:rPr>
      </w:pPr>
      <w:r>
        <w:rPr>
          <w:rFonts w:ascii="Times New Roman" w:hAnsi="Times New Roman"/>
          <w:sz w:val="24"/>
          <w:szCs w:val="24"/>
        </w:rPr>
        <w:t xml:space="preserve">   JOSÉ AFONSO DA SILVA,</w:t>
      </w:r>
      <w:r>
        <w:rPr>
          <w:rStyle w:val="FootnoteReference"/>
          <w:rFonts w:ascii="Times New Roman" w:hAnsi="Times New Roman"/>
          <w:sz w:val="24"/>
          <w:szCs w:val="24"/>
        </w:rPr>
        <w:footnoteReference w:id="130"/>
      </w:r>
      <w:r>
        <w:rPr>
          <w:rFonts w:ascii="Times New Roman" w:hAnsi="Times New Roman"/>
          <w:sz w:val="24"/>
          <w:szCs w:val="24"/>
        </w:rPr>
        <w:t xml:space="preserve"> em sua clássica monografia sobre o Recurso Extraordinário, também sugeria, já em 1963, a criação de um Tribunal Superior de Justiça como meio de solução para a crise que atingia o Supremo Tribunal Federal. Vejamos: </w:t>
      </w:r>
    </w:p>
    <w:p w:rsidR="00D549BC" w:rsidRDefault="00D549BC" w:rsidP="00393D12">
      <w:pPr>
        <w:spacing w:after="240"/>
        <w:contextualSpacing/>
        <w:rPr>
          <w:rFonts w:ascii="Times New Roman" w:hAnsi="Times New Roman"/>
          <w:sz w:val="24"/>
          <w:szCs w:val="24"/>
        </w:rPr>
      </w:pPr>
    </w:p>
    <w:p w:rsidR="00D549BC" w:rsidRDefault="00D549BC" w:rsidP="00393D12">
      <w:pPr>
        <w:spacing w:after="240"/>
        <w:contextualSpacing/>
        <w:rPr>
          <w:rFonts w:ascii="Times New Roman" w:hAnsi="Times New Roman"/>
          <w:sz w:val="24"/>
          <w:szCs w:val="24"/>
        </w:rPr>
      </w:pPr>
    </w:p>
    <w:p w:rsidR="00D549BC" w:rsidRPr="008E5745" w:rsidRDefault="00D549BC" w:rsidP="008E5745">
      <w:pPr>
        <w:spacing w:after="240" w:line="240" w:lineRule="auto"/>
        <w:ind w:left="2268" w:firstLine="0"/>
        <w:contextualSpacing/>
        <w:rPr>
          <w:rFonts w:ascii="Times New Roman" w:hAnsi="Times New Roman"/>
        </w:rPr>
      </w:pPr>
      <w:r w:rsidRPr="008E5745">
        <w:rPr>
          <w:rFonts w:ascii="Times New Roman" w:hAnsi="Times New Roman"/>
        </w:rPr>
        <w:t xml:space="preserve">Concluímos assim por estabelecer três planos, de conformidade com a importância dos valores-meios do Direito: a) o plano dos direitos e interêsses subjetivos, que, sob êsse aspecto, e no processo ficará restrito ao sistema judiciário que conheceu a lide; b) </w:t>
      </w:r>
      <w:r w:rsidRPr="00B460FF">
        <w:rPr>
          <w:rFonts w:ascii="Times New Roman" w:hAnsi="Times New Roman"/>
          <w:i/>
        </w:rPr>
        <w:t>o plano da inteireza</w:t>
      </w:r>
      <w:r w:rsidRPr="008E5745">
        <w:rPr>
          <w:rFonts w:ascii="Times New Roman" w:hAnsi="Times New Roman"/>
        </w:rPr>
        <w:t xml:space="preserve">, </w:t>
      </w:r>
      <w:r w:rsidRPr="00B460FF">
        <w:rPr>
          <w:rFonts w:ascii="Times New Roman" w:hAnsi="Times New Roman"/>
          <w:i/>
        </w:rPr>
        <w:t>autoridade e unidade do Direito objetivo federal</w:t>
      </w:r>
      <w:r w:rsidRPr="008E5745">
        <w:rPr>
          <w:rFonts w:ascii="Times New Roman" w:hAnsi="Times New Roman"/>
        </w:rPr>
        <w:t xml:space="preserve">, </w:t>
      </w:r>
      <w:r w:rsidRPr="00B460FF">
        <w:rPr>
          <w:rFonts w:ascii="Times New Roman" w:hAnsi="Times New Roman"/>
          <w:i/>
        </w:rPr>
        <w:t>para cuja sustentação se dará um instituto</w:t>
      </w:r>
      <w:r w:rsidRPr="008E5745">
        <w:rPr>
          <w:rFonts w:ascii="Times New Roman" w:hAnsi="Times New Roman"/>
        </w:rPr>
        <w:t xml:space="preserve">, </w:t>
      </w:r>
      <w:r w:rsidRPr="00B460FF">
        <w:rPr>
          <w:rFonts w:ascii="Times New Roman" w:hAnsi="Times New Roman"/>
          <w:i/>
        </w:rPr>
        <w:t>que levará o processo judicial para além do sistema judiciário</w:t>
      </w:r>
      <w:r w:rsidRPr="008E5745">
        <w:rPr>
          <w:rFonts w:ascii="Times New Roman" w:hAnsi="Times New Roman"/>
        </w:rPr>
        <w:t xml:space="preserve">, </w:t>
      </w:r>
      <w:r w:rsidRPr="00B460FF">
        <w:rPr>
          <w:rFonts w:ascii="Times New Roman" w:hAnsi="Times New Roman"/>
          <w:i/>
        </w:rPr>
        <w:t>ou seja</w:t>
      </w:r>
      <w:r w:rsidRPr="008E5745">
        <w:rPr>
          <w:rFonts w:ascii="Times New Roman" w:hAnsi="Times New Roman"/>
        </w:rPr>
        <w:t xml:space="preserve">, </w:t>
      </w:r>
      <w:r w:rsidRPr="00B460FF">
        <w:rPr>
          <w:rFonts w:ascii="Times New Roman" w:hAnsi="Times New Roman"/>
          <w:i/>
        </w:rPr>
        <w:t>até ao órgão de cúpula da estrutura judiciária correspondente</w:t>
      </w:r>
      <w:r w:rsidRPr="008E5745">
        <w:rPr>
          <w:rFonts w:ascii="Times New Roman" w:hAnsi="Times New Roman"/>
        </w:rPr>
        <w:t xml:space="preserve">, </w:t>
      </w:r>
      <w:r w:rsidRPr="00B460FF">
        <w:rPr>
          <w:rFonts w:ascii="Times New Roman" w:hAnsi="Times New Roman"/>
          <w:i/>
        </w:rPr>
        <w:t>mas daí não passará</w:t>
      </w:r>
      <w:r w:rsidRPr="008E5745">
        <w:rPr>
          <w:rFonts w:ascii="Times New Roman" w:hAnsi="Times New Roman"/>
        </w:rPr>
        <w:t>; c) o plano da supremacia e das garantias constitucionais, para cuja efetivação haverá um instituto recursal, que carregará o processo para além da estrutura judiciária nacional, vale dizer até o Supremo Tribunal Federal.</w:t>
      </w:r>
    </w:p>
    <w:p w:rsidR="00D549BC" w:rsidRPr="008E5745" w:rsidRDefault="00D549BC" w:rsidP="008E5745">
      <w:pPr>
        <w:spacing w:after="240" w:line="240" w:lineRule="auto"/>
        <w:ind w:left="2268" w:firstLine="0"/>
        <w:contextualSpacing/>
        <w:rPr>
          <w:rFonts w:ascii="Times New Roman" w:hAnsi="Times New Roman"/>
        </w:rPr>
      </w:pPr>
      <w:r w:rsidRPr="008E5745">
        <w:rPr>
          <w:rFonts w:ascii="Times New Roman" w:hAnsi="Times New Roman"/>
        </w:rPr>
        <w:t>Acontece que, no que tange à estrutura judiciária do Direito Eleitoral assim já é, e no respeitante à estrutura judiciária do Direito Trabalhista basta emenda constitucional determinando a irrecorribilidade, para o S.T.F., de suas decisões em matéria de sua competência específica. Entretanto, falta um Tribunal Superior correspondente ao T.S.E. e ao T.S.T. para compor as estruturas judiciárias do Direito comum, do Distrito fiscal federal e questões de interêsse da União e do Direito Penal militar. Já salientamos que essas estruturas até aqui se compõem com o S.T.F.</w:t>
      </w:r>
    </w:p>
    <w:p w:rsidR="00D549BC" w:rsidRDefault="00D549BC" w:rsidP="008E5745">
      <w:pPr>
        <w:spacing w:after="240" w:line="240" w:lineRule="auto"/>
        <w:ind w:left="2268" w:firstLine="0"/>
        <w:contextualSpacing/>
        <w:rPr>
          <w:rFonts w:ascii="Times New Roman" w:hAnsi="Times New Roman"/>
        </w:rPr>
      </w:pPr>
      <w:r w:rsidRPr="005F2778">
        <w:rPr>
          <w:rFonts w:ascii="Times New Roman" w:hAnsi="Times New Roman"/>
          <w:i/>
        </w:rPr>
        <w:t>Êsse é o defeito que precisa ser eliminado com a criação de</w:t>
      </w:r>
      <w:r w:rsidRPr="005F2778">
        <w:rPr>
          <w:rFonts w:ascii="Times New Roman" w:hAnsi="Times New Roman"/>
        </w:rPr>
        <w:t>,</w:t>
      </w:r>
      <w:r w:rsidRPr="005F2778">
        <w:rPr>
          <w:rFonts w:ascii="Times New Roman" w:hAnsi="Times New Roman"/>
          <w:i/>
        </w:rPr>
        <w:t xml:space="preserve"> pelo menos</w:t>
      </w:r>
      <w:r w:rsidRPr="005F2778">
        <w:rPr>
          <w:rFonts w:ascii="Times New Roman" w:hAnsi="Times New Roman"/>
        </w:rPr>
        <w:t>,</w:t>
      </w:r>
      <w:r w:rsidRPr="005F2778">
        <w:rPr>
          <w:rFonts w:ascii="Times New Roman" w:hAnsi="Times New Roman"/>
          <w:i/>
        </w:rPr>
        <w:t xml:space="preserve"> um Tribunal Superior</w:t>
      </w:r>
      <w:r w:rsidRPr="008E5745">
        <w:rPr>
          <w:rFonts w:ascii="Times New Roman" w:hAnsi="Times New Roman"/>
        </w:rPr>
        <w:t xml:space="preserve">, cuja função será de exercer as atribuições de órgão de cúpula e de composição das estruturas judiciárias defeituosas, há pouco mencionadas. (...) </w:t>
      </w:r>
    </w:p>
    <w:p w:rsidR="00D549BC" w:rsidRDefault="00D549BC" w:rsidP="008E5745">
      <w:pPr>
        <w:spacing w:after="240" w:line="240" w:lineRule="auto"/>
        <w:ind w:left="2268" w:firstLine="0"/>
        <w:contextualSpacing/>
        <w:rPr>
          <w:rFonts w:ascii="Times New Roman" w:hAnsi="Times New Roman"/>
        </w:rPr>
      </w:pPr>
      <w:r w:rsidRPr="008E5745">
        <w:rPr>
          <w:rFonts w:ascii="Times New Roman" w:hAnsi="Times New Roman"/>
        </w:rPr>
        <w:t xml:space="preserve">Tal órgão, que denominaríamos de </w:t>
      </w:r>
      <w:r w:rsidRPr="008E5745">
        <w:rPr>
          <w:rFonts w:ascii="Times New Roman" w:hAnsi="Times New Roman"/>
          <w:i/>
        </w:rPr>
        <w:t>Tribunal Superior de Justiça</w:t>
      </w:r>
      <w:r w:rsidRPr="008E5745">
        <w:rPr>
          <w:rFonts w:ascii="Times New Roman" w:hAnsi="Times New Roman"/>
        </w:rPr>
        <w:t>, por uma extensão terminológica relativamente aos já existentes, teria como competência fundamental, entre outras, julgar, em grau de recurso, as causas decididas em única ou última instância pelos tribunais ou juízes estaduais, dos feitos da fazenda nacional e militares: a) quando a decisão recorrida fôsse contrária à letra de tratado ou lei federal; b) quando se contestasse a validade de lei ou ato de govêrno local em face de lei federal, e a decisão recorrida aplicasse a lei ou ato impugnado; c) quando na decisão recorrida a interpretação da lei federal invocada fôsse diversa da que lhe haja dado</w:t>
      </w:r>
      <w:r>
        <w:rPr>
          <w:rFonts w:ascii="Times New Roman" w:hAnsi="Times New Roman"/>
        </w:rPr>
        <w:t xml:space="preserve"> qualquer tribunal estadual, ou tribunal militar ou o Tribunal Federal de Recursos, ou divergisse de decisão por êle próprio proferida.  </w:t>
      </w:r>
    </w:p>
    <w:p w:rsidR="00D549BC" w:rsidRDefault="00D549BC" w:rsidP="008E5745">
      <w:pPr>
        <w:spacing w:after="240" w:line="240" w:lineRule="auto"/>
        <w:ind w:left="2268" w:firstLine="0"/>
        <w:contextualSpacing/>
        <w:rPr>
          <w:rFonts w:ascii="Times New Roman" w:hAnsi="Times New Roman"/>
        </w:rPr>
      </w:pPr>
      <w:r>
        <w:rPr>
          <w:rFonts w:ascii="Times New Roman" w:hAnsi="Times New Roman"/>
        </w:rPr>
        <w:t>(...)</w:t>
      </w:r>
    </w:p>
    <w:p w:rsidR="00D549BC" w:rsidRDefault="00D549BC" w:rsidP="008E5745">
      <w:pPr>
        <w:spacing w:after="240" w:line="240" w:lineRule="auto"/>
        <w:ind w:left="2268" w:firstLine="0"/>
        <w:contextualSpacing/>
        <w:rPr>
          <w:rFonts w:ascii="Times New Roman" w:hAnsi="Times New Roman"/>
        </w:rPr>
      </w:pPr>
      <w:r>
        <w:rPr>
          <w:rFonts w:ascii="Times New Roman" w:hAnsi="Times New Roman"/>
        </w:rPr>
        <w:t xml:space="preserve">Reforma simples e de grande profundidade. </w:t>
      </w:r>
      <w:r w:rsidRPr="005F2778">
        <w:rPr>
          <w:rFonts w:ascii="Times New Roman" w:hAnsi="Times New Roman"/>
          <w:i/>
        </w:rPr>
        <w:t>Solucionará</w:t>
      </w:r>
      <w:r>
        <w:rPr>
          <w:rFonts w:ascii="Times New Roman" w:hAnsi="Times New Roman"/>
        </w:rPr>
        <w:t xml:space="preserve">, </w:t>
      </w:r>
      <w:r w:rsidRPr="005F2778">
        <w:rPr>
          <w:rFonts w:ascii="Times New Roman" w:hAnsi="Times New Roman"/>
          <w:i/>
        </w:rPr>
        <w:t>indubitávelmente</w:t>
      </w:r>
      <w:r>
        <w:rPr>
          <w:rFonts w:ascii="Times New Roman" w:hAnsi="Times New Roman"/>
        </w:rPr>
        <w:t xml:space="preserve">, </w:t>
      </w:r>
      <w:r w:rsidRPr="005F2778">
        <w:rPr>
          <w:rFonts w:ascii="Times New Roman" w:hAnsi="Times New Roman"/>
          <w:i/>
        </w:rPr>
        <w:t>a crise do Supremo</w:t>
      </w:r>
      <w:r>
        <w:rPr>
          <w:rFonts w:ascii="Times New Roman" w:hAnsi="Times New Roman"/>
        </w:rPr>
        <w:t xml:space="preserve">, </w:t>
      </w:r>
      <w:r w:rsidRPr="005F0790">
        <w:rPr>
          <w:rFonts w:ascii="Times New Roman" w:hAnsi="Times New Roman"/>
          <w:i/>
        </w:rPr>
        <w:t>porque</w:t>
      </w:r>
      <w:r>
        <w:rPr>
          <w:rFonts w:ascii="Times New Roman" w:hAnsi="Times New Roman"/>
        </w:rPr>
        <w:t xml:space="preserve">, </w:t>
      </w:r>
      <w:r w:rsidRPr="005F0790">
        <w:rPr>
          <w:rFonts w:ascii="Times New Roman" w:hAnsi="Times New Roman"/>
          <w:i/>
        </w:rPr>
        <w:t>no mínimo</w:t>
      </w:r>
      <w:r>
        <w:rPr>
          <w:rFonts w:ascii="Times New Roman" w:hAnsi="Times New Roman"/>
        </w:rPr>
        <w:t xml:space="preserve">, </w:t>
      </w:r>
      <w:r w:rsidRPr="005F0790">
        <w:rPr>
          <w:rFonts w:ascii="Times New Roman" w:hAnsi="Times New Roman"/>
          <w:i/>
        </w:rPr>
        <w:t>sessenta ou setenta por cento dos feitos</w:t>
      </w:r>
      <w:r>
        <w:rPr>
          <w:rFonts w:ascii="Times New Roman" w:hAnsi="Times New Roman"/>
        </w:rPr>
        <w:t xml:space="preserve">, </w:t>
      </w:r>
      <w:r w:rsidRPr="005F0790">
        <w:rPr>
          <w:rFonts w:ascii="Times New Roman" w:hAnsi="Times New Roman"/>
          <w:i/>
        </w:rPr>
        <w:t>em Recurso Extraordinário</w:t>
      </w:r>
      <w:r>
        <w:rPr>
          <w:rFonts w:ascii="Times New Roman" w:hAnsi="Times New Roman"/>
        </w:rPr>
        <w:t xml:space="preserve">, </w:t>
      </w:r>
      <w:r w:rsidRPr="005F0790">
        <w:rPr>
          <w:rFonts w:ascii="Times New Roman" w:hAnsi="Times New Roman"/>
          <w:i/>
        </w:rPr>
        <w:t>são-lhe tirados da competência</w:t>
      </w:r>
      <w:r>
        <w:rPr>
          <w:rFonts w:ascii="Times New Roman" w:hAnsi="Times New Roman"/>
        </w:rPr>
        <w:t xml:space="preserve">, </w:t>
      </w:r>
      <w:r w:rsidRPr="005F0790">
        <w:rPr>
          <w:rFonts w:ascii="Times New Roman" w:hAnsi="Times New Roman"/>
          <w:i/>
        </w:rPr>
        <w:t>e distribuídos por dois outros órgãos</w:t>
      </w:r>
      <w:r>
        <w:rPr>
          <w:rFonts w:ascii="Times New Roman" w:hAnsi="Times New Roman"/>
        </w:rPr>
        <w:t xml:space="preserve">; isto sem quebrar ou deturpar qualquer princípio processual ou jurisdicional (grifos nossos). </w:t>
      </w:r>
    </w:p>
    <w:p w:rsidR="00D549BC" w:rsidRPr="008E5745" w:rsidRDefault="00D549BC" w:rsidP="00266014">
      <w:pPr>
        <w:spacing w:after="240" w:line="240" w:lineRule="auto"/>
        <w:contextualSpacing/>
        <w:rPr>
          <w:rFonts w:ascii="Times New Roman" w:hAnsi="Times New Roman"/>
        </w:rPr>
      </w:pPr>
    </w:p>
    <w:p w:rsidR="00D549BC" w:rsidRDefault="00D549BC" w:rsidP="00AF5F0B">
      <w:pPr>
        <w:spacing w:after="240"/>
        <w:contextualSpacing/>
        <w:rPr>
          <w:rFonts w:ascii="Times New Roman" w:hAnsi="Times New Roman"/>
          <w:sz w:val="24"/>
          <w:szCs w:val="24"/>
        </w:rPr>
      </w:pPr>
      <w:r>
        <w:rPr>
          <w:rFonts w:ascii="Times New Roman" w:hAnsi="Times New Roman"/>
          <w:sz w:val="24"/>
          <w:szCs w:val="24"/>
        </w:rPr>
        <w:t>No que diz respeito ao instrumento processual apto a provocar a manifestação do Tribunal Superior de Justiça, José Afonso da Silva cogitava de um “</w:t>
      </w:r>
      <w:r w:rsidRPr="00B90AAB">
        <w:rPr>
          <w:rFonts w:ascii="Times New Roman" w:hAnsi="Times New Roman"/>
          <w:i/>
          <w:sz w:val="24"/>
          <w:szCs w:val="24"/>
        </w:rPr>
        <w:t>recurso especial</w:t>
      </w:r>
      <w:r>
        <w:rPr>
          <w:rFonts w:ascii="Times New Roman" w:hAnsi="Times New Roman"/>
          <w:sz w:val="24"/>
          <w:szCs w:val="24"/>
        </w:rPr>
        <w:t xml:space="preserve"> (ou que outro nome venha a ter), cuja finalidade é assegurar a unidade e a incolumidade do Direito objetivo federal, inclusive a uniformidade de sua interpretação”.</w:t>
      </w:r>
      <w:r>
        <w:rPr>
          <w:rStyle w:val="FootnoteReference"/>
          <w:rFonts w:ascii="Times New Roman" w:hAnsi="Times New Roman"/>
          <w:sz w:val="24"/>
          <w:szCs w:val="24"/>
        </w:rPr>
        <w:footnoteReference w:id="131"/>
      </w:r>
      <w:r>
        <w:rPr>
          <w:rFonts w:ascii="Times New Roman" w:hAnsi="Times New Roman"/>
          <w:sz w:val="24"/>
          <w:szCs w:val="24"/>
        </w:rPr>
        <w:t xml:space="preserve"> </w:t>
      </w:r>
    </w:p>
    <w:p w:rsidR="00D549BC" w:rsidRDefault="00D549BC" w:rsidP="00403F6B">
      <w:pPr>
        <w:spacing w:after="240"/>
        <w:contextualSpacing/>
        <w:rPr>
          <w:rFonts w:ascii="Times New Roman" w:hAnsi="Times New Roman"/>
          <w:sz w:val="24"/>
          <w:szCs w:val="24"/>
        </w:rPr>
      </w:pPr>
      <w:r>
        <w:rPr>
          <w:rFonts w:ascii="Times New Roman" w:hAnsi="Times New Roman"/>
          <w:sz w:val="24"/>
          <w:szCs w:val="24"/>
        </w:rPr>
        <w:t>Todavia, o advento de um Tribunal Superior de Justiça, com contornos semelhantes àqueles defendidos por José Afonso da Silva, só veio em 1988, a partir da nova ordem constitucional, inaugurada 25 anos depois da publicação da obra do citado autor.</w:t>
      </w:r>
    </w:p>
    <w:p w:rsidR="00D549BC" w:rsidRDefault="00D549BC" w:rsidP="00403F6B">
      <w:pPr>
        <w:spacing w:after="240"/>
        <w:contextualSpacing/>
        <w:rPr>
          <w:rFonts w:ascii="Times New Roman" w:hAnsi="Times New Roman"/>
          <w:sz w:val="24"/>
          <w:szCs w:val="24"/>
        </w:rPr>
      </w:pPr>
      <w:r>
        <w:rPr>
          <w:rFonts w:ascii="Times New Roman" w:hAnsi="Times New Roman"/>
          <w:sz w:val="24"/>
          <w:szCs w:val="24"/>
        </w:rPr>
        <w:t xml:space="preserve">O Superior Tribunal de </w:t>
      </w:r>
      <w:r w:rsidRPr="00C42CA7">
        <w:rPr>
          <w:rFonts w:ascii="Times New Roman" w:hAnsi="Times New Roman"/>
          <w:sz w:val="24"/>
          <w:szCs w:val="24"/>
        </w:rPr>
        <w:t>Justiç</w:t>
      </w:r>
      <w:r>
        <w:rPr>
          <w:rFonts w:ascii="Times New Roman" w:hAnsi="Times New Roman"/>
          <w:sz w:val="24"/>
          <w:szCs w:val="24"/>
        </w:rPr>
        <w:t>a é composto por, pelo menos, trinta e três juízes,</w:t>
      </w:r>
      <w:r>
        <w:rPr>
          <w:rStyle w:val="FootnoteReference"/>
          <w:rFonts w:ascii="Times New Roman" w:hAnsi="Times New Roman"/>
          <w:sz w:val="24"/>
          <w:szCs w:val="24"/>
        </w:rPr>
        <w:footnoteReference w:id="132"/>
      </w:r>
      <w:r>
        <w:rPr>
          <w:rFonts w:ascii="Times New Roman" w:hAnsi="Times New Roman"/>
          <w:sz w:val="24"/>
          <w:szCs w:val="24"/>
        </w:rPr>
        <w:t xml:space="preserve"> nomeados pelo Presidente da República, dentre brasileiros, com mais de 35 e menos de 65 anos, de notável saber jurídico e reputação ilibada, cuja escolha é aprovada pela maioria absoluta do Senado Federal,</w:t>
      </w:r>
      <w:r>
        <w:rPr>
          <w:rStyle w:val="FootnoteReference"/>
          <w:rFonts w:ascii="Times New Roman" w:hAnsi="Times New Roman"/>
          <w:sz w:val="24"/>
          <w:szCs w:val="24"/>
        </w:rPr>
        <w:footnoteReference w:id="133"/>
      </w:r>
      <w:r>
        <w:rPr>
          <w:rFonts w:ascii="Times New Roman" w:hAnsi="Times New Roman"/>
          <w:sz w:val="24"/>
          <w:szCs w:val="24"/>
        </w:rPr>
        <w:t xml:space="preserve"> sendo:  </w:t>
      </w:r>
      <w:r w:rsidRPr="006961BF">
        <w:rPr>
          <w:rFonts w:ascii="Times New Roman" w:hAnsi="Times New Roman"/>
          <w:sz w:val="24"/>
          <w:szCs w:val="24"/>
        </w:rPr>
        <w:t xml:space="preserve">a) um terço dentre juízes dos Tribunais Regionais Federais e </w:t>
      </w:r>
      <w:r>
        <w:rPr>
          <w:rFonts w:ascii="Times New Roman" w:hAnsi="Times New Roman"/>
          <w:sz w:val="24"/>
          <w:szCs w:val="24"/>
        </w:rPr>
        <w:t>um terço</w:t>
      </w:r>
      <w:r w:rsidRPr="006961BF">
        <w:rPr>
          <w:rFonts w:ascii="Times New Roman" w:hAnsi="Times New Roman"/>
          <w:sz w:val="24"/>
          <w:szCs w:val="24"/>
        </w:rPr>
        <w:t xml:space="preserve"> dentre desembargadores dos</w:t>
      </w:r>
      <w:r>
        <w:rPr>
          <w:rFonts w:ascii="Times New Roman" w:hAnsi="Times New Roman"/>
          <w:sz w:val="24"/>
          <w:szCs w:val="24"/>
        </w:rPr>
        <w:t xml:space="preserve"> </w:t>
      </w:r>
      <w:r w:rsidRPr="006961BF">
        <w:rPr>
          <w:rFonts w:ascii="Times New Roman" w:hAnsi="Times New Roman"/>
          <w:sz w:val="24"/>
          <w:szCs w:val="24"/>
        </w:rPr>
        <w:t>Tribunais de Justiça, indicados em lista tríplice elaborada pelo próprio Tribunal;</w:t>
      </w:r>
      <w:r>
        <w:rPr>
          <w:rFonts w:ascii="Times New Roman" w:hAnsi="Times New Roman"/>
          <w:sz w:val="24"/>
          <w:szCs w:val="24"/>
        </w:rPr>
        <w:t xml:space="preserve"> </w:t>
      </w:r>
      <w:r w:rsidRPr="006961BF">
        <w:rPr>
          <w:rFonts w:ascii="Times New Roman" w:hAnsi="Times New Roman"/>
          <w:sz w:val="24"/>
          <w:szCs w:val="24"/>
        </w:rPr>
        <w:t>b) um terço, em partes iguais, dentre advogados e membros do Ministério Público Federal,</w:t>
      </w:r>
      <w:r>
        <w:rPr>
          <w:rFonts w:ascii="Times New Roman" w:hAnsi="Times New Roman"/>
          <w:sz w:val="24"/>
          <w:szCs w:val="24"/>
        </w:rPr>
        <w:t xml:space="preserve"> </w:t>
      </w:r>
      <w:r w:rsidRPr="006961BF">
        <w:rPr>
          <w:rFonts w:ascii="Times New Roman" w:hAnsi="Times New Roman"/>
          <w:sz w:val="24"/>
          <w:szCs w:val="24"/>
        </w:rPr>
        <w:t>Estadual, do Distrito Federal e dos Territórios, alternadamente, indicados em lista sêxtupla pelos</w:t>
      </w:r>
      <w:r>
        <w:rPr>
          <w:rFonts w:ascii="Times New Roman" w:hAnsi="Times New Roman"/>
          <w:sz w:val="24"/>
          <w:szCs w:val="24"/>
        </w:rPr>
        <w:t xml:space="preserve"> </w:t>
      </w:r>
      <w:r w:rsidRPr="006961BF">
        <w:rPr>
          <w:rFonts w:ascii="Times New Roman" w:hAnsi="Times New Roman"/>
          <w:sz w:val="24"/>
          <w:szCs w:val="24"/>
        </w:rPr>
        <w:t>órgãos de representação das respectivas classes (art. 104</w:t>
      </w:r>
      <w:r>
        <w:rPr>
          <w:rFonts w:ascii="Times New Roman" w:hAnsi="Times New Roman"/>
          <w:sz w:val="24"/>
          <w:szCs w:val="24"/>
        </w:rPr>
        <w:t xml:space="preserve"> da CRFB/88</w:t>
      </w:r>
      <w:r w:rsidRPr="006961BF">
        <w:rPr>
          <w:rFonts w:ascii="Times New Roman" w:hAnsi="Times New Roman"/>
          <w:sz w:val="24"/>
          <w:szCs w:val="24"/>
        </w:rPr>
        <w:t>)</w:t>
      </w:r>
      <w:r>
        <w:rPr>
          <w:rFonts w:ascii="Times New Roman" w:hAnsi="Times New Roman"/>
          <w:sz w:val="24"/>
          <w:szCs w:val="24"/>
        </w:rPr>
        <w:t>.</w:t>
      </w:r>
    </w:p>
    <w:p w:rsidR="00D549BC" w:rsidRDefault="00D549BC" w:rsidP="00F608BC">
      <w:pPr>
        <w:spacing w:after="240"/>
        <w:contextualSpacing/>
        <w:rPr>
          <w:rFonts w:ascii="Times New Roman" w:hAnsi="Times New Roman"/>
          <w:sz w:val="24"/>
          <w:szCs w:val="24"/>
        </w:rPr>
      </w:pPr>
      <w:r>
        <w:rPr>
          <w:rFonts w:ascii="Times New Roman" w:hAnsi="Times New Roman"/>
          <w:sz w:val="24"/>
          <w:szCs w:val="24"/>
        </w:rPr>
        <w:t xml:space="preserve">Vejamos, adiante, quais são os recursos cabíveis para o STJ, segundo o disposto na Constituição de 1988, com foco no Recurso Especial, uma vez que é por ele que a Corte Superior exerce com maior frequência sua função de uniformizar a interpretação da legislação infraconstitucional. </w:t>
      </w:r>
    </w:p>
    <w:p w:rsidR="00D549BC" w:rsidRDefault="00D549BC" w:rsidP="009C5D68">
      <w:pPr>
        <w:spacing w:after="240"/>
        <w:ind w:firstLine="0"/>
        <w:contextualSpacing/>
        <w:rPr>
          <w:rFonts w:ascii="Times New Roman" w:hAnsi="Times New Roman"/>
          <w:sz w:val="24"/>
          <w:szCs w:val="24"/>
        </w:rPr>
      </w:pPr>
    </w:p>
    <w:p w:rsidR="00D549BC" w:rsidRDefault="00D549BC" w:rsidP="009C5D68">
      <w:pPr>
        <w:spacing w:after="240"/>
        <w:ind w:firstLine="0"/>
        <w:contextualSpacing/>
        <w:rPr>
          <w:rFonts w:ascii="Times New Roman" w:hAnsi="Times New Roman"/>
          <w:sz w:val="24"/>
          <w:szCs w:val="24"/>
        </w:rPr>
      </w:pPr>
      <w:r>
        <w:rPr>
          <w:rFonts w:ascii="Times New Roman" w:hAnsi="Times New Roman"/>
          <w:sz w:val="24"/>
          <w:szCs w:val="24"/>
        </w:rPr>
        <w:t>3.2.2.1 Competência recursal do Superior Tribunal de Justiça</w:t>
      </w:r>
    </w:p>
    <w:p w:rsidR="00D549BC" w:rsidRDefault="00D549BC" w:rsidP="009C5D68">
      <w:pPr>
        <w:spacing w:after="240"/>
        <w:ind w:firstLine="0"/>
        <w:contextualSpacing/>
        <w:rPr>
          <w:rFonts w:ascii="Times New Roman" w:hAnsi="Times New Roman"/>
          <w:sz w:val="24"/>
          <w:szCs w:val="24"/>
        </w:rPr>
      </w:pPr>
    </w:p>
    <w:p w:rsidR="00D549BC" w:rsidRDefault="00D549BC" w:rsidP="00F608BC">
      <w:pPr>
        <w:spacing w:after="240"/>
        <w:contextualSpacing/>
        <w:rPr>
          <w:rFonts w:ascii="Times New Roman" w:hAnsi="Times New Roman"/>
          <w:sz w:val="24"/>
          <w:szCs w:val="24"/>
        </w:rPr>
      </w:pPr>
      <w:r>
        <w:rPr>
          <w:rFonts w:ascii="Times New Roman" w:hAnsi="Times New Roman"/>
          <w:sz w:val="24"/>
          <w:szCs w:val="24"/>
        </w:rPr>
        <w:t xml:space="preserve">Conforme anteriormente apontado, a criação do STJ foi justificada sob o argumento do excesso de recursos extraordinários que tinham por objeto a interpretação do direito federal ordinário, na vigência da Constituição de 1967-69. Outro fator que contribuiu para a cisão do Recurso Extraordinário (em Recurso Especial) era a necessidade de um órgão judicial superior com competência para revisar a aplicação do direito infraconstitucional pelos Tribunais de Justiça.  </w:t>
      </w:r>
    </w:p>
    <w:p w:rsidR="00D549BC" w:rsidRDefault="00D549BC" w:rsidP="00F608BC">
      <w:pPr>
        <w:spacing w:after="240"/>
        <w:contextualSpacing/>
        <w:rPr>
          <w:rFonts w:ascii="Times New Roman" w:hAnsi="Times New Roman"/>
          <w:sz w:val="24"/>
          <w:szCs w:val="24"/>
        </w:rPr>
      </w:pPr>
      <w:r>
        <w:rPr>
          <w:rFonts w:ascii="Times New Roman" w:hAnsi="Times New Roman"/>
          <w:sz w:val="24"/>
          <w:szCs w:val="24"/>
        </w:rPr>
        <w:t xml:space="preserve">Com efeito, a atual Constituição confiou ao Superior Tribunal de Justiça importantes atribuições quanto a recursos ordinários, a saber: </w:t>
      </w:r>
      <w:r w:rsidRPr="00385DFC">
        <w:rPr>
          <w:rFonts w:ascii="Times New Roman" w:hAnsi="Times New Roman"/>
          <w:sz w:val="24"/>
          <w:szCs w:val="24"/>
        </w:rPr>
        <w:t xml:space="preserve">a) dos </w:t>
      </w:r>
      <w:r w:rsidRPr="00385DFC">
        <w:rPr>
          <w:rFonts w:ascii="Times New Roman" w:hAnsi="Times New Roman"/>
          <w:i/>
          <w:sz w:val="24"/>
          <w:szCs w:val="24"/>
        </w:rPr>
        <w:t>habeas corpus</w:t>
      </w:r>
      <w:r w:rsidRPr="00385DFC">
        <w:rPr>
          <w:rFonts w:ascii="Times New Roman" w:hAnsi="Times New Roman"/>
          <w:sz w:val="24"/>
          <w:szCs w:val="24"/>
        </w:rPr>
        <w:t xml:space="preserve"> decididos em única ou última instância pelos Tribunais Regionais Federais ou pelos tribunais dos Estados, do Distrito Federal e Territórios, quando a decisão for denegatória;</w:t>
      </w:r>
      <w:r>
        <w:rPr>
          <w:rFonts w:ascii="Times New Roman" w:hAnsi="Times New Roman"/>
          <w:sz w:val="24"/>
          <w:szCs w:val="24"/>
        </w:rPr>
        <w:t xml:space="preserve"> </w:t>
      </w:r>
      <w:r w:rsidRPr="00385DFC">
        <w:rPr>
          <w:rFonts w:ascii="Times New Roman" w:hAnsi="Times New Roman"/>
          <w:sz w:val="24"/>
          <w:szCs w:val="24"/>
        </w:rPr>
        <w:t>b) dos mandados de segurança decididos em única instância pelos Tribunais Regionais Federais ou pelos tribunais dos Estados, do Distrito Federal e Territórios, quando denegatória a decisão;</w:t>
      </w:r>
      <w:r>
        <w:rPr>
          <w:rFonts w:ascii="Times New Roman" w:hAnsi="Times New Roman"/>
          <w:sz w:val="24"/>
          <w:szCs w:val="24"/>
        </w:rPr>
        <w:t xml:space="preserve"> </w:t>
      </w:r>
      <w:r w:rsidRPr="00385DFC">
        <w:rPr>
          <w:rFonts w:ascii="Times New Roman" w:hAnsi="Times New Roman"/>
          <w:sz w:val="24"/>
          <w:szCs w:val="24"/>
        </w:rPr>
        <w:t>c) as causas em que forem partes Estado estrangeiro ou organismo internacional, de um lado, e, do outro, Município ou pess</w:t>
      </w:r>
      <w:r>
        <w:rPr>
          <w:rFonts w:ascii="Times New Roman" w:hAnsi="Times New Roman"/>
          <w:sz w:val="24"/>
          <w:szCs w:val="24"/>
        </w:rPr>
        <w:t>oa residente ou domiciliada no P</w:t>
      </w:r>
      <w:r w:rsidRPr="00385DFC">
        <w:rPr>
          <w:rFonts w:ascii="Times New Roman" w:hAnsi="Times New Roman"/>
          <w:sz w:val="24"/>
          <w:szCs w:val="24"/>
        </w:rPr>
        <w:t>aís</w:t>
      </w:r>
      <w:r>
        <w:rPr>
          <w:rFonts w:ascii="Times New Roman" w:hAnsi="Times New Roman"/>
          <w:sz w:val="24"/>
          <w:szCs w:val="24"/>
        </w:rPr>
        <w:t xml:space="preserve"> (art. 105, II da CRFB/88).</w:t>
      </w:r>
    </w:p>
    <w:p w:rsidR="00D549BC" w:rsidRDefault="00D549BC" w:rsidP="004443AF">
      <w:pPr>
        <w:spacing w:after="240"/>
        <w:contextualSpacing/>
        <w:rPr>
          <w:rFonts w:ascii="Times New Roman" w:hAnsi="Times New Roman"/>
          <w:sz w:val="24"/>
          <w:szCs w:val="24"/>
        </w:rPr>
      </w:pPr>
      <w:r>
        <w:rPr>
          <w:rFonts w:ascii="Times New Roman" w:hAnsi="Times New Roman"/>
          <w:sz w:val="24"/>
          <w:szCs w:val="24"/>
        </w:rPr>
        <w:t xml:space="preserve">Por outro lado, é com o Recurso Especial que o STJ exerce com maior frequência a função que lhe foi confiada como órgão de uniformização da interpretação do direito federal ordinário. Segundo o disposto no art. 105, III da Constituição da República de 1988, caberá Recurso Especial contra decisão judicial de única ou última instância que: </w:t>
      </w:r>
      <w:r w:rsidRPr="00772327">
        <w:rPr>
          <w:rFonts w:ascii="Times New Roman" w:hAnsi="Times New Roman"/>
          <w:sz w:val="24"/>
          <w:szCs w:val="24"/>
        </w:rPr>
        <w:t>a) contrariar tratado ou lei federal ou negar-lhe vigência;</w:t>
      </w:r>
      <w:r>
        <w:rPr>
          <w:rFonts w:ascii="Times New Roman" w:hAnsi="Times New Roman"/>
          <w:sz w:val="24"/>
          <w:szCs w:val="24"/>
        </w:rPr>
        <w:t xml:space="preserve"> </w:t>
      </w:r>
      <w:r w:rsidRPr="00772327">
        <w:rPr>
          <w:rFonts w:ascii="Times New Roman" w:hAnsi="Times New Roman"/>
          <w:sz w:val="24"/>
          <w:szCs w:val="24"/>
        </w:rPr>
        <w:t>b) julgar válido ato de governo local contestado em face da lei federal;</w:t>
      </w:r>
      <w:r>
        <w:rPr>
          <w:rFonts w:ascii="Times New Roman" w:hAnsi="Times New Roman"/>
          <w:sz w:val="24"/>
          <w:szCs w:val="24"/>
        </w:rPr>
        <w:t xml:space="preserve"> </w:t>
      </w:r>
      <w:r w:rsidRPr="00772327">
        <w:rPr>
          <w:rFonts w:ascii="Times New Roman" w:hAnsi="Times New Roman"/>
          <w:sz w:val="24"/>
          <w:szCs w:val="24"/>
        </w:rPr>
        <w:t>c) der a lei federal interpretação divergente da que lhe haja atribuído outro Tribunal</w:t>
      </w:r>
      <w:r>
        <w:rPr>
          <w:rFonts w:ascii="Times New Roman" w:hAnsi="Times New Roman"/>
          <w:sz w:val="24"/>
          <w:szCs w:val="24"/>
        </w:rPr>
        <w:t xml:space="preserve">. </w:t>
      </w:r>
    </w:p>
    <w:p w:rsidR="00D549BC" w:rsidRDefault="00D549BC" w:rsidP="00150953">
      <w:pPr>
        <w:spacing w:after="240"/>
        <w:contextualSpacing/>
        <w:rPr>
          <w:rFonts w:ascii="Times New Roman" w:hAnsi="Times New Roman"/>
          <w:sz w:val="24"/>
          <w:szCs w:val="24"/>
        </w:rPr>
      </w:pPr>
      <w:r w:rsidRPr="008C26CC">
        <w:rPr>
          <w:rFonts w:ascii="Times New Roman" w:hAnsi="Times New Roman"/>
          <w:sz w:val="24"/>
          <w:szCs w:val="24"/>
        </w:rPr>
        <w:t xml:space="preserve">O </w:t>
      </w:r>
      <w:r>
        <w:rPr>
          <w:rFonts w:ascii="Times New Roman" w:hAnsi="Times New Roman"/>
          <w:sz w:val="24"/>
          <w:szCs w:val="24"/>
        </w:rPr>
        <w:t>R</w:t>
      </w:r>
      <w:r w:rsidRPr="008C26CC">
        <w:rPr>
          <w:rFonts w:ascii="Times New Roman" w:hAnsi="Times New Roman"/>
          <w:sz w:val="24"/>
          <w:szCs w:val="24"/>
        </w:rPr>
        <w:t xml:space="preserve">ecurso </w:t>
      </w:r>
      <w:r>
        <w:rPr>
          <w:rFonts w:ascii="Times New Roman" w:hAnsi="Times New Roman"/>
          <w:sz w:val="24"/>
          <w:szCs w:val="24"/>
        </w:rPr>
        <w:t>E</w:t>
      </w:r>
      <w:r w:rsidRPr="008C26CC">
        <w:rPr>
          <w:rFonts w:ascii="Times New Roman" w:hAnsi="Times New Roman"/>
          <w:sz w:val="24"/>
          <w:szCs w:val="24"/>
        </w:rPr>
        <w:t xml:space="preserve">special, tal como ocorre com o </w:t>
      </w:r>
      <w:r>
        <w:rPr>
          <w:rFonts w:ascii="Times New Roman" w:hAnsi="Times New Roman"/>
          <w:sz w:val="24"/>
          <w:szCs w:val="24"/>
        </w:rPr>
        <w:t>R</w:t>
      </w:r>
      <w:r w:rsidRPr="008C26CC">
        <w:rPr>
          <w:rFonts w:ascii="Times New Roman" w:hAnsi="Times New Roman"/>
          <w:sz w:val="24"/>
          <w:szCs w:val="24"/>
        </w:rPr>
        <w:t xml:space="preserve">ecurso </w:t>
      </w:r>
      <w:r>
        <w:rPr>
          <w:rFonts w:ascii="Times New Roman" w:hAnsi="Times New Roman"/>
          <w:sz w:val="24"/>
          <w:szCs w:val="24"/>
        </w:rPr>
        <w:t>E</w:t>
      </w:r>
      <w:r w:rsidRPr="008C26CC">
        <w:rPr>
          <w:rFonts w:ascii="Times New Roman" w:hAnsi="Times New Roman"/>
          <w:sz w:val="24"/>
          <w:szCs w:val="24"/>
        </w:rPr>
        <w:t>xtraordinário, possui pressupostos muito específicos para sua admissibilidade.</w:t>
      </w:r>
      <w:r>
        <w:rPr>
          <w:rFonts w:ascii="Times New Roman" w:hAnsi="Times New Roman"/>
          <w:sz w:val="24"/>
          <w:szCs w:val="24"/>
        </w:rPr>
        <w:t xml:space="preserve"> Um desses requisitos/pressupostos de admissibilidade exigidos pelo</w:t>
      </w:r>
      <w:r w:rsidRPr="008C26CC">
        <w:rPr>
          <w:rFonts w:ascii="Times New Roman" w:hAnsi="Times New Roman"/>
          <w:sz w:val="24"/>
          <w:szCs w:val="24"/>
        </w:rPr>
        <w:t xml:space="preserve"> STJ </w:t>
      </w:r>
      <w:r>
        <w:rPr>
          <w:rFonts w:ascii="Times New Roman" w:hAnsi="Times New Roman"/>
          <w:sz w:val="24"/>
          <w:szCs w:val="24"/>
        </w:rPr>
        <w:t>a fim de apreciar o mérito do Recurso Especial</w:t>
      </w:r>
      <w:r w:rsidRPr="008C26CC">
        <w:rPr>
          <w:rFonts w:ascii="Times New Roman" w:hAnsi="Times New Roman"/>
          <w:sz w:val="24"/>
          <w:szCs w:val="24"/>
        </w:rPr>
        <w:t xml:space="preserve"> </w:t>
      </w:r>
      <w:r>
        <w:rPr>
          <w:rFonts w:ascii="Times New Roman" w:hAnsi="Times New Roman"/>
          <w:sz w:val="24"/>
          <w:szCs w:val="24"/>
        </w:rPr>
        <w:t xml:space="preserve">é o denominado </w:t>
      </w:r>
      <w:r w:rsidRPr="008C26CC">
        <w:rPr>
          <w:rFonts w:ascii="Times New Roman" w:hAnsi="Times New Roman"/>
          <w:i/>
          <w:sz w:val="24"/>
          <w:szCs w:val="24"/>
        </w:rPr>
        <w:t>prequestionamento</w:t>
      </w:r>
      <w:r>
        <w:rPr>
          <w:rFonts w:ascii="Times New Roman" w:hAnsi="Times New Roman"/>
          <w:sz w:val="24"/>
          <w:szCs w:val="24"/>
        </w:rPr>
        <w:t xml:space="preserve">, exigência decorrente da expressão </w:t>
      </w:r>
      <w:r w:rsidRPr="00F2793C">
        <w:rPr>
          <w:rFonts w:ascii="Times New Roman" w:hAnsi="Times New Roman"/>
          <w:i/>
          <w:sz w:val="24"/>
          <w:szCs w:val="24"/>
        </w:rPr>
        <w:t>causas decididas</w:t>
      </w:r>
      <w:r>
        <w:rPr>
          <w:rFonts w:ascii="Times New Roman" w:hAnsi="Times New Roman"/>
          <w:sz w:val="24"/>
          <w:szCs w:val="24"/>
        </w:rPr>
        <w:t>, presente no inciso III do art. 105 da Constituição, o que significa que a questão federal deve</w:t>
      </w:r>
      <w:r w:rsidRPr="008C26CC">
        <w:rPr>
          <w:rFonts w:ascii="Times New Roman" w:hAnsi="Times New Roman"/>
          <w:sz w:val="24"/>
          <w:szCs w:val="24"/>
        </w:rPr>
        <w:t xml:space="preserve"> te</w:t>
      </w:r>
      <w:r>
        <w:rPr>
          <w:rFonts w:ascii="Times New Roman" w:hAnsi="Times New Roman"/>
          <w:sz w:val="24"/>
          <w:szCs w:val="24"/>
        </w:rPr>
        <w:t>r sido debatida</w:t>
      </w:r>
      <w:r w:rsidRPr="008C26CC">
        <w:rPr>
          <w:rFonts w:ascii="Times New Roman" w:hAnsi="Times New Roman"/>
          <w:sz w:val="24"/>
          <w:szCs w:val="24"/>
        </w:rPr>
        <w:t xml:space="preserve"> pela Corte </w:t>
      </w:r>
      <w:r w:rsidRPr="004573FF">
        <w:rPr>
          <w:rFonts w:ascii="Times New Roman" w:hAnsi="Times New Roman"/>
          <w:i/>
          <w:sz w:val="24"/>
          <w:szCs w:val="24"/>
        </w:rPr>
        <w:t>a quo</w:t>
      </w:r>
      <w:r w:rsidRPr="008C26CC">
        <w:rPr>
          <w:rFonts w:ascii="Times New Roman" w:hAnsi="Times New Roman"/>
          <w:sz w:val="24"/>
          <w:szCs w:val="24"/>
        </w:rPr>
        <w:t xml:space="preserve">, ou seja, </w:t>
      </w:r>
      <w:r>
        <w:rPr>
          <w:rFonts w:ascii="Times New Roman" w:hAnsi="Times New Roman"/>
          <w:sz w:val="24"/>
          <w:szCs w:val="24"/>
        </w:rPr>
        <w:t xml:space="preserve">que </w:t>
      </w:r>
      <w:r w:rsidRPr="008C26CC">
        <w:rPr>
          <w:rFonts w:ascii="Times New Roman" w:hAnsi="Times New Roman"/>
          <w:sz w:val="24"/>
          <w:szCs w:val="24"/>
        </w:rPr>
        <w:t>a matéria já esteja devidamente prequestionada no Tribunal de origem</w:t>
      </w:r>
      <w:r>
        <w:rPr>
          <w:rFonts w:ascii="Times New Roman" w:hAnsi="Times New Roman"/>
          <w:sz w:val="24"/>
          <w:szCs w:val="24"/>
        </w:rPr>
        <w:t>.</w:t>
      </w:r>
      <w:r>
        <w:rPr>
          <w:rStyle w:val="FootnoteReference"/>
          <w:rFonts w:ascii="Times New Roman" w:hAnsi="Times New Roman"/>
          <w:sz w:val="24"/>
          <w:szCs w:val="24"/>
        </w:rPr>
        <w:footnoteReference w:id="134"/>
      </w:r>
    </w:p>
    <w:p w:rsidR="00D549BC" w:rsidRDefault="00D549BC" w:rsidP="00150953">
      <w:pPr>
        <w:spacing w:after="240"/>
        <w:contextualSpacing/>
        <w:rPr>
          <w:rFonts w:ascii="Times New Roman" w:hAnsi="Times New Roman"/>
          <w:sz w:val="24"/>
          <w:szCs w:val="24"/>
        </w:rPr>
      </w:pPr>
      <w:r>
        <w:rPr>
          <w:rFonts w:ascii="Times New Roman" w:hAnsi="Times New Roman"/>
          <w:sz w:val="24"/>
          <w:szCs w:val="24"/>
        </w:rPr>
        <w:t>Ademais, s</w:t>
      </w:r>
      <w:r w:rsidRPr="00E31A4C">
        <w:rPr>
          <w:rFonts w:ascii="Times New Roman" w:hAnsi="Times New Roman"/>
          <w:sz w:val="24"/>
          <w:szCs w:val="24"/>
        </w:rPr>
        <w:t xml:space="preserve">omente é cabível </w:t>
      </w:r>
      <w:r>
        <w:rPr>
          <w:rFonts w:ascii="Times New Roman" w:hAnsi="Times New Roman"/>
          <w:sz w:val="24"/>
          <w:szCs w:val="24"/>
        </w:rPr>
        <w:t>a interposição de R</w:t>
      </w:r>
      <w:r w:rsidRPr="00E31A4C">
        <w:rPr>
          <w:rFonts w:ascii="Times New Roman" w:hAnsi="Times New Roman"/>
          <w:sz w:val="24"/>
          <w:szCs w:val="24"/>
        </w:rPr>
        <w:t xml:space="preserve">ecurso </w:t>
      </w:r>
      <w:r>
        <w:rPr>
          <w:rFonts w:ascii="Times New Roman" w:hAnsi="Times New Roman"/>
          <w:sz w:val="24"/>
          <w:szCs w:val="24"/>
        </w:rPr>
        <w:t>E</w:t>
      </w:r>
      <w:r w:rsidRPr="00E31A4C">
        <w:rPr>
          <w:rFonts w:ascii="Times New Roman" w:hAnsi="Times New Roman"/>
          <w:sz w:val="24"/>
          <w:szCs w:val="24"/>
        </w:rPr>
        <w:t xml:space="preserve">special das causas apreciadas pelos Tribunais Regionais Federais ou pelos </w:t>
      </w:r>
      <w:r>
        <w:rPr>
          <w:rFonts w:ascii="Times New Roman" w:hAnsi="Times New Roman"/>
          <w:sz w:val="24"/>
          <w:szCs w:val="24"/>
        </w:rPr>
        <w:t>T</w:t>
      </w:r>
      <w:r w:rsidRPr="00E31A4C">
        <w:rPr>
          <w:rFonts w:ascii="Times New Roman" w:hAnsi="Times New Roman"/>
          <w:sz w:val="24"/>
          <w:szCs w:val="24"/>
        </w:rPr>
        <w:t>ribunais dos Estados, do Distrito Federal e Territórios. Deste modo, considerando que as Turmas</w:t>
      </w:r>
      <w:r>
        <w:rPr>
          <w:rFonts w:ascii="Times New Roman" w:hAnsi="Times New Roman"/>
          <w:sz w:val="24"/>
          <w:szCs w:val="24"/>
        </w:rPr>
        <w:t>/Conselhos</w:t>
      </w:r>
      <w:r w:rsidRPr="00E31A4C">
        <w:rPr>
          <w:rFonts w:ascii="Times New Roman" w:hAnsi="Times New Roman"/>
          <w:sz w:val="24"/>
          <w:szCs w:val="24"/>
        </w:rPr>
        <w:t xml:space="preserve"> Recursais</w:t>
      </w:r>
      <w:r>
        <w:rPr>
          <w:rFonts w:ascii="Times New Roman" w:hAnsi="Times New Roman"/>
          <w:sz w:val="24"/>
          <w:szCs w:val="24"/>
        </w:rPr>
        <w:t>, órgãos colegiados compostos por juízes no âmbito dos Juizados Especiais,</w:t>
      </w:r>
      <w:r w:rsidRPr="00E31A4C">
        <w:rPr>
          <w:rFonts w:ascii="Times New Roman" w:hAnsi="Times New Roman"/>
          <w:sz w:val="24"/>
          <w:szCs w:val="24"/>
        </w:rPr>
        <w:t xml:space="preserve"> não podem ser consideradas </w:t>
      </w:r>
      <w:r>
        <w:rPr>
          <w:rFonts w:ascii="Times New Roman" w:hAnsi="Times New Roman"/>
          <w:sz w:val="24"/>
          <w:szCs w:val="24"/>
        </w:rPr>
        <w:t>T</w:t>
      </w:r>
      <w:r w:rsidRPr="00E31A4C">
        <w:rPr>
          <w:rFonts w:ascii="Times New Roman" w:hAnsi="Times New Roman"/>
          <w:sz w:val="24"/>
          <w:szCs w:val="24"/>
        </w:rPr>
        <w:t xml:space="preserve">ribunais, de suas decisões não é cabível </w:t>
      </w:r>
      <w:r>
        <w:rPr>
          <w:rFonts w:ascii="Times New Roman" w:hAnsi="Times New Roman"/>
          <w:sz w:val="24"/>
          <w:szCs w:val="24"/>
        </w:rPr>
        <w:t>o</w:t>
      </w:r>
      <w:r w:rsidRPr="00E31A4C">
        <w:rPr>
          <w:rFonts w:ascii="Times New Roman" w:hAnsi="Times New Roman"/>
          <w:sz w:val="24"/>
          <w:szCs w:val="24"/>
        </w:rPr>
        <w:t xml:space="preserve"> </w:t>
      </w:r>
      <w:r>
        <w:rPr>
          <w:rFonts w:ascii="Times New Roman" w:hAnsi="Times New Roman"/>
          <w:sz w:val="24"/>
          <w:szCs w:val="24"/>
        </w:rPr>
        <w:t>manejo</w:t>
      </w:r>
      <w:r w:rsidRPr="00E31A4C">
        <w:rPr>
          <w:rFonts w:ascii="Times New Roman" w:hAnsi="Times New Roman"/>
          <w:sz w:val="24"/>
          <w:szCs w:val="24"/>
        </w:rPr>
        <w:t xml:space="preserve"> d</w:t>
      </w:r>
      <w:r>
        <w:rPr>
          <w:rFonts w:ascii="Times New Roman" w:hAnsi="Times New Roman"/>
          <w:sz w:val="24"/>
          <w:szCs w:val="24"/>
        </w:rPr>
        <w:t>e</w:t>
      </w:r>
      <w:r w:rsidRPr="00E31A4C">
        <w:rPr>
          <w:rFonts w:ascii="Times New Roman" w:hAnsi="Times New Roman"/>
          <w:sz w:val="24"/>
          <w:szCs w:val="24"/>
        </w:rPr>
        <w:t xml:space="preserve"> </w:t>
      </w:r>
      <w:r>
        <w:rPr>
          <w:rFonts w:ascii="Times New Roman" w:hAnsi="Times New Roman"/>
          <w:sz w:val="24"/>
          <w:szCs w:val="24"/>
        </w:rPr>
        <w:t>Recurso Especial.</w:t>
      </w:r>
      <w:r>
        <w:rPr>
          <w:rStyle w:val="FootnoteReference"/>
          <w:rFonts w:ascii="Times New Roman" w:hAnsi="Times New Roman"/>
          <w:sz w:val="24"/>
          <w:szCs w:val="24"/>
        </w:rPr>
        <w:footnoteReference w:id="135"/>
      </w:r>
      <w:r>
        <w:rPr>
          <w:rFonts w:ascii="Times New Roman" w:hAnsi="Times New Roman"/>
          <w:sz w:val="24"/>
          <w:szCs w:val="24"/>
        </w:rPr>
        <w:t xml:space="preserve"> </w:t>
      </w:r>
    </w:p>
    <w:p w:rsidR="00D549BC" w:rsidRDefault="00D549BC" w:rsidP="00150953">
      <w:pPr>
        <w:spacing w:after="240"/>
        <w:contextualSpacing/>
        <w:rPr>
          <w:rFonts w:ascii="Times New Roman" w:hAnsi="Times New Roman"/>
          <w:sz w:val="24"/>
          <w:szCs w:val="24"/>
        </w:rPr>
      </w:pPr>
      <w:r>
        <w:rPr>
          <w:rFonts w:ascii="Times New Roman" w:hAnsi="Times New Roman"/>
          <w:sz w:val="24"/>
          <w:szCs w:val="24"/>
        </w:rPr>
        <w:t xml:space="preserve">A Lei 9.099/1995, que criou, a nível estadual, os Juizados Especiais Cíveis e Criminais, foi omissa com relação às Turmas de Uniformização, órgão que seria responsável por dirimir divergências entre decisões de diferentes Turmas Recursais acerca da interpretação da legislação federal. Tampouco previu a possiblidade de submeter-se a decisão da Turma de Uniformização à revisão pelo STJ. </w:t>
      </w:r>
    </w:p>
    <w:p w:rsidR="00D549BC" w:rsidRDefault="00D549BC" w:rsidP="00150953">
      <w:pPr>
        <w:spacing w:after="240"/>
        <w:contextualSpacing/>
        <w:rPr>
          <w:rFonts w:ascii="Times New Roman" w:hAnsi="Times New Roman"/>
          <w:sz w:val="24"/>
          <w:szCs w:val="24"/>
        </w:rPr>
      </w:pPr>
      <w:r w:rsidRPr="00D27B18">
        <w:rPr>
          <w:rFonts w:ascii="Times New Roman" w:hAnsi="Times New Roman"/>
          <w:sz w:val="24"/>
          <w:szCs w:val="24"/>
        </w:rPr>
        <w:t>O Supremo Tribunal Federal, por ocasião do julgamento do RE 571.572</w:t>
      </w:r>
      <w:r>
        <w:rPr>
          <w:rFonts w:ascii="Times New Roman" w:hAnsi="Times New Roman"/>
          <w:sz w:val="24"/>
          <w:szCs w:val="24"/>
        </w:rPr>
        <w:t>/BA</w:t>
      </w:r>
      <w:r w:rsidRPr="00D27B18">
        <w:rPr>
          <w:rFonts w:ascii="Times New Roman" w:hAnsi="Times New Roman"/>
          <w:sz w:val="24"/>
          <w:szCs w:val="24"/>
        </w:rPr>
        <w:t xml:space="preserve">, considerou que a não existência de órgão uniformizador da interpretação da legislação federal para os Juizados Especiais Estaduais poderia ocasionar a perpetuação de decisões divergentes da jurisprudência do STJ. </w:t>
      </w:r>
      <w:r>
        <w:rPr>
          <w:rFonts w:ascii="Times New Roman" w:hAnsi="Times New Roman"/>
          <w:sz w:val="24"/>
          <w:szCs w:val="24"/>
        </w:rPr>
        <w:t>Era preciso, pois, que o</w:t>
      </w:r>
      <w:r w:rsidRPr="00D27B18">
        <w:rPr>
          <w:rFonts w:ascii="Times New Roman" w:hAnsi="Times New Roman"/>
          <w:sz w:val="24"/>
          <w:szCs w:val="24"/>
        </w:rPr>
        <w:t xml:space="preserve"> Tribunal </w:t>
      </w:r>
      <w:r>
        <w:rPr>
          <w:rFonts w:ascii="Times New Roman" w:hAnsi="Times New Roman"/>
          <w:sz w:val="24"/>
          <w:szCs w:val="24"/>
        </w:rPr>
        <w:t>b</w:t>
      </w:r>
      <w:r w:rsidRPr="00D27B18">
        <w:rPr>
          <w:rFonts w:ascii="Times New Roman" w:hAnsi="Times New Roman"/>
          <w:sz w:val="24"/>
          <w:szCs w:val="24"/>
        </w:rPr>
        <w:t>usc</w:t>
      </w:r>
      <w:r>
        <w:rPr>
          <w:rFonts w:ascii="Times New Roman" w:hAnsi="Times New Roman"/>
          <w:sz w:val="24"/>
          <w:szCs w:val="24"/>
        </w:rPr>
        <w:t>asse</w:t>
      </w:r>
      <w:r w:rsidRPr="00D27B18">
        <w:rPr>
          <w:rFonts w:ascii="Times New Roman" w:hAnsi="Times New Roman"/>
          <w:sz w:val="24"/>
          <w:szCs w:val="24"/>
        </w:rPr>
        <w:t xml:space="preserve"> evitar a insegurança jurídica e a pre</w:t>
      </w:r>
      <w:r>
        <w:rPr>
          <w:rFonts w:ascii="Times New Roman" w:hAnsi="Times New Roman"/>
          <w:sz w:val="24"/>
          <w:szCs w:val="24"/>
        </w:rPr>
        <w:t>stação jurisdicional incompleta,</w:t>
      </w:r>
      <w:r w:rsidRPr="00D27B18">
        <w:rPr>
          <w:rFonts w:ascii="Times New Roman" w:hAnsi="Times New Roman"/>
          <w:sz w:val="24"/>
          <w:szCs w:val="24"/>
        </w:rPr>
        <w:t xml:space="preserve"> tendo em vista a ausência de outro meio eficaz de sanar a situação</w:t>
      </w:r>
      <w:r>
        <w:rPr>
          <w:rFonts w:ascii="Times New Roman" w:hAnsi="Times New Roman"/>
          <w:sz w:val="24"/>
          <w:szCs w:val="24"/>
        </w:rPr>
        <w:t>. Assim,</w:t>
      </w:r>
      <w:r w:rsidRPr="00D27B18">
        <w:rPr>
          <w:rFonts w:ascii="Times New Roman" w:hAnsi="Times New Roman"/>
          <w:sz w:val="24"/>
          <w:szCs w:val="24"/>
        </w:rPr>
        <w:t xml:space="preserve"> assentou</w:t>
      </w:r>
      <w:r>
        <w:rPr>
          <w:rFonts w:ascii="Times New Roman" w:hAnsi="Times New Roman"/>
          <w:sz w:val="24"/>
          <w:szCs w:val="24"/>
        </w:rPr>
        <w:t xml:space="preserve"> – no bojo de Embargos de Declaração opostos contra o RE 571.572 –</w:t>
      </w:r>
      <w:r w:rsidRPr="00D27B18">
        <w:rPr>
          <w:rFonts w:ascii="Times New Roman" w:hAnsi="Times New Roman"/>
          <w:sz w:val="24"/>
          <w:szCs w:val="24"/>
        </w:rPr>
        <w:t xml:space="preserve"> que a lógica da organização do sistema judiciário naci</w:t>
      </w:r>
      <w:r>
        <w:rPr>
          <w:rFonts w:ascii="Times New Roman" w:hAnsi="Times New Roman"/>
          <w:sz w:val="24"/>
          <w:szCs w:val="24"/>
        </w:rPr>
        <w:t>onal recomendaria que fosse dada à R</w:t>
      </w:r>
      <w:r w:rsidRPr="00D27B18">
        <w:rPr>
          <w:rFonts w:ascii="Times New Roman" w:hAnsi="Times New Roman"/>
          <w:sz w:val="24"/>
          <w:szCs w:val="24"/>
        </w:rPr>
        <w:t>eclamação</w:t>
      </w:r>
      <w:r>
        <w:rPr>
          <w:rFonts w:ascii="Times New Roman" w:hAnsi="Times New Roman"/>
          <w:sz w:val="24"/>
          <w:szCs w:val="24"/>
        </w:rPr>
        <w:t>,</w:t>
      </w:r>
      <w:r>
        <w:rPr>
          <w:rStyle w:val="FootnoteReference"/>
          <w:rFonts w:ascii="Times New Roman" w:hAnsi="Times New Roman"/>
          <w:sz w:val="24"/>
          <w:szCs w:val="24"/>
        </w:rPr>
        <w:footnoteReference w:id="136"/>
      </w:r>
      <w:r w:rsidRPr="00D27B18">
        <w:rPr>
          <w:rFonts w:ascii="Times New Roman" w:hAnsi="Times New Roman"/>
          <w:sz w:val="24"/>
          <w:szCs w:val="24"/>
        </w:rPr>
        <w:t xml:space="preserve"> prevista no art. 105</w:t>
      </w:r>
      <w:r>
        <w:rPr>
          <w:rFonts w:ascii="Times New Roman" w:hAnsi="Times New Roman"/>
          <w:sz w:val="24"/>
          <w:szCs w:val="24"/>
        </w:rPr>
        <w:t xml:space="preserve">, I, </w:t>
      </w:r>
      <w:r>
        <w:rPr>
          <w:rFonts w:ascii="Times New Roman" w:hAnsi="Times New Roman"/>
          <w:i/>
          <w:sz w:val="24"/>
          <w:szCs w:val="24"/>
        </w:rPr>
        <w:t>f</w:t>
      </w:r>
      <w:r>
        <w:rPr>
          <w:rFonts w:ascii="Times New Roman" w:hAnsi="Times New Roman"/>
          <w:sz w:val="24"/>
          <w:szCs w:val="24"/>
        </w:rPr>
        <w:t xml:space="preserve"> da CRFB/88</w:t>
      </w:r>
      <w:r w:rsidRPr="00D27B18">
        <w:rPr>
          <w:rFonts w:ascii="Times New Roman" w:hAnsi="Times New Roman"/>
          <w:sz w:val="24"/>
          <w:szCs w:val="24"/>
        </w:rPr>
        <w:t xml:space="preserve">, amplitude suficiente para afastar a divergência entre decisão proferida no âmbito dos </w:t>
      </w:r>
      <w:r w:rsidRPr="00AF6938">
        <w:rPr>
          <w:rFonts w:ascii="Times New Roman" w:hAnsi="Times New Roman"/>
          <w:i/>
          <w:sz w:val="24"/>
          <w:szCs w:val="24"/>
        </w:rPr>
        <w:t>Juizados Especiais Estaduais</w:t>
      </w:r>
      <w:r w:rsidRPr="00D27B18">
        <w:rPr>
          <w:rFonts w:ascii="Times New Roman" w:hAnsi="Times New Roman"/>
          <w:sz w:val="24"/>
          <w:szCs w:val="24"/>
        </w:rPr>
        <w:t xml:space="preserve"> e a </w:t>
      </w:r>
      <w:r w:rsidRPr="00AF6938">
        <w:rPr>
          <w:rFonts w:ascii="Times New Roman" w:hAnsi="Times New Roman"/>
          <w:i/>
          <w:sz w:val="24"/>
          <w:szCs w:val="24"/>
        </w:rPr>
        <w:t>jurisprudência do Superior Tribunal de Justiça</w:t>
      </w:r>
      <w:r>
        <w:rPr>
          <w:rFonts w:ascii="Times New Roman" w:hAnsi="Times New Roman"/>
          <w:i/>
          <w:sz w:val="24"/>
          <w:szCs w:val="24"/>
        </w:rPr>
        <w:t>.</w:t>
      </w:r>
      <w:r w:rsidRPr="008354A9">
        <w:rPr>
          <w:rStyle w:val="FootnoteReference"/>
          <w:rFonts w:ascii="Times New Roman" w:hAnsi="Times New Roman"/>
          <w:sz w:val="24"/>
          <w:szCs w:val="24"/>
        </w:rPr>
        <w:footnoteReference w:id="137"/>
      </w:r>
      <w:r>
        <w:rPr>
          <w:rFonts w:ascii="Times New Roman" w:hAnsi="Times New Roman"/>
          <w:i/>
          <w:sz w:val="24"/>
          <w:szCs w:val="24"/>
          <w:vertAlign w:val="superscript"/>
        </w:rPr>
        <w:t>-</w:t>
      </w:r>
      <w:r w:rsidRPr="009631CB">
        <w:rPr>
          <w:rStyle w:val="FootnoteReference"/>
          <w:rFonts w:ascii="Times New Roman" w:hAnsi="Times New Roman"/>
          <w:sz w:val="24"/>
          <w:szCs w:val="24"/>
        </w:rPr>
        <w:footnoteReference w:id="138"/>
      </w:r>
    </w:p>
    <w:p w:rsidR="00D549BC" w:rsidRDefault="00D549BC" w:rsidP="003A665E">
      <w:pPr>
        <w:spacing w:after="240"/>
        <w:contextualSpacing/>
        <w:rPr>
          <w:rFonts w:ascii="Times New Roman" w:hAnsi="Times New Roman"/>
          <w:sz w:val="24"/>
          <w:szCs w:val="24"/>
        </w:rPr>
      </w:pPr>
      <w:r w:rsidRPr="002675FF">
        <w:rPr>
          <w:rFonts w:ascii="Times New Roman" w:hAnsi="Times New Roman"/>
          <w:sz w:val="24"/>
          <w:szCs w:val="24"/>
        </w:rPr>
        <w:t>Em d</w:t>
      </w:r>
      <w:r>
        <w:rPr>
          <w:rFonts w:ascii="Times New Roman" w:hAnsi="Times New Roman"/>
          <w:sz w:val="24"/>
          <w:szCs w:val="24"/>
        </w:rPr>
        <w:t>ecorrência da citada decisão do STF</w:t>
      </w:r>
      <w:r w:rsidRPr="002675FF">
        <w:rPr>
          <w:rFonts w:ascii="Times New Roman" w:hAnsi="Times New Roman"/>
          <w:sz w:val="24"/>
          <w:szCs w:val="24"/>
        </w:rPr>
        <w:t>, o S</w:t>
      </w:r>
      <w:r>
        <w:rPr>
          <w:rFonts w:ascii="Times New Roman" w:hAnsi="Times New Roman"/>
          <w:sz w:val="24"/>
          <w:szCs w:val="24"/>
        </w:rPr>
        <w:t xml:space="preserve">uperior </w:t>
      </w:r>
      <w:r w:rsidRPr="002675FF">
        <w:rPr>
          <w:rFonts w:ascii="Times New Roman" w:hAnsi="Times New Roman"/>
          <w:sz w:val="24"/>
          <w:szCs w:val="24"/>
        </w:rPr>
        <w:t>T</w:t>
      </w:r>
      <w:r>
        <w:rPr>
          <w:rFonts w:ascii="Times New Roman" w:hAnsi="Times New Roman"/>
          <w:sz w:val="24"/>
          <w:szCs w:val="24"/>
        </w:rPr>
        <w:t xml:space="preserve">ribunal de </w:t>
      </w:r>
      <w:r w:rsidRPr="002675FF">
        <w:rPr>
          <w:rFonts w:ascii="Times New Roman" w:hAnsi="Times New Roman"/>
          <w:sz w:val="24"/>
          <w:szCs w:val="24"/>
        </w:rPr>
        <w:t>J</w:t>
      </w:r>
      <w:r>
        <w:rPr>
          <w:rFonts w:ascii="Times New Roman" w:hAnsi="Times New Roman"/>
          <w:sz w:val="24"/>
          <w:szCs w:val="24"/>
        </w:rPr>
        <w:t>ustiça</w:t>
      </w:r>
      <w:r w:rsidRPr="002675FF">
        <w:rPr>
          <w:rFonts w:ascii="Times New Roman" w:hAnsi="Times New Roman"/>
          <w:sz w:val="24"/>
          <w:szCs w:val="24"/>
        </w:rPr>
        <w:t xml:space="preserve"> </w:t>
      </w:r>
      <w:r>
        <w:rPr>
          <w:rFonts w:ascii="Times New Roman" w:hAnsi="Times New Roman"/>
          <w:sz w:val="24"/>
          <w:szCs w:val="24"/>
        </w:rPr>
        <w:t>editou</w:t>
      </w:r>
      <w:r w:rsidRPr="002675FF">
        <w:rPr>
          <w:rFonts w:ascii="Times New Roman" w:hAnsi="Times New Roman"/>
          <w:sz w:val="24"/>
          <w:szCs w:val="24"/>
        </w:rPr>
        <w:t xml:space="preserve"> a Resolução nº 12, de 14 de</w:t>
      </w:r>
      <w:r>
        <w:rPr>
          <w:rFonts w:ascii="Times New Roman" w:hAnsi="Times New Roman"/>
          <w:sz w:val="24"/>
          <w:szCs w:val="24"/>
        </w:rPr>
        <w:t xml:space="preserve"> </w:t>
      </w:r>
      <w:r w:rsidRPr="002675FF">
        <w:rPr>
          <w:rFonts w:ascii="Times New Roman" w:hAnsi="Times New Roman"/>
          <w:sz w:val="24"/>
          <w:szCs w:val="24"/>
        </w:rPr>
        <w:t>dezembro de 2009, que dispõe sobre o p</w:t>
      </w:r>
      <w:r>
        <w:rPr>
          <w:rFonts w:ascii="Times New Roman" w:hAnsi="Times New Roman"/>
          <w:sz w:val="24"/>
          <w:szCs w:val="24"/>
        </w:rPr>
        <w:t>rocessamento de sua competência</w:t>
      </w:r>
      <w:r w:rsidRPr="002675FF">
        <w:rPr>
          <w:rFonts w:ascii="Times New Roman" w:hAnsi="Times New Roman"/>
          <w:sz w:val="24"/>
          <w:szCs w:val="24"/>
        </w:rPr>
        <w:t xml:space="preserve"> das</w:t>
      </w:r>
      <w:r>
        <w:rPr>
          <w:rFonts w:ascii="Times New Roman" w:hAnsi="Times New Roman"/>
          <w:sz w:val="24"/>
          <w:szCs w:val="24"/>
        </w:rPr>
        <w:t xml:space="preserve"> R</w:t>
      </w:r>
      <w:r w:rsidRPr="002675FF">
        <w:rPr>
          <w:rFonts w:ascii="Times New Roman" w:hAnsi="Times New Roman"/>
          <w:sz w:val="24"/>
          <w:szCs w:val="24"/>
        </w:rPr>
        <w:t xml:space="preserve">eclamações destinadas a dirimir divergência entre </w:t>
      </w:r>
      <w:r>
        <w:rPr>
          <w:rFonts w:ascii="Times New Roman" w:hAnsi="Times New Roman"/>
          <w:sz w:val="24"/>
          <w:szCs w:val="24"/>
        </w:rPr>
        <w:t xml:space="preserve">o </w:t>
      </w:r>
      <w:r w:rsidRPr="002675FF">
        <w:rPr>
          <w:rFonts w:ascii="Times New Roman" w:hAnsi="Times New Roman"/>
          <w:sz w:val="24"/>
          <w:szCs w:val="24"/>
        </w:rPr>
        <w:t xml:space="preserve">acórdão prolatado por </w:t>
      </w:r>
      <w:r>
        <w:rPr>
          <w:rFonts w:ascii="Times New Roman" w:hAnsi="Times New Roman"/>
          <w:sz w:val="24"/>
          <w:szCs w:val="24"/>
        </w:rPr>
        <w:t>T</w:t>
      </w:r>
      <w:r w:rsidRPr="002675FF">
        <w:rPr>
          <w:rFonts w:ascii="Times New Roman" w:hAnsi="Times New Roman"/>
          <w:sz w:val="24"/>
          <w:szCs w:val="24"/>
        </w:rPr>
        <w:t xml:space="preserve">urma </w:t>
      </w:r>
      <w:r>
        <w:rPr>
          <w:rFonts w:ascii="Times New Roman" w:hAnsi="Times New Roman"/>
          <w:sz w:val="24"/>
          <w:szCs w:val="24"/>
        </w:rPr>
        <w:t>R</w:t>
      </w:r>
      <w:r w:rsidRPr="002675FF">
        <w:rPr>
          <w:rFonts w:ascii="Times New Roman" w:hAnsi="Times New Roman"/>
          <w:sz w:val="24"/>
          <w:szCs w:val="24"/>
        </w:rPr>
        <w:t>ecursal</w:t>
      </w:r>
      <w:r>
        <w:rPr>
          <w:rFonts w:ascii="Times New Roman" w:hAnsi="Times New Roman"/>
          <w:sz w:val="24"/>
          <w:szCs w:val="24"/>
        </w:rPr>
        <w:t xml:space="preserve"> E</w:t>
      </w:r>
      <w:r w:rsidRPr="002675FF">
        <w:rPr>
          <w:rFonts w:ascii="Times New Roman" w:hAnsi="Times New Roman"/>
          <w:sz w:val="24"/>
          <w:szCs w:val="24"/>
        </w:rPr>
        <w:t>stadual e a jurisprudência</w:t>
      </w:r>
      <w:r>
        <w:rPr>
          <w:rFonts w:ascii="Times New Roman" w:hAnsi="Times New Roman"/>
          <w:sz w:val="24"/>
          <w:szCs w:val="24"/>
        </w:rPr>
        <w:t xml:space="preserve"> da Corte Superior.</w:t>
      </w:r>
      <w:r>
        <w:rPr>
          <w:rStyle w:val="FootnoteReference"/>
          <w:rFonts w:ascii="Times New Roman" w:hAnsi="Times New Roman"/>
          <w:sz w:val="24"/>
          <w:szCs w:val="24"/>
        </w:rPr>
        <w:footnoteReference w:id="139"/>
      </w:r>
    </w:p>
    <w:p w:rsidR="00D549BC" w:rsidRDefault="00D549BC" w:rsidP="000603CC">
      <w:pPr>
        <w:spacing w:after="240"/>
        <w:contextualSpacing/>
        <w:rPr>
          <w:rFonts w:ascii="Times New Roman" w:hAnsi="Times New Roman"/>
          <w:sz w:val="24"/>
          <w:szCs w:val="24"/>
        </w:rPr>
      </w:pPr>
      <w:r>
        <w:rPr>
          <w:rFonts w:ascii="Times New Roman" w:hAnsi="Times New Roman"/>
          <w:sz w:val="24"/>
          <w:szCs w:val="24"/>
        </w:rPr>
        <w:t xml:space="preserve">No âmbito da Justiça Federal, a Lei 10.259/2001, que instituiu os </w:t>
      </w:r>
      <w:r w:rsidRPr="003F54A9">
        <w:rPr>
          <w:rFonts w:ascii="Times New Roman" w:hAnsi="Times New Roman"/>
          <w:sz w:val="24"/>
          <w:szCs w:val="24"/>
        </w:rPr>
        <w:t>Juizados Especi</w:t>
      </w:r>
      <w:r>
        <w:rPr>
          <w:rFonts w:ascii="Times New Roman" w:hAnsi="Times New Roman"/>
          <w:sz w:val="24"/>
          <w:szCs w:val="24"/>
        </w:rPr>
        <w:t xml:space="preserve">ais Cíveis e Criminais, previu expressamente, em seu art. 14 e parágrafos seguintes, </w:t>
      </w:r>
      <w:r w:rsidRPr="003F54A9">
        <w:rPr>
          <w:rFonts w:ascii="Times New Roman" w:hAnsi="Times New Roman"/>
          <w:sz w:val="24"/>
          <w:szCs w:val="24"/>
        </w:rPr>
        <w:t>a possibilidade de</w:t>
      </w:r>
      <w:r>
        <w:rPr>
          <w:rFonts w:ascii="Times New Roman" w:hAnsi="Times New Roman"/>
          <w:sz w:val="24"/>
          <w:szCs w:val="24"/>
        </w:rPr>
        <w:t xml:space="preserve"> </w:t>
      </w:r>
      <w:r w:rsidRPr="003F54A9">
        <w:rPr>
          <w:rFonts w:ascii="Times New Roman" w:hAnsi="Times New Roman"/>
          <w:sz w:val="24"/>
          <w:szCs w:val="24"/>
        </w:rPr>
        <w:t>uniformização das decisões divergentes, por meio de Turma de Uniformização, para</w:t>
      </w:r>
      <w:r>
        <w:rPr>
          <w:rFonts w:ascii="Times New Roman" w:hAnsi="Times New Roman"/>
          <w:sz w:val="24"/>
          <w:szCs w:val="24"/>
        </w:rPr>
        <w:t xml:space="preserve"> questões de direito material. Caso ainda a decisão da Turma Uniformizadora contrarie</w:t>
      </w:r>
      <w:r w:rsidRPr="003F54A9">
        <w:rPr>
          <w:rFonts w:ascii="Times New Roman" w:hAnsi="Times New Roman"/>
          <w:sz w:val="24"/>
          <w:szCs w:val="24"/>
        </w:rPr>
        <w:t xml:space="preserve"> jurisprudência dominante</w:t>
      </w:r>
      <w:r>
        <w:rPr>
          <w:rFonts w:ascii="Times New Roman" w:hAnsi="Times New Roman"/>
          <w:sz w:val="24"/>
          <w:szCs w:val="24"/>
        </w:rPr>
        <w:t xml:space="preserve"> </w:t>
      </w:r>
      <w:r w:rsidRPr="003F54A9">
        <w:rPr>
          <w:rFonts w:ascii="Times New Roman" w:hAnsi="Times New Roman"/>
          <w:sz w:val="24"/>
          <w:szCs w:val="24"/>
        </w:rPr>
        <w:t>ou súmula</w:t>
      </w:r>
      <w:r>
        <w:rPr>
          <w:rFonts w:ascii="Times New Roman" w:hAnsi="Times New Roman"/>
          <w:sz w:val="24"/>
          <w:szCs w:val="24"/>
        </w:rPr>
        <w:t xml:space="preserve"> do STJ</w:t>
      </w:r>
      <w:r w:rsidRPr="003F54A9">
        <w:rPr>
          <w:rFonts w:ascii="Times New Roman" w:hAnsi="Times New Roman"/>
          <w:sz w:val="24"/>
          <w:szCs w:val="24"/>
        </w:rPr>
        <w:t xml:space="preserve">, há </w:t>
      </w:r>
      <w:r>
        <w:rPr>
          <w:rFonts w:ascii="Times New Roman" w:hAnsi="Times New Roman"/>
          <w:sz w:val="24"/>
          <w:szCs w:val="24"/>
        </w:rPr>
        <w:t xml:space="preserve">a </w:t>
      </w:r>
      <w:r w:rsidRPr="003F54A9">
        <w:rPr>
          <w:rFonts w:ascii="Times New Roman" w:hAnsi="Times New Roman"/>
          <w:sz w:val="24"/>
          <w:szCs w:val="24"/>
        </w:rPr>
        <w:t>possibilidade de provocação d</w:t>
      </w:r>
      <w:r>
        <w:rPr>
          <w:rFonts w:ascii="Times New Roman" w:hAnsi="Times New Roman"/>
          <w:sz w:val="24"/>
          <w:szCs w:val="24"/>
        </w:rPr>
        <w:t>ess</w:t>
      </w:r>
      <w:r w:rsidRPr="003F54A9">
        <w:rPr>
          <w:rFonts w:ascii="Times New Roman" w:hAnsi="Times New Roman"/>
          <w:sz w:val="24"/>
          <w:szCs w:val="24"/>
        </w:rPr>
        <w:t>a Corte Superior</w:t>
      </w:r>
      <w:r>
        <w:rPr>
          <w:rFonts w:ascii="Times New Roman" w:hAnsi="Times New Roman"/>
          <w:sz w:val="24"/>
          <w:szCs w:val="24"/>
        </w:rPr>
        <w:t xml:space="preserve"> pela parte interessada (art.14, § 4º da Lei 10.259/01).</w:t>
      </w:r>
      <w:r>
        <w:rPr>
          <w:rStyle w:val="FootnoteReference"/>
          <w:rFonts w:ascii="Times New Roman" w:hAnsi="Times New Roman"/>
          <w:sz w:val="24"/>
          <w:szCs w:val="24"/>
        </w:rPr>
        <w:footnoteReference w:id="140"/>
      </w:r>
      <w:r>
        <w:rPr>
          <w:rFonts w:ascii="Times New Roman" w:hAnsi="Times New Roman"/>
          <w:sz w:val="24"/>
          <w:szCs w:val="24"/>
        </w:rPr>
        <w:t xml:space="preserve"> </w:t>
      </w:r>
    </w:p>
    <w:p w:rsidR="00D549BC" w:rsidRDefault="00D549BC" w:rsidP="000603CC">
      <w:pPr>
        <w:spacing w:after="240"/>
        <w:contextualSpacing/>
        <w:rPr>
          <w:rFonts w:ascii="Times New Roman" w:hAnsi="Times New Roman"/>
          <w:sz w:val="24"/>
          <w:szCs w:val="24"/>
        </w:rPr>
      </w:pPr>
      <w:r w:rsidRPr="00DF4E7C">
        <w:rPr>
          <w:rFonts w:ascii="Times New Roman" w:hAnsi="Times New Roman"/>
          <w:sz w:val="24"/>
          <w:szCs w:val="24"/>
        </w:rPr>
        <w:t xml:space="preserve">Acrescente-se que, por ser um recurso que vise à segurança sistêmica e não à revisão da causa em concreto, o </w:t>
      </w:r>
      <w:r>
        <w:rPr>
          <w:rFonts w:ascii="Times New Roman" w:hAnsi="Times New Roman"/>
          <w:sz w:val="24"/>
          <w:szCs w:val="24"/>
        </w:rPr>
        <w:t>R</w:t>
      </w:r>
      <w:r w:rsidRPr="00DF4E7C">
        <w:rPr>
          <w:rFonts w:ascii="Times New Roman" w:hAnsi="Times New Roman"/>
          <w:sz w:val="24"/>
          <w:szCs w:val="24"/>
        </w:rPr>
        <w:t xml:space="preserve">ecurso </w:t>
      </w:r>
      <w:r>
        <w:rPr>
          <w:rFonts w:ascii="Times New Roman" w:hAnsi="Times New Roman"/>
          <w:sz w:val="24"/>
          <w:szCs w:val="24"/>
        </w:rPr>
        <w:t>E</w:t>
      </w:r>
      <w:r w:rsidRPr="00DF4E7C">
        <w:rPr>
          <w:rFonts w:ascii="Times New Roman" w:hAnsi="Times New Roman"/>
          <w:sz w:val="24"/>
          <w:szCs w:val="24"/>
        </w:rPr>
        <w:t xml:space="preserve">special não </w:t>
      </w:r>
      <w:r>
        <w:rPr>
          <w:rFonts w:ascii="Times New Roman" w:hAnsi="Times New Roman"/>
          <w:sz w:val="24"/>
          <w:szCs w:val="24"/>
        </w:rPr>
        <w:t>admite</w:t>
      </w:r>
      <w:r w:rsidRPr="00DF4E7C">
        <w:rPr>
          <w:rFonts w:ascii="Times New Roman" w:hAnsi="Times New Roman"/>
          <w:sz w:val="24"/>
          <w:szCs w:val="24"/>
        </w:rPr>
        <w:t xml:space="preserve"> reexam</w:t>
      </w:r>
      <w:r>
        <w:rPr>
          <w:rFonts w:ascii="Times New Roman" w:hAnsi="Times New Roman"/>
          <w:sz w:val="24"/>
          <w:szCs w:val="24"/>
        </w:rPr>
        <w:t>e</w:t>
      </w:r>
      <w:r w:rsidRPr="00DF4E7C">
        <w:rPr>
          <w:rFonts w:ascii="Times New Roman" w:hAnsi="Times New Roman"/>
          <w:sz w:val="24"/>
          <w:szCs w:val="24"/>
        </w:rPr>
        <w:t xml:space="preserve"> </w:t>
      </w:r>
      <w:r>
        <w:rPr>
          <w:rFonts w:ascii="Times New Roman" w:hAnsi="Times New Roman"/>
          <w:sz w:val="24"/>
          <w:szCs w:val="24"/>
        </w:rPr>
        <w:t>do conjunto probatório constante dos autos</w:t>
      </w:r>
      <w:r w:rsidRPr="00DF4E7C">
        <w:rPr>
          <w:rFonts w:ascii="Times New Roman" w:hAnsi="Times New Roman"/>
          <w:sz w:val="24"/>
          <w:szCs w:val="24"/>
        </w:rPr>
        <w:t xml:space="preserve"> para lhe dar nova conformação</w:t>
      </w:r>
      <w:r>
        <w:rPr>
          <w:rFonts w:ascii="Times New Roman" w:hAnsi="Times New Roman"/>
          <w:sz w:val="24"/>
          <w:szCs w:val="24"/>
        </w:rPr>
        <w:t xml:space="preserve">. Nesse sentido, o clássico Enunciado nº 7 do STJ, </w:t>
      </w:r>
      <w:r w:rsidRPr="00DF4E7C">
        <w:rPr>
          <w:rFonts w:ascii="Times New Roman" w:hAnsi="Times New Roman"/>
          <w:i/>
          <w:sz w:val="24"/>
          <w:szCs w:val="24"/>
        </w:rPr>
        <w:t>verbis</w:t>
      </w:r>
      <w:r>
        <w:rPr>
          <w:rFonts w:ascii="Times New Roman" w:hAnsi="Times New Roman"/>
          <w:sz w:val="24"/>
          <w:szCs w:val="24"/>
        </w:rPr>
        <w:t>: “</w:t>
      </w:r>
      <w:r w:rsidRPr="00DF4E7C">
        <w:rPr>
          <w:rFonts w:ascii="Times New Roman" w:hAnsi="Times New Roman"/>
          <w:i/>
          <w:sz w:val="24"/>
          <w:szCs w:val="24"/>
        </w:rPr>
        <w:t>A pretensão de simples reexame de prova não enseja recurso especial</w:t>
      </w:r>
      <w:r>
        <w:rPr>
          <w:rFonts w:ascii="Times New Roman" w:hAnsi="Times New Roman"/>
          <w:sz w:val="24"/>
          <w:szCs w:val="24"/>
        </w:rPr>
        <w:t>”.</w:t>
      </w:r>
    </w:p>
    <w:p w:rsidR="00D549BC" w:rsidRDefault="00D549BC" w:rsidP="004672F6">
      <w:pPr>
        <w:spacing w:after="240"/>
        <w:ind w:firstLine="0"/>
        <w:contextualSpacing/>
        <w:rPr>
          <w:rFonts w:ascii="Times New Roman" w:hAnsi="Times New Roman"/>
          <w:sz w:val="24"/>
          <w:szCs w:val="24"/>
          <w:lang w:eastAsia="pt-BR"/>
        </w:rPr>
      </w:pPr>
      <w:r w:rsidRPr="004672F6">
        <w:rPr>
          <w:rFonts w:ascii="Times New Roman" w:hAnsi="Times New Roman"/>
          <w:sz w:val="24"/>
          <w:szCs w:val="24"/>
          <w:lang w:eastAsia="pt-BR"/>
        </w:rPr>
        <w:t xml:space="preserve">3.2.2.2 A crise </w:t>
      </w:r>
      <w:r>
        <w:rPr>
          <w:rFonts w:ascii="Times New Roman" w:hAnsi="Times New Roman"/>
          <w:sz w:val="24"/>
          <w:szCs w:val="24"/>
          <w:lang w:eastAsia="pt-BR"/>
        </w:rPr>
        <w:t>c</w:t>
      </w:r>
      <w:r w:rsidRPr="004672F6">
        <w:rPr>
          <w:rFonts w:ascii="Times New Roman" w:hAnsi="Times New Roman"/>
          <w:sz w:val="24"/>
          <w:szCs w:val="24"/>
          <w:lang w:eastAsia="pt-BR"/>
        </w:rPr>
        <w:t>hega ao Superior Tribunal de Justiça</w:t>
      </w:r>
    </w:p>
    <w:p w:rsidR="00D549BC" w:rsidRDefault="00D549BC" w:rsidP="004672F6">
      <w:pPr>
        <w:spacing w:after="240"/>
        <w:ind w:firstLine="0"/>
        <w:contextualSpacing/>
        <w:rPr>
          <w:rFonts w:ascii="Times New Roman" w:hAnsi="Times New Roman"/>
          <w:sz w:val="24"/>
          <w:szCs w:val="24"/>
        </w:rPr>
      </w:pPr>
    </w:p>
    <w:p w:rsidR="00D549BC" w:rsidRDefault="00D549BC" w:rsidP="00887B95">
      <w:pPr>
        <w:spacing w:after="240"/>
        <w:contextualSpacing/>
        <w:rPr>
          <w:rFonts w:ascii="Times New Roman" w:hAnsi="Times New Roman"/>
          <w:sz w:val="24"/>
          <w:szCs w:val="24"/>
        </w:rPr>
      </w:pPr>
      <w:r w:rsidRPr="0037743E">
        <w:rPr>
          <w:rFonts w:ascii="Times New Roman" w:hAnsi="Times New Roman"/>
          <w:sz w:val="24"/>
          <w:szCs w:val="24"/>
        </w:rPr>
        <w:t>O exercício da ampla competência</w:t>
      </w:r>
      <w:r>
        <w:rPr>
          <w:rFonts w:ascii="Times New Roman" w:hAnsi="Times New Roman"/>
          <w:sz w:val="24"/>
          <w:szCs w:val="24"/>
        </w:rPr>
        <w:t xml:space="preserve"> </w:t>
      </w:r>
      <w:r w:rsidRPr="0037743E">
        <w:rPr>
          <w:rFonts w:ascii="Times New Roman" w:hAnsi="Times New Roman"/>
          <w:sz w:val="24"/>
          <w:szCs w:val="24"/>
        </w:rPr>
        <w:t xml:space="preserve">no âmbito do </w:t>
      </w:r>
      <w:r>
        <w:rPr>
          <w:rFonts w:ascii="Times New Roman" w:hAnsi="Times New Roman"/>
          <w:sz w:val="24"/>
          <w:szCs w:val="24"/>
        </w:rPr>
        <w:t>R</w:t>
      </w:r>
      <w:r w:rsidRPr="0037743E">
        <w:rPr>
          <w:rFonts w:ascii="Times New Roman" w:hAnsi="Times New Roman"/>
          <w:sz w:val="24"/>
          <w:szCs w:val="24"/>
        </w:rPr>
        <w:t xml:space="preserve">ecurso </w:t>
      </w:r>
      <w:r>
        <w:rPr>
          <w:rFonts w:ascii="Times New Roman" w:hAnsi="Times New Roman"/>
          <w:sz w:val="24"/>
          <w:szCs w:val="24"/>
        </w:rPr>
        <w:t>Especial</w:t>
      </w:r>
      <w:r w:rsidRPr="0037743E">
        <w:rPr>
          <w:rFonts w:ascii="Times New Roman" w:hAnsi="Times New Roman"/>
          <w:sz w:val="24"/>
          <w:szCs w:val="24"/>
        </w:rPr>
        <w:t xml:space="preserve"> e a </w:t>
      </w:r>
      <w:r>
        <w:rPr>
          <w:rFonts w:ascii="Times New Roman" w:hAnsi="Times New Roman"/>
          <w:sz w:val="24"/>
          <w:szCs w:val="24"/>
        </w:rPr>
        <w:t>ausência</w:t>
      </w:r>
      <w:r w:rsidRPr="0037743E">
        <w:rPr>
          <w:rFonts w:ascii="Times New Roman" w:hAnsi="Times New Roman"/>
          <w:sz w:val="24"/>
          <w:szCs w:val="24"/>
        </w:rPr>
        <w:t xml:space="preserve"> de qualquer</w:t>
      </w:r>
      <w:r>
        <w:rPr>
          <w:rFonts w:ascii="Times New Roman" w:hAnsi="Times New Roman"/>
          <w:sz w:val="24"/>
          <w:szCs w:val="24"/>
        </w:rPr>
        <w:t xml:space="preserve"> </w:t>
      </w:r>
      <w:r w:rsidRPr="0037743E">
        <w:rPr>
          <w:rFonts w:ascii="Times New Roman" w:hAnsi="Times New Roman"/>
          <w:sz w:val="24"/>
          <w:szCs w:val="24"/>
        </w:rPr>
        <w:t>instrumento de generalização de efeitos das decisões</w:t>
      </w:r>
      <w:r>
        <w:rPr>
          <w:rFonts w:ascii="Times New Roman" w:hAnsi="Times New Roman"/>
          <w:sz w:val="24"/>
          <w:szCs w:val="24"/>
        </w:rPr>
        <w:t>, assim como</w:t>
      </w:r>
      <w:r w:rsidRPr="0037743E">
        <w:rPr>
          <w:rFonts w:ascii="Times New Roman" w:hAnsi="Times New Roman"/>
          <w:sz w:val="24"/>
          <w:szCs w:val="24"/>
        </w:rPr>
        <w:t xml:space="preserve"> de seleção</w:t>
      </w:r>
      <w:r>
        <w:rPr>
          <w:rFonts w:ascii="Times New Roman" w:hAnsi="Times New Roman"/>
          <w:sz w:val="24"/>
          <w:szCs w:val="24"/>
        </w:rPr>
        <w:t>/filtragem</w:t>
      </w:r>
      <w:r w:rsidRPr="0037743E">
        <w:rPr>
          <w:rFonts w:ascii="Times New Roman" w:hAnsi="Times New Roman"/>
          <w:sz w:val="24"/>
          <w:szCs w:val="24"/>
        </w:rPr>
        <w:t xml:space="preserve"> de recursos</w:t>
      </w:r>
      <w:r>
        <w:rPr>
          <w:rFonts w:ascii="Times New Roman" w:hAnsi="Times New Roman"/>
          <w:sz w:val="24"/>
          <w:szCs w:val="24"/>
        </w:rPr>
        <w:t>,</w:t>
      </w:r>
      <w:r w:rsidRPr="0037743E">
        <w:rPr>
          <w:rFonts w:ascii="Times New Roman" w:hAnsi="Times New Roman"/>
          <w:sz w:val="24"/>
          <w:szCs w:val="24"/>
        </w:rPr>
        <w:t xml:space="preserve"> lev</w:t>
      </w:r>
      <w:r>
        <w:rPr>
          <w:rFonts w:ascii="Times New Roman" w:hAnsi="Times New Roman"/>
          <w:sz w:val="24"/>
          <w:szCs w:val="24"/>
        </w:rPr>
        <w:t>ou</w:t>
      </w:r>
      <w:r w:rsidRPr="0037743E">
        <w:rPr>
          <w:rFonts w:ascii="Times New Roman" w:hAnsi="Times New Roman"/>
          <w:sz w:val="24"/>
          <w:szCs w:val="24"/>
        </w:rPr>
        <w:t xml:space="preserve"> a que o</w:t>
      </w:r>
      <w:r>
        <w:rPr>
          <w:rFonts w:ascii="Times New Roman" w:hAnsi="Times New Roman"/>
          <w:sz w:val="24"/>
          <w:szCs w:val="24"/>
        </w:rPr>
        <w:t xml:space="preserve"> </w:t>
      </w:r>
      <w:r w:rsidRPr="0037743E">
        <w:rPr>
          <w:rFonts w:ascii="Times New Roman" w:hAnsi="Times New Roman"/>
          <w:sz w:val="24"/>
          <w:szCs w:val="24"/>
        </w:rPr>
        <w:t>Superior Tribunal de Justiça, em curto espaço de tempo, defrontasse</w:t>
      </w:r>
      <w:r>
        <w:rPr>
          <w:rFonts w:ascii="Times New Roman" w:hAnsi="Times New Roman"/>
          <w:sz w:val="24"/>
          <w:szCs w:val="24"/>
        </w:rPr>
        <w:t>-se</w:t>
      </w:r>
      <w:r w:rsidRPr="0037743E">
        <w:rPr>
          <w:rFonts w:ascii="Times New Roman" w:hAnsi="Times New Roman"/>
          <w:sz w:val="24"/>
          <w:szCs w:val="24"/>
        </w:rPr>
        <w:t xml:space="preserve"> com</w:t>
      </w:r>
      <w:r>
        <w:rPr>
          <w:rFonts w:ascii="Times New Roman" w:hAnsi="Times New Roman"/>
          <w:sz w:val="24"/>
          <w:szCs w:val="24"/>
        </w:rPr>
        <w:t xml:space="preserve"> uma</w:t>
      </w:r>
      <w:r w:rsidRPr="0037743E">
        <w:rPr>
          <w:rFonts w:ascii="Times New Roman" w:hAnsi="Times New Roman"/>
          <w:sz w:val="24"/>
          <w:szCs w:val="24"/>
        </w:rPr>
        <w:t xml:space="preserve"> </w:t>
      </w:r>
      <w:r w:rsidRPr="00A16BF8">
        <w:rPr>
          <w:rFonts w:ascii="Times New Roman" w:hAnsi="Times New Roman"/>
          <w:i/>
          <w:sz w:val="24"/>
          <w:szCs w:val="24"/>
        </w:rPr>
        <w:t>crise numérica</w:t>
      </w:r>
      <w:r w:rsidRPr="0037743E">
        <w:rPr>
          <w:rFonts w:ascii="Times New Roman" w:hAnsi="Times New Roman"/>
          <w:sz w:val="24"/>
          <w:szCs w:val="24"/>
        </w:rPr>
        <w:t xml:space="preserve"> idêntica</w:t>
      </w:r>
      <w:r>
        <w:rPr>
          <w:rFonts w:ascii="Times New Roman" w:hAnsi="Times New Roman"/>
          <w:sz w:val="24"/>
          <w:szCs w:val="24"/>
        </w:rPr>
        <w:t xml:space="preserve"> </w:t>
      </w:r>
      <w:r w:rsidRPr="0037743E">
        <w:rPr>
          <w:rFonts w:ascii="Times New Roman" w:hAnsi="Times New Roman"/>
          <w:sz w:val="24"/>
          <w:szCs w:val="24"/>
        </w:rPr>
        <w:t xml:space="preserve">ou até mais grave do que aquela </w:t>
      </w:r>
      <w:r>
        <w:rPr>
          <w:rFonts w:ascii="Times New Roman" w:hAnsi="Times New Roman"/>
          <w:sz w:val="24"/>
          <w:szCs w:val="24"/>
        </w:rPr>
        <w:t>enfrentada pel</w:t>
      </w:r>
      <w:r w:rsidRPr="0037743E">
        <w:rPr>
          <w:rFonts w:ascii="Times New Roman" w:hAnsi="Times New Roman"/>
          <w:sz w:val="24"/>
          <w:szCs w:val="24"/>
        </w:rPr>
        <w:t>o Supremo Tribunal Federal</w:t>
      </w:r>
      <w:r>
        <w:rPr>
          <w:rFonts w:ascii="Times New Roman" w:hAnsi="Times New Roman"/>
          <w:sz w:val="24"/>
          <w:szCs w:val="24"/>
        </w:rPr>
        <w:t xml:space="preserve">. </w:t>
      </w:r>
    </w:p>
    <w:p w:rsidR="00D549BC" w:rsidRDefault="00D549BC" w:rsidP="002F35B1">
      <w:pPr>
        <w:spacing w:after="240"/>
        <w:contextualSpacing/>
        <w:rPr>
          <w:rFonts w:ascii="Times New Roman" w:hAnsi="Times New Roman"/>
          <w:sz w:val="24"/>
          <w:szCs w:val="24"/>
        </w:rPr>
      </w:pPr>
      <w:r>
        <w:rPr>
          <w:rFonts w:ascii="Times New Roman" w:hAnsi="Times New Roman"/>
          <w:sz w:val="24"/>
          <w:szCs w:val="24"/>
        </w:rPr>
        <w:t>Segundo as estatísticas constantes no sítio eletrônico do STJ, que apontam o número total de processos distribuídos por classe em determinado ano, os Recursos Especiais apresentaram os seguintes dados: (i) em 2002,</w:t>
      </w:r>
      <w:r>
        <w:rPr>
          <w:rStyle w:val="FootnoteReference"/>
          <w:rFonts w:ascii="Times New Roman" w:hAnsi="Times New Roman"/>
          <w:sz w:val="24"/>
          <w:szCs w:val="24"/>
        </w:rPr>
        <w:footnoteReference w:id="141"/>
      </w:r>
      <w:r>
        <w:rPr>
          <w:rFonts w:ascii="Times New Roman" w:hAnsi="Times New Roman"/>
          <w:sz w:val="24"/>
          <w:szCs w:val="24"/>
        </w:rPr>
        <w:t xml:space="preserve"> foram distribuídos </w:t>
      </w:r>
      <w:r w:rsidRPr="00F22439">
        <w:rPr>
          <w:rFonts w:ascii="Times New Roman" w:hAnsi="Times New Roman"/>
          <w:i/>
          <w:sz w:val="24"/>
          <w:szCs w:val="24"/>
        </w:rPr>
        <w:t>82.782</w:t>
      </w:r>
      <w:r>
        <w:rPr>
          <w:rFonts w:ascii="Times New Roman" w:hAnsi="Times New Roman"/>
          <w:sz w:val="24"/>
          <w:szCs w:val="24"/>
        </w:rPr>
        <w:t xml:space="preserve"> REsp; (ii) em 2003, </w:t>
      </w:r>
      <w:r w:rsidRPr="00F22439">
        <w:rPr>
          <w:rFonts w:ascii="Times New Roman" w:hAnsi="Times New Roman"/>
          <w:i/>
          <w:sz w:val="24"/>
          <w:szCs w:val="24"/>
        </w:rPr>
        <w:t>126.473</w:t>
      </w:r>
      <w:r>
        <w:rPr>
          <w:rFonts w:ascii="Times New Roman" w:hAnsi="Times New Roman"/>
          <w:sz w:val="24"/>
          <w:szCs w:val="24"/>
        </w:rPr>
        <w:t xml:space="preserve"> REsp; (iii) em 2004, </w:t>
      </w:r>
      <w:r w:rsidRPr="00F22439">
        <w:rPr>
          <w:rFonts w:ascii="Times New Roman" w:hAnsi="Times New Roman"/>
          <w:i/>
          <w:sz w:val="24"/>
          <w:szCs w:val="24"/>
        </w:rPr>
        <w:t>105.716</w:t>
      </w:r>
      <w:r>
        <w:rPr>
          <w:rFonts w:ascii="Times New Roman" w:hAnsi="Times New Roman"/>
          <w:sz w:val="24"/>
          <w:szCs w:val="24"/>
        </w:rPr>
        <w:t xml:space="preserve"> REsp; (iv) em 2005, </w:t>
      </w:r>
      <w:r w:rsidRPr="00F22439">
        <w:rPr>
          <w:rFonts w:ascii="Times New Roman" w:hAnsi="Times New Roman"/>
          <w:i/>
          <w:sz w:val="24"/>
          <w:szCs w:val="24"/>
        </w:rPr>
        <w:t>93.353</w:t>
      </w:r>
      <w:r>
        <w:rPr>
          <w:rFonts w:ascii="Times New Roman" w:hAnsi="Times New Roman"/>
          <w:sz w:val="24"/>
          <w:szCs w:val="24"/>
        </w:rPr>
        <w:t xml:space="preserve"> REsp; (v) em 2006, </w:t>
      </w:r>
      <w:r w:rsidRPr="00F22439">
        <w:rPr>
          <w:rFonts w:ascii="Times New Roman" w:hAnsi="Times New Roman"/>
          <w:i/>
          <w:sz w:val="24"/>
          <w:szCs w:val="24"/>
        </w:rPr>
        <w:t>97.835</w:t>
      </w:r>
      <w:r w:rsidRPr="00FC2AA5">
        <w:rPr>
          <w:rFonts w:ascii="Times New Roman" w:hAnsi="Times New Roman"/>
          <w:sz w:val="24"/>
          <w:szCs w:val="24"/>
        </w:rPr>
        <w:t xml:space="preserve"> </w:t>
      </w:r>
      <w:r>
        <w:rPr>
          <w:rFonts w:ascii="Times New Roman" w:hAnsi="Times New Roman"/>
          <w:sz w:val="24"/>
          <w:szCs w:val="24"/>
        </w:rPr>
        <w:t xml:space="preserve">REsp; (vi) em 2007, </w:t>
      </w:r>
      <w:r w:rsidRPr="00F22439">
        <w:rPr>
          <w:rFonts w:ascii="Times New Roman" w:hAnsi="Times New Roman"/>
          <w:i/>
          <w:sz w:val="24"/>
          <w:szCs w:val="24"/>
        </w:rPr>
        <w:t>104.219</w:t>
      </w:r>
      <w:r w:rsidRPr="00FC2AA5">
        <w:rPr>
          <w:rFonts w:ascii="Times New Roman" w:hAnsi="Times New Roman"/>
          <w:sz w:val="24"/>
          <w:szCs w:val="24"/>
        </w:rPr>
        <w:t xml:space="preserve"> </w:t>
      </w:r>
      <w:r>
        <w:rPr>
          <w:rFonts w:ascii="Times New Roman" w:hAnsi="Times New Roman"/>
          <w:sz w:val="24"/>
          <w:szCs w:val="24"/>
        </w:rPr>
        <w:t xml:space="preserve">REsp; (vii) em 2008, </w:t>
      </w:r>
      <w:r w:rsidRPr="00F22439">
        <w:rPr>
          <w:rFonts w:ascii="Times New Roman" w:hAnsi="Times New Roman"/>
          <w:i/>
          <w:sz w:val="24"/>
          <w:szCs w:val="24"/>
        </w:rPr>
        <w:t>85.612</w:t>
      </w:r>
      <w:r w:rsidRPr="00FC2AA5">
        <w:rPr>
          <w:rFonts w:ascii="Times New Roman" w:hAnsi="Times New Roman"/>
          <w:sz w:val="24"/>
          <w:szCs w:val="24"/>
        </w:rPr>
        <w:t xml:space="preserve"> </w:t>
      </w:r>
      <w:r>
        <w:rPr>
          <w:rFonts w:ascii="Times New Roman" w:hAnsi="Times New Roman"/>
          <w:sz w:val="24"/>
          <w:szCs w:val="24"/>
        </w:rPr>
        <w:t xml:space="preserve">REsp; (viii) em 2009, </w:t>
      </w:r>
      <w:r w:rsidRPr="00F22439">
        <w:rPr>
          <w:rFonts w:ascii="Times New Roman" w:hAnsi="Times New Roman"/>
          <w:i/>
          <w:sz w:val="24"/>
          <w:szCs w:val="24"/>
        </w:rPr>
        <w:t>75.600</w:t>
      </w:r>
      <w:r>
        <w:rPr>
          <w:rFonts w:ascii="Times New Roman" w:hAnsi="Times New Roman"/>
          <w:sz w:val="24"/>
          <w:szCs w:val="24"/>
        </w:rPr>
        <w:t xml:space="preserve"> REsp; (ix) em 2010, </w:t>
      </w:r>
      <w:r w:rsidRPr="00F22439">
        <w:rPr>
          <w:rFonts w:ascii="Times New Roman" w:hAnsi="Times New Roman"/>
          <w:i/>
          <w:sz w:val="24"/>
          <w:szCs w:val="24"/>
        </w:rPr>
        <w:t>54.596</w:t>
      </w:r>
      <w:r>
        <w:rPr>
          <w:rFonts w:ascii="Times New Roman" w:hAnsi="Times New Roman"/>
          <w:sz w:val="24"/>
          <w:szCs w:val="24"/>
        </w:rPr>
        <w:t xml:space="preserve"> REsp; (x) em 2011, </w:t>
      </w:r>
      <w:r w:rsidRPr="00F22439">
        <w:rPr>
          <w:rFonts w:ascii="Times New Roman" w:hAnsi="Times New Roman"/>
          <w:i/>
          <w:sz w:val="24"/>
          <w:szCs w:val="24"/>
        </w:rPr>
        <w:t>70.422</w:t>
      </w:r>
      <w:r>
        <w:rPr>
          <w:rFonts w:ascii="Times New Roman" w:hAnsi="Times New Roman"/>
          <w:sz w:val="24"/>
          <w:szCs w:val="24"/>
        </w:rPr>
        <w:t xml:space="preserve"> REsp; (xi) em 2012, </w:t>
      </w:r>
      <w:r w:rsidRPr="00F22439">
        <w:rPr>
          <w:rFonts w:ascii="Times New Roman" w:hAnsi="Times New Roman"/>
          <w:i/>
          <w:sz w:val="24"/>
          <w:szCs w:val="24"/>
        </w:rPr>
        <w:t>55.672</w:t>
      </w:r>
      <w:r>
        <w:rPr>
          <w:rFonts w:ascii="Times New Roman" w:hAnsi="Times New Roman"/>
          <w:sz w:val="24"/>
          <w:szCs w:val="24"/>
        </w:rPr>
        <w:t xml:space="preserve"> REsp; (xii) em 2013, </w:t>
      </w:r>
      <w:r w:rsidRPr="00F22439">
        <w:rPr>
          <w:rFonts w:ascii="Times New Roman" w:hAnsi="Times New Roman"/>
          <w:i/>
          <w:sz w:val="24"/>
          <w:szCs w:val="24"/>
        </w:rPr>
        <w:t>65.110</w:t>
      </w:r>
      <w:r>
        <w:rPr>
          <w:rFonts w:ascii="Times New Roman" w:hAnsi="Times New Roman"/>
          <w:sz w:val="24"/>
          <w:szCs w:val="24"/>
        </w:rPr>
        <w:t xml:space="preserve"> REsp; (xiii) em 2014, </w:t>
      </w:r>
      <w:r w:rsidRPr="00F22439">
        <w:rPr>
          <w:rFonts w:ascii="Times New Roman" w:hAnsi="Times New Roman"/>
          <w:i/>
          <w:sz w:val="24"/>
          <w:szCs w:val="24"/>
        </w:rPr>
        <w:t>71.714</w:t>
      </w:r>
      <w:r>
        <w:rPr>
          <w:rFonts w:ascii="Times New Roman" w:hAnsi="Times New Roman"/>
          <w:sz w:val="24"/>
          <w:szCs w:val="24"/>
        </w:rPr>
        <w:t xml:space="preserve"> REsp.</w:t>
      </w:r>
      <w:r>
        <w:rPr>
          <w:rStyle w:val="FootnoteReference"/>
          <w:rFonts w:ascii="Times New Roman" w:hAnsi="Times New Roman"/>
          <w:sz w:val="24"/>
          <w:szCs w:val="24"/>
        </w:rPr>
        <w:footnoteReference w:id="142"/>
      </w:r>
      <w:r>
        <w:rPr>
          <w:rFonts w:ascii="Times New Roman" w:hAnsi="Times New Roman"/>
          <w:sz w:val="24"/>
          <w:szCs w:val="24"/>
        </w:rPr>
        <w:t xml:space="preserve">  </w:t>
      </w:r>
    </w:p>
    <w:p w:rsidR="00D549BC" w:rsidRDefault="00D549BC" w:rsidP="002F35B1">
      <w:pPr>
        <w:spacing w:after="240"/>
        <w:contextualSpacing/>
        <w:rPr>
          <w:rFonts w:ascii="Times New Roman" w:hAnsi="Times New Roman"/>
          <w:sz w:val="24"/>
          <w:szCs w:val="24"/>
        </w:rPr>
      </w:pPr>
      <w:r>
        <w:rPr>
          <w:rFonts w:ascii="Times New Roman" w:hAnsi="Times New Roman"/>
          <w:sz w:val="24"/>
          <w:szCs w:val="24"/>
        </w:rPr>
        <w:t>Com o intuito de minimizar o crescente número de feitos no STJ, o legislador, à</w:t>
      </w:r>
      <w:r w:rsidRPr="00D2359C">
        <w:rPr>
          <w:rFonts w:ascii="Times New Roman" w:hAnsi="Times New Roman"/>
          <w:sz w:val="24"/>
          <w:szCs w:val="24"/>
        </w:rPr>
        <w:t xml:space="preserve"> </w:t>
      </w:r>
      <w:r>
        <w:rPr>
          <w:rFonts w:ascii="Times New Roman" w:hAnsi="Times New Roman"/>
          <w:sz w:val="24"/>
          <w:szCs w:val="24"/>
        </w:rPr>
        <w:t>semelhança do que ocorreu com o R</w:t>
      </w:r>
      <w:r w:rsidRPr="00D2359C">
        <w:rPr>
          <w:rFonts w:ascii="Times New Roman" w:hAnsi="Times New Roman"/>
          <w:sz w:val="24"/>
          <w:szCs w:val="24"/>
        </w:rPr>
        <w:t xml:space="preserve">ecurso </w:t>
      </w:r>
      <w:r>
        <w:rPr>
          <w:rFonts w:ascii="Times New Roman" w:hAnsi="Times New Roman"/>
          <w:sz w:val="24"/>
          <w:szCs w:val="24"/>
        </w:rPr>
        <w:t xml:space="preserve">Extraordinário (Lei nº 11.418/2006), editou a Lei nº 11.672, de 8 de maio de </w:t>
      </w:r>
      <w:r w:rsidRPr="00D2359C">
        <w:rPr>
          <w:rFonts w:ascii="Times New Roman" w:hAnsi="Times New Roman"/>
          <w:sz w:val="24"/>
          <w:szCs w:val="24"/>
        </w:rPr>
        <w:t>2008</w:t>
      </w:r>
      <w:r>
        <w:rPr>
          <w:rFonts w:ascii="Times New Roman" w:hAnsi="Times New Roman"/>
          <w:sz w:val="24"/>
          <w:szCs w:val="24"/>
        </w:rPr>
        <w:t>, que</w:t>
      </w:r>
      <w:r w:rsidRPr="00D2359C">
        <w:rPr>
          <w:rFonts w:ascii="Times New Roman" w:hAnsi="Times New Roman"/>
          <w:sz w:val="24"/>
          <w:szCs w:val="24"/>
        </w:rPr>
        <w:t xml:space="preserve"> </w:t>
      </w:r>
      <w:r>
        <w:rPr>
          <w:rFonts w:ascii="Times New Roman" w:hAnsi="Times New Roman"/>
          <w:sz w:val="24"/>
          <w:szCs w:val="24"/>
        </w:rPr>
        <w:t>prevê</w:t>
      </w:r>
      <w:r w:rsidRPr="00D2359C">
        <w:rPr>
          <w:rFonts w:ascii="Times New Roman" w:hAnsi="Times New Roman"/>
          <w:sz w:val="24"/>
          <w:szCs w:val="24"/>
        </w:rPr>
        <w:t xml:space="preserve"> mecan</w:t>
      </w:r>
      <w:r>
        <w:rPr>
          <w:rFonts w:ascii="Times New Roman" w:hAnsi="Times New Roman"/>
          <w:sz w:val="24"/>
          <w:szCs w:val="24"/>
        </w:rPr>
        <w:t>ismo para julgamento único dos Recursos E</w:t>
      </w:r>
      <w:r w:rsidRPr="00D2359C">
        <w:rPr>
          <w:rFonts w:ascii="Times New Roman" w:hAnsi="Times New Roman"/>
          <w:sz w:val="24"/>
          <w:szCs w:val="24"/>
        </w:rPr>
        <w:t>speciais que possam reproduzir-se em múltiplos feitos</w:t>
      </w:r>
      <w:r>
        <w:rPr>
          <w:rFonts w:ascii="Times New Roman" w:hAnsi="Times New Roman"/>
          <w:sz w:val="24"/>
          <w:szCs w:val="24"/>
        </w:rPr>
        <w:t xml:space="preserve"> com idêntica matéria. </w:t>
      </w:r>
    </w:p>
    <w:p w:rsidR="00D549BC" w:rsidRDefault="00D549BC" w:rsidP="002F35B1">
      <w:pPr>
        <w:spacing w:after="240"/>
        <w:contextualSpacing/>
        <w:rPr>
          <w:rFonts w:ascii="Times New Roman" w:hAnsi="Times New Roman"/>
          <w:sz w:val="24"/>
          <w:szCs w:val="24"/>
        </w:rPr>
      </w:pPr>
      <w:r>
        <w:rPr>
          <w:rFonts w:ascii="Times New Roman" w:hAnsi="Times New Roman"/>
          <w:sz w:val="24"/>
          <w:szCs w:val="24"/>
        </w:rPr>
        <w:t>Assim, n</w:t>
      </w:r>
      <w:r w:rsidRPr="009372B5">
        <w:rPr>
          <w:rFonts w:ascii="Times New Roman" w:hAnsi="Times New Roman"/>
          <w:sz w:val="24"/>
          <w:szCs w:val="24"/>
        </w:rPr>
        <w:t>os termos do art. 543-C do C</w:t>
      </w:r>
      <w:r>
        <w:rPr>
          <w:rFonts w:ascii="Times New Roman" w:hAnsi="Times New Roman"/>
          <w:sz w:val="24"/>
          <w:szCs w:val="24"/>
        </w:rPr>
        <w:t xml:space="preserve">ódigo de </w:t>
      </w:r>
      <w:r w:rsidRPr="009372B5">
        <w:rPr>
          <w:rFonts w:ascii="Times New Roman" w:hAnsi="Times New Roman"/>
          <w:sz w:val="24"/>
          <w:szCs w:val="24"/>
        </w:rPr>
        <w:t>P</w:t>
      </w:r>
      <w:r>
        <w:rPr>
          <w:rFonts w:ascii="Times New Roman" w:hAnsi="Times New Roman"/>
          <w:sz w:val="24"/>
          <w:szCs w:val="24"/>
        </w:rPr>
        <w:t xml:space="preserve">rocesso </w:t>
      </w:r>
      <w:r w:rsidRPr="009372B5">
        <w:rPr>
          <w:rFonts w:ascii="Times New Roman" w:hAnsi="Times New Roman"/>
          <w:sz w:val="24"/>
          <w:szCs w:val="24"/>
        </w:rPr>
        <w:t>C</w:t>
      </w:r>
      <w:r>
        <w:rPr>
          <w:rFonts w:ascii="Times New Roman" w:hAnsi="Times New Roman"/>
          <w:sz w:val="24"/>
          <w:szCs w:val="24"/>
        </w:rPr>
        <w:t>ivil</w:t>
      </w:r>
      <w:r w:rsidRPr="009372B5">
        <w:rPr>
          <w:rFonts w:ascii="Times New Roman" w:hAnsi="Times New Roman"/>
          <w:sz w:val="24"/>
          <w:szCs w:val="24"/>
        </w:rPr>
        <w:t xml:space="preserve">, o presidente do </w:t>
      </w:r>
      <w:r>
        <w:rPr>
          <w:rFonts w:ascii="Times New Roman" w:hAnsi="Times New Roman"/>
          <w:sz w:val="24"/>
          <w:szCs w:val="24"/>
        </w:rPr>
        <w:t>T</w:t>
      </w:r>
      <w:r w:rsidRPr="009372B5">
        <w:rPr>
          <w:rFonts w:ascii="Times New Roman" w:hAnsi="Times New Roman"/>
          <w:sz w:val="24"/>
          <w:szCs w:val="24"/>
        </w:rPr>
        <w:t xml:space="preserve">ribunal de origem admitirá um ou mais </w:t>
      </w:r>
      <w:r w:rsidRPr="009372B5">
        <w:rPr>
          <w:rFonts w:ascii="Times New Roman" w:hAnsi="Times New Roman"/>
          <w:i/>
          <w:sz w:val="24"/>
          <w:szCs w:val="24"/>
        </w:rPr>
        <w:t>recursos representativos</w:t>
      </w:r>
      <w:r w:rsidRPr="009372B5">
        <w:rPr>
          <w:rFonts w:ascii="Times New Roman" w:hAnsi="Times New Roman"/>
          <w:sz w:val="24"/>
          <w:szCs w:val="24"/>
        </w:rPr>
        <w:t xml:space="preserve"> da controvérsia e encaminhará apenas es</w:t>
      </w:r>
      <w:r>
        <w:rPr>
          <w:rFonts w:ascii="Times New Roman" w:hAnsi="Times New Roman"/>
          <w:sz w:val="24"/>
          <w:szCs w:val="24"/>
        </w:rPr>
        <w:t>tes ao STJ. Além disso, caso ess</w:t>
      </w:r>
      <w:r w:rsidRPr="009372B5">
        <w:rPr>
          <w:rFonts w:ascii="Times New Roman" w:hAnsi="Times New Roman"/>
          <w:sz w:val="24"/>
          <w:szCs w:val="24"/>
        </w:rPr>
        <w:t>a providência não seja tomada, “</w:t>
      </w:r>
      <w:r w:rsidRPr="003F0BE2">
        <w:rPr>
          <w:rFonts w:ascii="Times New Roman" w:hAnsi="Times New Roman"/>
          <w:i/>
          <w:sz w:val="24"/>
          <w:szCs w:val="24"/>
        </w:rPr>
        <w:t>o relator no Superior Tribunal de Justiça, ao identificar que sobre a controvérsia já existe jurisprudência dominante ou que a matéria já está afeta ao colegiado, poderá determinar a suspensão, nos Tribunais de segunda instância, dos recursos nos quais a controvérsia esteja estabelecida</w:t>
      </w:r>
      <w:r w:rsidRPr="009372B5">
        <w:rPr>
          <w:rFonts w:ascii="Times New Roman" w:hAnsi="Times New Roman"/>
          <w:sz w:val="24"/>
          <w:szCs w:val="24"/>
        </w:rPr>
        <w:t>” (§ 2º do art. 543-C do CPC)</w:t>
      </w:r>
      <w:r>
        <w:rPr>
          <w:rFonts w:ascii="Times New Roman" w:hAnsi="Times New Roman"/>
          <w:sz w:val="24"/>
          <w:szCs w:val="24"/>
        </w:rPr>
        <w:t>.</w:t>
      </w:r>
      <w:r>
        <w:rPr>
          <w:rStyle w:val="FootnoteReference"/>
          <w:rFonts w:ascii="Times New Roman" w:hAnsi="Times New Roman"/>
          <w:sz w:val="24"/>
          <w:szCs w:val="24"/>
        </w:rPr>
        <w:footnoteReference w:id="143"/>
      </w:r>
    </w:p>
    <w:p w:rsidR="00D549BC" w:rsidRDefault="00D549BC" w:rsidP="009816CA">
      <w:pPr>
        <w:spacing w:after="240"/>
        <w:contextualSpacing/>
        <w:rPr>
          <w:rFonts w:ascii="Times New Roman" w:hAnsi="Times New Roman"/>
          <w:sz w:val="24"/>
          <w:szCs w:val="24"/>
        </w:rPr>
      </w:pPr>
      <w:r>
        <w:rPr>
          <w:rFonts w:ascii="Times New Roman" w:hAnsi="Times New Roman"/>
          <w:sz w:val="24"/>
          <w:szCs w:val="24"/>
        </w:rPr>
        <w:t xml:space="preserve">A </w:t>
      </w:r>
      <w:r w:rsidRPr="00845FBC">
        <w:rPr>
          <w:rFonts w:ascii="Times New Roman" w:hAnsi="Times New Roman"/>
          <w:sz w:val="24"/>
          <w:szCs w:val="24"/>
        </w:rPr>
        <w:t>primeira vez</w:t>
      </w:r>
      <w:r>
        <w:rPr>
          <w:rFonts w:ascii="Times New Roman" w:hAnsi="Times New Roman"/>
          <w:sz w:val="24"/>
          <w:szCs w:val="24"/>
        </w:rPr>
        <w:t xml:space="preserve"> que o STJ fez uso</w:t>
      </w:r>
      <w:r w:rsidRPr="00845FBC">
        <w:rPr>
          <w:rFonts w:ascii="Times New Roman" w:hAnsi="Times New Roman"/>
          <w:sz w:val="24"/>
          <w:szCs w:val="24"/>
        </w:rPr>
        <w:t xml:space="preserve"> deste </w:t>
      </w:r>
      <w:r>
        <w:rPr>
          <w:rFonts w:ascii="Times New Roman" w:hAnsi="Times New Roman"/>
          <w:sz w:val="24"/>
          <w:szCs w:val="24"/>
        </w:rPr>
        <w:t xml:space="preserve">novo </w:t>
      </w:r>
      <w:r w:rsidRPr="00845FBC">
        <w:rPr>
          <w:rFonts w:ascii="Times New Roman" w:hAnsi="Times New Roman"/>
          <w:sz w:val="24"/>
          <w:szCs w:val="24"/>
        </w:rPr>
        <w:t>instrumento</w:t>
      </w:r>
      <w:r>
        <w:rPr>
          <w:rFonts w:ascii="Times New Roman" w:hAnsi="Times New Roman"/>
          <w:sz w:val="24"/>
          <w:szCs w:val="24"/>
        </w:rPr>
        <w:t xml:space="preserve"> processual foi em </w:t>
      </w:r>
      <w:r w:rsidRPr="00886E63">
        <w:rPr>
          <w:rFonts w:ascii="Times New Roman" w:hAnsi="Times New Roman"/>
          <w:sz w:val="24"/>
          <w:szCs w:val="24"/>
        </w:rPr>
        <w:t>10 de setembro de 2008, no</w:t>
      </w:r>
      <w:r>
        <w:rPr>
          <w:rFonts w:ascii="Times New Roman" w:hAnsi="Times New Roman"/>
          <w:sz w:val="24"/>
          <w:szCs w:val="24"/>
        </w:rPr>
        <w:t xml:space="preserve"> julgamento do</w:t>
      </w:r>
      <w:r w:rsidRPr="00886E63">
        <w:rPr>
          <w:rFonts w:ascii="Times New Roman" w:hAnsi="Times New Roman"/>
          <w:sz w:val="24"/>
          <w:szCs w:val="24"/>
        </w:rPr>
        <w:t xml:space="preserve"> REsp 982.133</w:t>
      </w:r>
      <w:r>
        <w:rPr>
          <w:rFonts w:ascii="Times New Roman" w:hAnsi="Times New Roman"/>
          <w:sz w:val="24"/>
          <w:szCs w:val="24"/>
        </w:rPr>
        <w:t>/RS, de</w:t>
      </w:r>
      <w:r w:rsidRPr="00886E63">
        <w:rPr>
          <w:rFonts w:ascii="Times New Roman" w:hAnsi="Times New Roman"/>
          <w:sz w:val="24"/>
          <w:szCs w:val="24"/>
        </w:rPr>
        <w:t xml:space="preserve"> relatoria do </w:t>
      </w:r>
      <w:r>
        <w:rPr>
          <w:rFonts w:ascii="Times New Roman" w:hAnsi="Times New Roman"/>
          <w:sz w:val="24"/>
          <w:szCs w:val="24"/>
        </w:rPr>
        <w:t>M</w:t>
      </w:r>
      <w:r w:rsidRPr="00886E63">
        <w:rPr>
          <w:rFonts w:ascii="Times New Roman" w:hAnsi="Times New Roman"/>
          <w:sz w:val="24"/>
          <w:szCs w:val="24"/>
        </w:rPr>
        <w:t xml:space="preserve">inistro Aldir Passarinho Júnior, quando </w:t>
      </w:r>
      <w:r>
        <w:rPr>
          <w:rFonts w:ascii="Times New Roman" w:hAnsi="Times New Roman"/>
          <w:sz w:val="24"/>
          <w:szCs w:val="24"/>
        </w:rPr>
        <w:t xml:space="preserve">se </w:t>
      </w:r>
      <w:r w:rsidRPr="00886E63">
        <w:rPr>
          <w:rFonts w:ascii="Times New Roman" w:hAnsi="Times New Roman"/>
          <w:sz w:val="24"/>
          <w:szCs w:val="24"/>
        </w:rPr>
        <w:t>determinou a suspensão dos processos na ori</w:t>
      </w:r>
      <w:r>
        <w:rPr>
          <w:rFonts w:ascii="Times New Roman" w:hAnsi="Times New Roman"/>
          <w:sz w:val="24"/>
          <w:szCs w:val="24"/>
        </w:rPr>
        <w:t>gem que versasse</w:t>
      </w:r>
      <w:r w:rsidRPr="00886E63">
        <w:rPr>
          <w:rFonts w:ascii="Times New Roman" w:hAnsi="Times New Roman"/>
          <w:sz w:val="24"/>
          <w:szCs w:val="24"/>
        </w:rPr>
        <w:t>m sobre a possibilidade de empresa telefônica cobrar pelo fornecimento de certidões sobre dados constantes de livros societários</w:t>
      </w:r>
      <w:r>
        <w:rPr>
          <w:rFonts w:ascii="Times New Roman" w:hAnsi="Times New Roman"/>
          <w:sz w:val="24"/>
          <w:szCs w:val="24"/>
        </w:rPr>
        <w:t>.</w:t>
      </w:r>
      <w:r>
        <w:rPr>
          <w:rStyle w:val="FootnoteReference"/>
          <w:rFonts w:ascii="Times New Roman" w:hAnsi="Times New Roman"/>
          <w:sz w:val="24"/>
          <w:szCs w:val="24"/>
        </w:rPr>
        <w:footnoteReference w:id="144"/>
      </w:r>
      <w:r>
        <w:rPr>
          <w:rFonts w:ascii="Times New Roman" w:hAnsi="Times New Roman"/>
          <w:sz w:val="24"/>
          <w:szCs w:val="24"/>
        </w:rPr>
        <w:t xml:space="preserve"> </w:t>
      </w:r>
    </w:p>
    <w:p w:rsidR="00D549BC" w:rsidRDefault="00D549BC" w:rsidP="009816CA">
      <w:pPr>
        <w:spacing w:after="240"/>
        <w:contextualSpacing/>
        <w:rPr>
          <w:rFonts w:ascii="Times New Roman" w:hAnsi="Times New Roman"/>
          <w:sz w:val="24"/>
          <w:szCs w:val="24"/>
        </w:rPr>
      </w:pPr>
      <w:r>
        <w:rPr>
          <w:rFonts w:ascii="Times New Roman" w:hAnsi="Times New Roman"/>
          <w:sz w:val="24"/>
          <w:szCs w:val="24"/>
        </w:rPr>
        <w:t>Ademais</w:t>
      </w:r>
      <w:r w:rsidRPr="007134C4">
        <w:rPr>
          <w:rFonts w:ascii="Times New Roman" w:hAnsi="Times New Roman"/>
          <w:sz w:val="24"/>
          <w:szCs w:val="24"/>
        </w:rPr>
        <w:t xml:space="preserve">, o § 4º do </w:t>
      </w:r>
      <w:r>
        <w:rPr>
          <w:rFonts w:ascii="Times New Roman" w:hAnsi="Times New Roman"/>
          <w:sz w:val="24"/>
          <w:szCs w:val="24"/>
        </w:rPr>
        <w:t>art. 543-C do CPC</w:t>
      </w:r>
      <w:r w:rsidRPr="007134C4">
        <w:rPr>
          <w:rFonts w:ascii="Times New Roman" w:hAnsi="Times New Roman"/>
          <w:sz w:val="24"/>
          <w:szCs w:val="24"/>
        </w:rPr>
        <w:t xml:space="preserve"> abre a possibilidade de, considerando a relevância da matéria, o relator poder “</w:t>
      </w:r>
      <w:r w:rsidRPr="007134C4">
        <w:rPr>
          <w:rFonts w:ascii="Times New Roman" w:hAnsi="Times New Roman"/>
          <w:i/>
          <w:sz w:val="24"/>
          <w:szCs w:val="24"/>
        </w:rPr>
        <w:t>admitir manifestação de pessoas, órgãos ou entidades com interesse na controvérsia</w:t>
      </w:r>
      <w:r w:rsidRPr="007134C4">
        <w:rPr>
          <w:rFonts w:ascii="Times New Roman" w:hAnsi="Times New Roman"/>
          <w:sz w:val="24"/>
          <w:szCs w:val="24"/>
        </w:rPr>
        <w:t>”</w:t>
      </w:r>
      <w:r>
        <w:rPr>
          <w:rFonts w:ascii="Times New Roman" w:hAnsi="Times New Roman"/>
          <w:sz w:val="24"/>
          <w:szCs w:val="24"/>
        </w:rPr>
        <w:t xml:space="preserve">. </w:t>
      </w:r>
    </w:p>
    <w:p w:rsidR="00D549BC" w:rsidRDefault="00D549BC" w:rsidP="009816CA">
      <w:pPr>
        <w:spacing w:after="240"/>
        <w:contextualSpacing/>
        <w:rPr>
          <w:rFonts w:ascii="Times New Roman" w:hAnsi="Times New Roman"/>
          <w:sz w:val="24"/>
          <w:szCs w:val="24"/>
        </w:rPr>
      </w:pPr>
      <w:r>
        <w:rPr>
          <w:rFonts w:ascii="Times New Roman" w:hAnsi="Times New Roman"/>
          <w:sz w:val="24"/>
          <w:szCs w:val="24"/>
        </w:rPr>
        <w:t>Segundo GILMAR MENDES; PAULO GUSTAVO BRANCO: “e</w:t>
      </w:r>
      <w:r w:rsidRPr="0007645D">
        <w:rPr>
          <w:rFonts w:ascii="Times New Roman" w:hAnsi="Times New Roman"/>
          <w:sz w:val="24"/>
          <w:szCs w:val="24"/>
        </w:rPr>
        <w:t>stes mecanismos buscam prestar uma jurisdição mais célere e é uma das soluções propostas para minimizar a crise do recurso especial instaurada</w:t>
      </w:r>
      <w:r>
        <w:rPr>
          <w:rFonts w:ascii="Times New Roman" w:hAnsi="Times New Roman"/>
          <w:sz w:val="24"/>
          <w:szCs w:val="24"/>
        </w:rPr>
        <w:t>”.</w:t>
      </w:r>
      <w:r>
        <w:rPr>
          <w:rStyle w:val="FootnoteReference"/>
          <w:rFonts w:ascii="Times New Roman" w:hAnsi="Times New Roman"/>
          <w:sz w:val="24"/>
          <w:szCs w:val="24"/>
        </w:rPr>
        <w:footnoteReference w:id="145"/>
      </w:r>
      <w:r>
        <w:rPr>
          <w:rFonts w:ascii="Times New Roman" w:hAnsi="Times New Roman"/>
          <w:sz w:val="24"/>
          <w:szCs w:val="24"/>
        </w:rPr>
        <w:t xml:space="preserve"> </w:t>
      </w:r>
    </w:p>
    <w:p w:rsidR="00D549BC" w:rsidRDefault="00D549BC" w:rsidP="00075FD0">
      <w:pPr>
        <w:spacing w:after="240"/>
        <w:contextualSpacing/>
        <w:rPr>
          <w:rFonts w:ascii="Times New Roman" w:hAnsi="Times New Roman"/>
          <w:sz w:val="24"/>
          <w:szCs w:val="24"/>
        </w:rPr>
      </w:pPr>
      <w:r>
        <w:rPr>
          <w:rFonts w:ascii="Times New Roman" w:hAnsi="Times New Roman"/>
          <w:sz w:val="24"/>
          <w:szCs w:val="24"/>
        </w:rPr>
        <w:t>Podemos constatar, portanto, que, se até 1988 tínhamos apenas uma Corte em crise, com o advento da nova Constituição e consequente divisão da competência recursal entre Supremo Tribunal Federal (Recurso Extraordinário) e Superior Tribunal de Justiça (Recurso Especial), atualmente, temos duas. Por outro lado, não podemos deixar de mencionar que, pela análise das estatísticas acima destacadas, referentes ao Recurso Especial, houve diminuição na distribuição desse recurso excepcional, principalmente após o advento da Lei 11.672 de 2008, que trouxe à tona a mecânica de julgamento dos chamados “recursos especiais repetitivos”. Inclusive o próprio STJ editou a Resolução nº 8, de 7 de agosto de 2008, a qual estabelece os procedimentos para o processamento e julgamento dos recursos repetitivos.</w:t>
      </w:r>
    </w:p>
    <w:p w:rsidR="00D549BC" w:rsidRDefault="00D549BC" w:rsidP="00075FD0">
      <w:pPr>
        <w:spacing w:after="240"/>
        <w:contextualSpacing/>
        <w:rPr>
          <w:rFonts w:ascii="Times New Roman" w:hAnsi="Times New Roman"/>
          <w:sz w:val="24"/>
          <w:szCs w:val="24"/>
        </w:rPr>
      </w:pPr>
      <w:r>
        <w:rPr>
          <w:rFonts w:ascii="Times New Roman" w:hAnsi="Times New Roman"/>
          <w:sz w:val="24"/>
          <w:szCs w:val="24"/>
        </w:rPr>
        <w:t xml:space="preserve">O foco do nosso trabalho continua a ser o Recurso Extraordinário, assim, feitas as devidas observações sobre o Superior Tribunal de Justiça e o Recurso Especial – as quais acreditamos terem sido pertinentes para uma melhor compreensão do objeto de dissertação –, é necessário voltarmos nossa atenção para o problema de funcionalidade no Supremo Tribunal Federal, agora, no período pós Constituição de 1988. </w:t>
      </w:r>
    </w:p>
    <w:p w:rsidR="00D549BC" w:rsidRDefault="00D549BC" w:rsidP="00E60226">
      <w:pPr>
        <w:spacing w:after="240"/>
        <w:ind w:firstLine="851"/>
        <w:contextualSpacing/>
        <w:rPr>
          <w:rFonts w:ascii="Times New Roman" w:hAnsi="Times New Roman"/>
          <w:sz w:val="24"/>
          <w:szCs w:val="24"/>
        </w:rPr>
      </w:pPr>
      <w:r>
        <w:rPr>
          <w:rFonts w:ascii="Times New Roman" w:hAnsi="Times New Roman"/>
          <w:sz w:val="24"/>
          <w:szCs w:val="24"/>
        </w:rPr>
        <w:t xml:space="preserve"> </w:t>
      </w:r>
    </w:p>
    <w:p w:rsidR="00D549BC" w:rsidRPr="00BB4B50" w:rsidRDefault="00D549BC" w:rsidP="00043475">
      <w:pPr>
        <w:spacing w:after="240"/>
        <w:ind w:firstLine="0"/>
        <w:contextualSpacing/>
        <w:rPr>
          <w:rFonts w:ascii="Times New Roman" w:hAnsi="Times New Roman"/>
          <w:sz w:val="24"/>
          <w:szCs w:val="24"/>
        </w:rPr>
      </w:pPr>
      <w:r w:rsidRPr="00BB4B50">
        <w:rPr>
          <w:rFonts w:ascii="Times New Roman" w:hAnsi="Times New Roman"/>
          <w:sz w:val="24"/>
          <w:szCs w:val="24"/>
        </w:rPr>
        <w:t>3.3 A CRISE NUMÉRICA NO STF E A EMENDA CONSTITUCIONAL Nº 45 DE 2004: REPERCUSSÃO GERAL E SÚMULA VINCULANTE</w:t>
      </w:r>
    </w:p>
    <w:p w:rsidR="00D549BC" w:rsidRDefault="00D549BC" w:rsidP="00E60226">
      <w:pPr>
        <w:spacing w:after="240"/>
        <w:ind w:firstLine="851"/>
        <w:contextualSpacing/>
        <w:rPr>
          <w:rFonts w:ascii="Times New Roman" w:hAnsi="Times New Roman"/>
          <w:sz w:val="24"/>
          <w:szCs w:val="24"/>
        </w:rPr>
      </w:pPr>
      <w:r>
        <w:rPr>
          <w:rFonts w:ascii="Times New Roman" w:hAnsi="Times New Roman"/>
          <w:sz w:val="24"/>
          <w:szCs w:val="24"/>
        </w:rPr>
        <w:t xml:space="preserve"> </w:t>
      </w:r>
    </w:p>
    <w:p w:rsidR="00D549BC" w:rsidRDefault="00D549BC" w:rsidP="00BB4B50">
      <w:pPr>
        <w:spacing w:after="240"/>
        <w:contextualSpacing/>
        <w:rPr>
          <w:rFonts w:ascii="Times New Roman" w:hAnsi="Times New Roman"/>
          <w:sz w:val="24"/>
          <w:szCs w:val="24"/>
        </w:rPr>
      </w:pPr>
      <w:r>
        <w:rPr>
          <w:rFonts w:ascii="Times New Roman" w:hAnsi="Times New Roman"/>
          <w:sz w:val="24"/>
          <w:szCs w:val="24"/>
        </w:rPr>
        <w:t xml:space="preserve">Não é nenhuma novidade o fato de que a criação do Superior Tribunal de Justiça em nada – ou quase nada – contribuiu para a crise numérica enfrentada pelo Supremo Tribunal Federal desde a década de 30. Em verdade, o que se viu foi justamente o oposto, isto é, um aumento descomunal de processos que crescia ano após ano, tanto no Excelso Pretório quanto na Corte Superior. </w:t>
      </w:r>
    </w:p>
    <w:p w:rsidR="00D549BC" w:rsidRDefault="00D549BC" w:rsidP="001A109F">
      <w:pPr>
        <w:spacing w:after="240"/>
        <w:contextualSpacing/>
        <w:rPr>
          <w:rFonts w:ascii="Times New Roman" w:hAnsi="Times New Roman"/>
          <w:sz w:val="24"/>
          <w:szCs w:val="24"/>
        </w:rPr>
      </w:pPr>
      <w:r>
        <w:rPr>
          <w:rFonts w:ascii="Times New Roman" w:hAnsi="Times New Roman"/>
          <w:sz w:val="24"/>
          <w:szCs w:val="24"/>
        </w:rPr>
        <w:t>Com relação ao STJ vimos, em linhas pretéritas, que esses números aumentavam assustadoramente, chegando a atingir o patamar de 126.473 Recursos Especiais distribuídos no ano de 2003. Isso dá uma média de 3.832 Recursos Especiais para cada Ministro da Corte (fora as outras classes processuais) – o que não é nada bom para o ordenamento jurídico como um todo, pois essa crise numérica repercute tanto na qualidade dos julgados, como também na demora da devida prestação jurisdicional.</w:t>
      </w:r>
    </w:p>
    <w:p w:rsidR="00D549BC" w:rsidRDefault="00D549BC" w:rsidP="001A109F">
      <w:pPr>
        <w:spacing w:after="240"/>
        <w:contextualSpacing/>
        <w:rPr>
          <w:rFonts w:ascii="Times New Roman" w:hAnsi="Times New Roman"/>
          <w:sz w:val="24"/>
          <w:szCs w:val="24"/>
        </w:rPr>
      </w:pPr>
      <w:r>
        <w:rPr>
          <w:rFonts w:ascii="Times New Roman" w:hAnsi="Times New Roman"/>
          <w:sz w:val="24"/>
          <w:szCs w:val="24"/>
        </w:rPr>
        <w:t>Já o Supremo Tribunal Federal, com a redemocratização do país e o advento de uma nova Carta Política, ganhou inédito e importante papel político no jogo democrático, nunca antes experimentado em toda sua história. Todavia, o problema referente ao excesso de demandas continuou assombrando o Tribunal mesmo após 1988. Isso até era esperado, visto que o novo texto constitucional propiciava essa abertura e acesso ao STF, sem tantas restrições, principalmente no que dizia respeito ao controle de constitucionalidade concentrado.</w:t>
      </w:r>
      <w:r>
        <w:rPr>
          <w:rStyle w:val="FootnoteReference"/>
          <w:rFonts w:ascii="Times New Roman" w:hAnsi="Times New Roman"/>
          <w:sz w:val="24"/>
          <w:szCs w:val="24"/>
        </w:rPr>
        <w:footnoteReference w:id="146"/>
      </w:r>
      <w:r>
        <w:rPr>
          <w:rFonts w:ascii="Times New Roman" w:hAnsi="Times New Roman"/>
          <w:sz w:val="24"/>
          <w:szCs w:val="24"/>
        </w:rPr>
        <w:t xml:space="preserve"> Todavia, o problema maior é que, com o passar dos anos, o Supremo foi se tornando, cada vez mais, uma </w:t>
      </w:r>
      <w:r w:rsidRPr="0040132A">
        <w:rPr>
          <w:rFonts w:ascii="Times New Roman" w:hAnsi="Times New Roman"/>
          <w:i/>
          <w:sz w:val="24"/>
          <w:szCs w:val="24"/>
        </w:rPr>
        <w:t>Corte Recursal</w:t>
      </w:r>
      <w:r>
        <w:rPr>
          <w:rFonts w:ascii="Times New Roman" w:hAnsi="Times New Roman"/>
          <w:sz w:val="24"/>
          <w:szCs w:val="24"/>
        </w:rPr>
        <w:t xml:space="preserve"> em vez de uma verdadeira </w:t>
      </w:r>
      <w:r w:rsidRPr="0040132A">
        <w:rPr>
          <w:rFonts w:ascii="Times New Roman" w:hAnsi="Times New Roman"/>
          <w:i/>
          <w:sz w:val="24"/>
          <w:szCs w:val="24"/>
        </w:rPr>
        <w:t>Corte Constitucional</w:t>
      </w:r>
      <w:r>
        <w:rPr>
          <w:rFonts w:ascii="Times New Roman" w:hAnsi="Times New Roman"/>
          <w:sz w:val="24"/>
          <w:szCs w:val="24"/>
        </w:rPr>
        <w:t xml:space="preserve">, tal qual almejara o constituinte originário em 1988. </w:t>
      </w:r>
    </w:p>
    <w:p w:rsidR="00D549BC" w:rsidRDefault="00D549BC" w:rsidP="00E60226">
      <w:pPr>
        <w:spacing w:after="240"/>
        <w:ind w:firstLine="851"/>
        <w:contextualSpacing/>
        <w:rPr>
          <w:rFonts w:ascii="Times New Roman" w:hAnsi="Times New Roman"/>
          <w:sz w:val="24"/>
          <w:szCs w:val="24"/>
        </w:rPr>
      </w:pPr>
      <w:r>
        <w:rPr>
          <w:rFonts w:ascii="Times New Roman" w:hAnsi="Times New Roman"/>
          <w:sz w:val="24"/>
          <w:szCs w:val="24"/>
        </w:rPr>
        <w:t>Veremos adiante e mais detalhadamente essa dicotomia do Supremo Tribunal Federal.</w:t>
      </w:r>
    </w:p>
    <w:p w:rsidR="00D549BC" w:rsidRDefault="00D549BC" w:rsidP="00E60226">
      <w:pPr>
        <w:spacing w:after="240"/>
        <w:ind w:firstLine="851"/>
        <w:contextualSpacing/>
        <w:rPr>
          <w:rFonts w:ascii="Times New Roman" w:hAnsi="Times New Roman"/>
          <w:sz w:val="24"/>
          <w:szCs w:val="24"/>
        </w:rPr>
      </w:pPr>
    </w:p>
    <w:p w:rsidR="00D549BC" w:rsidRPr="009A39A8" w:rsidRDefault="00D549BC" w:rsidP="00DC689B">
      <w:pPr>
        <w:spacing w:after="240"/>
        <w:ind w:firstLine="0"/>
        <w:contextualSpacing/>
        <w:rPr>
          <w:rFonts w:ascii="Times New Roman" w:hAnsi="Times New Roman"/>
          <w:b/>
          <w:sz w:val="24"/>
          <w:lang w:eastAsia="pt-BR"/>
        </w:rPr>
      </w:pPr>
      <w:r w:rsidRPr="009A39A8">
        <w:rPr>
          <w:rFonts w:ascii="Times New Roman" w:hAnsi="Times New Roman"/>
          <w:b/>
          <w:sz w:val="24"/>
          <w:szCs w:val="24"/>
        </w:rPr>
        <w:t xml:space="preserve">3.3.1 </w:t>
      </w:r>
      <w:r w:rsidRPr="009A39A8">
        <w:rPr>
          <w:rFonts w:ascii="Times New Roman" w:hAnsi="Times New Roman"/>
          <w:b/>
          <w:sz w:val="24"/>
          <w:lang w:eastAsia="pt-BR"/>
        </w:rPr>
        <w:t>O múltiplo Supremo: Corte Recursal, Corte Constitucional e Corte Ordinária</w:t>
      </w:r>
    </w:p>
    <w:p w:rsidR="00D549BC" w:rsidRDefault="00D549BC" w:rsidP="00DC689B">
      <w:pPr>
        <w:spacing w:after="240"/>
        <w:ind w:firstLine="0"/>
        <w:contextualSpacing/>
        <w:rPr>
          <w:rFonts w:ascii="Times New Roman" w:hAnsi="Times New Roman"/>
          <w:sz w:val="24"/>
          <w:lang w:eastAsia="pt-BR"/>
        </w:rPr>
      </w:pPr>
    </w:p>
    <w:p w:rsidR="00D549BC" w:rsidRDefault="00D549BC" w:rsidP="000039AB">
      <w:pPr>
        <w:spacing w:after="240"/>
        <w:contextualSpacing/>
        <w:rPr>
          <w:rFonts w:ascii="Times New Roman" w:hAnsi="Times New Roman"/>
          <w:sz w:val="24"/>
          <w:lang w:eastAsia="pt-BR"/>
        </w:rPr>
      </w:pPr>
      <w:r>
        <w:rPr>
          <w:rFonts w:ascii="Times New Roman" w:hAnsi="Times New Roman"/>
          <w:sz w:val="24"/>
          <w:lang w:eastAsia="pt-BR"/>
        </w:rPr>
        <w:t xml:space="preserve">Faremos, nesse ponto, uma análise quantitativa, com base nos dados publicados pelo I Relatório do Projeto Supremo em Números, organizado pela Fundação Getúlio Vargas Direito Rio, a fim de demonstrar como se comportou o Supremo Tribunal Federal a partir de 1988. Antes, contudo, de analisarmos os dados numéricos fornecidos pelo citado relatório, necessário se faz trazer algumas informações sobre o Projeto Supremo em Números da FGV Direito Rio. </w:t>
      </w:r>
    </w:p>
    <w:p w:rsidR="00D549BC" w:rsidRDefault="00D549BC" w:rsidP="000039AB">
      <w:pPr>
        <w:spacing w:after="240"/>
        <w:contextualSpacing/>
        <w:rPr>
          <w:rFonts w:ascii="Times New Roman" w:hAnsi="Times New Roman"/>
          <w:sz w:val="24"/>
          <w:lang w:eastAsia="pt-BR"/>
        </w:rPr>
      </w:pPr>
      <w:r>
        <w:rPr>
          <w:rFonts w:ascii="Times New Roman" w:hAnsi="Times New Roman"/>
          <w:sz w:val="24"/>
          <w:lang w:eastAsia="pt-BR"/>
        </w:rPr>
        <w:t>Primeiramente, a escolha de usarmos o projeto “Supremo em Números” se deu em virtude do ineditismo desse tipo de estudo no Brasil e a importância dos resultados por ele produzidos. Mostra-se, portanto, útil para a pesquisa acadêmica que objetiva melhor compreender o funcionamento do órgão de cúpula do Poder Judiciário.</w:t>
      </w:r>
    </w:p>
    <w:p w:rsidR="00D549BC" w:rsidRDefault="00D549BC" w:rsidP="000039AB">
      <w:pPr>
        <w:spacing w:after="240"/>
        <w:contextualSpacing/>
        <w:rPr>
          <w:rFonts w:ascii="Times New Roman" w:hAnsi="Times New Roman"/>
          <w:sz w:val="24"/>
          <w:lang w:eastAsia="pt-BR"/>
        </w:rPr>
      </w:pPr>
      <w:r>
        <w:rPr>
          <w:rFonts w:ascii="Times New Roman" w:hAnsi="Times New Roman"/>
          <w:sz w:val="24"/>
          <w:lang w:eastAsia="pt-BR"/>
        </w:rPr>
        <w:t xml:space="preserve">Em segundo lugar, ressalte-se o fato de o Projeto ser desenvolvido pela Escola de Direito do Rio de Janeiro, com o apoio da </w:t>
      </w:r>
      <w:r w:rsidRPr="00475953">
        <w:rPr>
          <w:rFonts w:ascii="Times New Roman" w:hAnsi="Times New Roman"/>
          <w:sz w:val="24"/>
          <w:lang w:eastAsia="pt-BR"/>
        </w:rPr>
        <w:t>Escola de Matemática Aplicada</w:t>
      </w:r>
      <w:r>
        <w:rPr>
          <w:rFonts w:ascii="Times New Roman" w:hAnsi="Times New Roman"/>
          <w:sz w:val="24"/>
          <w:lang w:eastAsia="pt-BR"/>
        </w:rPr>
        <w:t xml:space="preserve">, ambas pertencentes à FGV, objetivando </w:t>
      </w:r>
      <w:r w:rsidRPr="00791D47">
        <w:rPr>
          <w:rFonts w:ascii="Times New Roman" w:hAnsi="Times New Roman"/>
          <w:sz w:val="24"/>
          <w:lang w:eastAsia="pt-BR"/>
        </w:rPr>
        <w:t>realizar</w:t>
      </w:r>
      <w:r>
        <w:rPr>
          <w:rFonts w:ascii="Times New Roman" w:hAnsi="Times New Roman"/>
          <w:sz w:val="24"/>
          <w:lang w:eastAsia="pt-BR"/>
        </w:rPr>
        <w:t xml:space="preserve"> </w:t>
      </w:r>
      <w:r w:rsidRPr="00791D47">
        <w:rPr>
          <w:rFonts w:ascii="Times New Roman" w:hAnsi="Times New Roman"/>
          <w:sz w:val="24"/>
          <w:lang w:eastAsia="pt-BR"/>
        </w:rPr>
        <w:t>análises quantitativas, de massa, sobre o comportamento do STF.</w:t>
      </w:r>
      <w:r>
        <w:rPr>
          <w:rFonts w:ascii="Times New Roman" w:hAnsi="Times New Roman"/>
          <w:sz w:val="24"/>
          <w:lang w:eastAsia="pt-BR"/>
        </w:rPr>
        <w:t xml:space="preserve"> Ademais, outro </w:t>
      </w:r>
      <w:r w:rsidRPr="00791D47">
        <w:rPr>
          <w:rFonts w:ascii="Times New Roman" w:hAnsi="Times New Roman"/>
          <w:sz w:val="24"/>
          <w:lang w:eastAsia="pt-BR"/>
        </w:rPr>
        <w:t xml:space="preserve">objetivo do </w:t>
      </w:r>
      <w:r>
        <w:rPr>
          <w:rFonts w:ascii="Times New Roman" w:hAnsi="Times New Roman"/>
          <w:sz w:val="24"/>
          <w:lang w:eastAsia="pt-BR"/>
        </w:rPr>
        <w:t>“</w:t>
      </w:r>
      <w:r w:rsidRPr="00791D47">
        <w:rPr>
          <w:rFonts w:ascii="Times New Roman" w:hAnsi="Times New Roman"/>
          <w:sz w:val="24"/>
          <w:lang w:eastAsia="pt-BR"/>
        </w:rPr>
        <w:t>Supremo em Números</w:t>
      </w:r>
      <w:r>
        <w:rPr>
          <w:rFonts w:ascii="Times New Roman" w:hAnsi="Times New Roman"/>
          <w:sz w:val="24"/>
          <w:lang w:eastAsia="pt-BR"/>
        </w:rPr>
        <w:t xml:space="preserve">” </w:t>
      </w:r>
      <w:r w:rsidRPr="00791D47">
        <w:rPr>
          <w:rFonts w:ascii="Times New Roman" w:hAnsi="Times New Roman"/>
          <w:sz w:val="24"/>
          <w:lang w:eastAsia="pt-BR"/>
        </w:rPr>
        <w:t>é fundamentar quantitativa e</w:t>
      </w:r>
      <w:r>
        <w:rPr>
          <w:rFonts w:ascii="Times New Roman" w:hAnsi="Times New Roman"/>
          <w:sz w:val="24"/>
          <w:lang w:eastAsia="pt-BR"/>
        </w:rPr>
        <w:t xml:space="preserve"> </w:t>
      </w:r>
      <w:r w:rsidRPr="00791D47">
        <w:rPr>
          <w:rFonts w:ascii="Times New Roman" w:hAnsi="Times New Roman"/>
          <w:sz w:val="24"/>
          <w:lang w:eastAsia="pt-BR"/>
        </w:rPr>
        <w:t>estatisticamente discussões sobre a natureza, a função e o impacto da</w:t>
      </w:r>
      <w:r>
        <w:rPr>
          <w:rFonts w:ascii="Times New Roman" w:hAnsi="Times New Roman"/>
          <w:sz w:val="24"/>
          <w:lang w:eastAsia="pt-BR"/>
        </w:rPr>
        <w:t xml:space="preserve"> </w:t>
      </w:r>
      <w:r w:rsidRPr="00791D47">
        <w:rPr>
          <w:rFonts w:ascii="Times New Roman" w:hAnsi="Times New Roman"/>
          <w:sz w:val="24"/>
          <w:lang w:eastAsia="pt-BR"/>
        </w:rPr>
        <w:t>atuação do STF na democracia brasileira</w:t>
      </w:r>
      <w:r>
        <w:rPr>
          <w:rFonts w:ascii="Times New Roman" w:hAnsi="Times New Roman"/>
          <w:sz w:val="24"/>
          <w:lang w:eastAsia="pt-BR"/>
        </w:rPr>
        <w:t>.</w:t>
      </w:r>
      <w:r>
        <w:rPr>
          <w:rStyle w:val="FootnoteReference"/>
          <w:rFonts w:ascii="Times New Roman" w:hAnsi="Times New Roman"/>
          <w:sz w:val="24"/>
          <w:lang w:eastAsia="pt-BR"/>
        </w:rPr>
        <w:footnoteReference w:id="147"/>
      </w:r>
      <w:r>
        <w:rPr>
          <w:rFonts w:ascii="Times New Roman" w:hAnsi="Times New Roman"/>
          <w:sz w:val="24"/>
          <w:lang w:eastAsia="pt-BR"/>
        </w:rPr>
        <w:t xml:space="preserve"> </w:t>
      </w:r>
    </w:p>
    <w:p w:rsidR="00D549BC" w:rsidRDefault="00D549BC" w:rsidP="00326B96">
      <w:pPr>
        <w:spacing w:after="240"/>
        <w:contextualSpacing/>
        <w:rPr>
          <w:rFonts w:ascii="Times New Roman" w:hAnsi="Times New Roman"/>
          <w:sz w:val="24"/>
          <w:lang w:eastAsia="pt-BR"/>
        </w:rPr>
      </w:pPr>
      <w:r>
        <w:rPr>
          <w:rFonts w:ascii="Times New Roman" w:hAnsi="Times New Roman"/>
          <w:sz w:val="24"/>
          <w:lang w:eastAsia="pt-BR"/>
        </w:rPr>
        <w:t>Feitas tais considerações, passemos a explicar o porquê do título do presente subtópico.</w:t>
      </w:r>
    </w:p>
    <w:p w:rsidR="00D549BC" w:rsidRDefault="00D549BC" w:rsidP="00E123E6">
      <w:pPr>
        <w:spacing w:after="240"/>
        <w:contextualSpacing/>
        <w:rPr>
          <w:rFonts w:ascii="Times New Roman" w:hAnsi="Times New Roman"/>
          <w:sz w:val="24"/>
          <w:lang w:eastAsia="pt-BR"/>
        </w:rPr>
      </w:pPr>
      <w:r>
        <w:rPr>
          <w:rFonts w:ascii="Times New Roman" w:hAnsi="Times New Roman"/>
          <w:sz w:val="24"/>
          <w:lang w:eastAsia="pt-BR"/>
        </w:rPr>
        <w:t xml:space="preserve">O referido estudo observou que o Supremo Tribunal Federal se comporta de três maneiras distintas de acordo com suas competências constitucionais. Assim, teríamos: (i) uma </w:t>
      </w:r>
      <w:r w:rsidRPr="00D008CB">
        <w:rPr>
          <w:rFonts w:ascii="Times New Roman" w:hAnsi="Times New Roman"/>
          <w:i/>
          <w:sz w:val="24"/>
          <w:lang w:eastAsia="pt-BR"/>
        </w:rPr>
        <w:t>Corte Constitucional</w:t>
      </w:r>
      <w:r>
        <w:rPr>
          <w:rFonts w:ascii="Times New Roman" w:hAnsi="Times New Roman"/>
          <w:sz w:val="24"/>
          <w:lang w:eastAsia="pt-BR"/>
        </w:rPr>
        <w:t xml:space="preserve">, responsável pelo julgamento das ações de controle abstrato de constitucionalidade; (ii) uma </w:t>
      </w:r>
      <w:r w:rsidRPr="00D008CB">
        <w:rPr>
          <w:rFonts w:ascii="Times New Roman" w:hAnsi="Times New Roman"/>
          <w:i/>
          <w:sz w:val="24"/>
          <w:lang w:eastAsia="pt-BR"/>
        </w:rPr>
        <w:t>Corte Recursal</w:t>
      </w:r>
      <w:r>
        <w:rPr>
          <w:rFonts w:ascii="Times New Roman" w:hAnsi="Times New Roman"/>
          <w:sz w:val="24"/>
          <w:lang w:eastAsia="pt-BR"/>
        </w:rPr>
        <w:t xml:space="preserve">, com atribuição do </w:t>
      </w:r>
      <w:r w:rsidRPr="00D84358">
        <w:rPr>
          <w:rFonts w:ascii="Times New Roman" w:hAnsi="Times New Roman"/>
          <w:sz w:val="24"/>
          <w:lang w:eastAsia="pt-BR"/>
        </w:rPr>
        <w:t>controle de constitucionalidade a</w:t>
      </w:r>
      <w:r>
        <w:rPr>
          <w:rFonts w:ascii="Times New Roman" w:hAnsi="Times New Roman"/>
          <w:sz w:val="24"/>
          <w:lang w:eastAsia="pt-BR"/>
        </w:rPr>
        <w:t xml:space="preserve"> </w:t>
      </w:r>
      <w:r w:rsidRPr="00D84358">
        <w:rPr>
          <w:rFonts w:ascii="Times New Roman" w:hAnsi="Times New Roman"/>
          <w:sz w:val="24"/>
          <w:lang w:eastAsia="pt-BR"/>
        </w:rPr>
        <w:t>partir de casos individuais, concretos, em sede de recurso, ou seja, cuja</w:t>
      </w:r>
      <w:r>
        <w:rPr>
          <w:rFonts w:ascii="Times New Roman" w:hAnsi="Times New Roman"/>
          <w:sz w:val="24"/>
          <w:lang w:eastAsia="pt-BR"/>
        </w:rPr>
        <w:t xml:space="preserve"> </w:t>
      </w:r>
      <w:r w:rsidRPr="00D84358">
        <w:rPr>
          <w:rFonts w:ascii="Times New Roman" w:hAnsi="Times New Roman"/>
          <w:sz w:val="24"/>
          <w:lang w:eastAsia="pt-BR"/>
        </w:rPr>
        <w:t xml:space="preserve">constitucionalidade já foi julgada anteriormente por um juiz ou </w:t>
      </w:r>
      <w:r>
        <w:rPr>
          <w:rFonts w:ascii="Times New Roman" w:hAnsi="Times New Roman"/>
          <w:sz w:val="24"/>
          <w:lang w:eastAsia="pt-BR"/>
        </w:rPr>
        <w:t>T</w:t>
      </w:r>
      <w:r w:rsidRPr="00D84358">
        <w:rPr>
          <w:rFonts w:ascii="Times New Roman" w:hAnsi="Times New Roman"/>
          <w:sz w:val="24"/>
          <w:lang w:eastAsia="pt-BR"/>
        </w:rPr>
        <w:t>ribunal</w:t>
      </w:r>
      <w:r>
        <w:rPr>
          <w:rFonts w:ascii="Times New Roman" w:hAnsi="Times New Roman"/>
          <w:sz w:val="24"/>
          <w:lang w:eastAsia="pt-BR"/>
        </w:rPr>
        <w:t xml:space="preserve"> </w:t>
      </w:r>
      <w:r w:rsidRPr="00D84358">
        <w:rPr>
          <w:rFonts w:ascii="Times New Roman" w:hAnsi="Times New Roman"/>
          <w:sz w:val="24"/>
          <w:lang w:eastAsia="pt-BR"/>
        </w:rPr>
        <w:t>inferior</w:t>
      </w:r>
      <w:r>
        <w:rPr>
          <w:rFonts w:ascii="Times New Roman" w:hAnsi="Times New Roman"/>
          <w:sz w:val="24"/>
          <w:lang w:eastAsia="pt-BR"/>
        </w:rPr>
        <w:t xml:space="preserve">; por fim, uma terceira e última (iii) </w:t>
      </w:r>
      <w:r w:rsidRPr="00D008CB">
        <w:rPr>
          <w:rFonts w:ascii="Times New Roman" w:hAnsi="Times New Roman"/>
          <w:i/>
          <w:sz w:val="24"/>
          <w:lang w:eastAsia="pt-BR"/>
        </w:rPr>
        <w:t>Corte Ordinária</w:t>
      </w:r>
      <w:r>
        <w:rPr>
          <w:rFonts w:ascii="Times New Roman" w:hAnsi="Times New Roman"/>
          <w:sz w:val="24"/>
          <w:lang w:eastAsia="pt-BR"/>
        </w:rPr>
        <w:t xml:space="preserve">, cuja função decorreria de todos os demais casos que não se enquadram nas competências anteriores. </w:t>
      </w:r>
    </w:p>
    <w:p w:rsidR="00D549BC" w:rsidRDefault="00D549BC" w:rsidP="00E123E6">
      <w:pPr>
        <w:spacing w:after="240"/>
        <w:contextualSpacing/>
        <w:rPr>
          <w:rFonts w:ascii="Times New Roman" w:hAnsi="Times New Roman"/>
          <w:sz w:val="24"/>
          <w:lang w:eastAsia="pt-BR"/>
        </w:rPr>
      </w:pPr>
      <w:r>
        <w:rPr>
          <w:rFonts w:ascii="Times New Roman" w:hAnsi="Times New Roman"/>
          <w:sz w:val="24"/>
          <w:lang w:eastAsia="pt-BR"/>
        </w:rPr>
        <w:t xml:space="preserve">A Corte Constitucional é acessada por meio das seguintes classes processuais, segundo o I Relatório Supremo em Números: </w:t>
      </w:r>
      <w:r w:rsidRPr="00713052">
        <w:rPr>
          <w:rFonts w:ascii="Times New Roman" w:hAnsi="Times New Roman"/>
          <w:sz w:val="24"/>
          <w:lang w:eastAsia="pt-BR"/>
        </w:rPr>
        <w:t>Ação Declaratória de Constitucionalidade (ADC), Ação Direta</w:t>
      </w:r>
      <w:r>
        <w:rPr>
          <w:rFonts w:ascii="Times New Roman" w:hAnsi="Times New Roman"/>
          <w:sz w:val="24"/>
          <w:lang w:eastAsia="pt-BR"/>
        </w:rPr>
        <w:t xml:space="preserve"> </w:t>
      </w:r>
      <w:r w:rsidRPr="00713052">
        <w:rPr>
          <w:rFonts w:ascii="Times New Roman" w:hAnsi="Times New Roman"/>
          <w:sz w:val="24"/>
          <w:lang w:eastAsia="pt-BR"/>
        </w:rPr>
        <w:t>de Inconstitucionalidade (ADI), Ação Direta de Inconstitucionalidade</w:t>
      </w:r>
      <w:r>
        <w:rPr>
          <w:rFonts w:ascii="Times New Roman" w:hAnsi="Times New Roman"/>
          <w:sz w:val="24"/>
          <w:lang w:eastAsia="pt-BR"/>
        </w:rPr>
        <w:t xml:space="preserve"> </w:t>
      </w:r>
      <w:r w:rsidRPr="00713052">
        <w:rPr>
          <w:rFonts w:ascii="Times New Roman" w:hAnsi="Times New Roman"/>
          <w:sz w:val="24"/>
          <w:lang w:eastAsia="pt-BR"/>
        </w:rPr>
        <w:t>por Omissão (ADO), Arguição de Descumprimento de Preceito Fundamental</w:t>
      </w:r>
      <w:r>
        <w:rPr>
          <w:rFonts w:ascii="Times New Roman" w:hAnsi="Times New Roman"/>
          <w:sz w:val="24"/>
          <w:lang w:eastAsia="pt-BR"/>
        </w:rPr>
        <w:t xml:space="preserve"> </w:t>
      </w:r>
      <w:r w:rsidRPr="00713052">
        <w:rPr>
          <w:rFonts w:ascii="Times New Roman" w:hAnsi="Times New Roman"/>
          <w:sz w:val="24"/>
          <w:lang w:eastAsia="pt-BR"/>
        </w:rPr>
        <w:t>(ADPF), Mandado de Injunção (MI) e Proposta de Súmula</w:t>
      </w:r>
      <w:r>
        <w:rPr>
          <w:rFonts w:ascii="Times New Roman" w:hAnsi="Times New Roman"/>
          <w:sz w:val="24"/>
          <w:lang w:eastAsia="pt-BR"/>
        </w:rPr>
        <w:t xml:space="preserve"> </w:t>
      </w:r>
      <w:r w:rsidRPr="00713052">
        <w:rPr>
          <w:rFonts w:ascii="Times New Roman" w:hAnsi="Times New Roman"/>
          <w:sz w:val="24"/>
          <w:lang w:eastAsia="pt-BR"/>
        </w:rPr>
        <w:t>Vinculante (PSV)</w:t>
      </w:r>
      <w:r>
        <w:rPr>
          <w:rFonts w:ascii="Times New Roman" w:hAnsi="Times New Roman"/>
          <w:sz w:val="24"/>
          <w:lang w:eastAsia="pt-BR"/>
        </w:rPr>
        <w:t xml:space="preserve">. </w:t>
      </w:r>
    </w:p>
    <w:p w:rsidR="00D549BC" w:rsidRDefault="00D549BC" w:rsidP="00E123E6">
      <w:pPr>
        <w:spacing w:after="240"/>
        <w:contextualSpacing/>
        <w:rPr>
          <w:rFonts w:ascii="Times New Roman" w:hAnsi="Times New Roman"/>
          <w:sz w:val="24"/>
          <w:lang w:eastAsia="pt-BR"/>
        </w:rPr>
      </w:pPr>
      <w:r>
        <w:rPr>
          <w:rFonts w:ascii="Times New Roman" w:hAnsi="Times New Roman"/>
          <w:sz w:val="24"/>
          <w:lang w:eastAsia="pt-BR"/>
        </w:rPr>
        <w:t xml:space="preserve">Por sua vez, a Corte Recursal tem como porta de entrada os seguintes recursos: </w:t>
      </w:r>
      <w:r w:rsidRPr="00713052">
        <w:rPr>
          <w:rFonts w:ascii="Times New Roman" w:hAnsi="Times New Roman"/>
          <w:sz w:val="24"/>
          <w:lang w:eastAsia="pt-BR"/>
        </w:rPr>
        <w:t>os Agravos de Instrumento</w:t>
      </w:r>
      <w:r>
        <w:rPr>
          <w:rFonts w:ascii="Times New Roman" w:hAnsi="Times New Roman"/>
          <w:sz w:val="24"/>
          <w:lang w:eastAsia="pt-BR"/>
        </w:rPr>
        <w:t xml:space="preserve"> </w:t>
      </w:r>
      <w:r w:rsidRPr="00713052">
        <w:rPr>
          <w:rFonts w:ascii="Times New Roman" w:hAnsi="Times New Roman"/>
          <w:sz w:val="24"/>
          <w:lang w:eastAsia="pt-BR"/>
        </w:rPr>
        <w:t>(AI) e os Recursos Extraordinários (RE)</w:t>
      </w:r>
      <w:r>
        <w:rPr>
          <w:rFonts w:ascii="Times New Roman" w:hAnsi="Times New Roman"/>
          <w:sz w:val="24"/>
          <w:lang w:eastAsia="pt-BR"/>
        </w:rPr>
        <w:t>.</w:t>
      </w:r>
      <w:r>
        <w:rPr>
          <w:rStyle w:val="FootnoteReference"/>
          <w:rFonts w:ascii="Times New Roman" w:hAnsi="Times New Roman"/>
          <w:sz w:val="24"/>
          <w:lang w:eastAsia="pt-BR"/>
        </w:rPr>
        <w:footnoteReference w:id="148"/>
      </w:r>
      <w:r>
        <w:rPr>
          <w:rFonts w:ascii="Times New Roman" w:hAnsi="Times New Roman"/>
          <w:sz w:val="24"/>
          <w:lang w:eastAsia="pt-BR"/>
        </w:rPr>
        <w:t xml:space="preserve"> </w:t>
      </w:r>
    </w:p>
    <w:p w:rsidR="00D549BC" w:rsidRDefault="00D549BC" w:rsidP="00E123E6">
      <w:pPr>
        <w:spacing w:after="240"/>
        <w:contextualSpacing/>
        <w:rPr>
          <w:rFonts w:ascii="Times New Roman" w:hAnsi="Times New Roman"/>
          <w:sz w:val="24"/>
          <w:lang w:eastAsia="pt-BR"/>
        </w:rPr>
      </w:pPr>
      <w:r>
        <w:rPr>
          <w:rFonts w:ascii="Times New Roman" w:hAnsi="Times New Roman"/>
          <w:sz w:val="24"/>
          <w:lang w:eastAsia="pt-BR"/>
        </w:rPr>
        <w:t>Finalmente, a Corte Ordinária tem como via de acesso todas as classes processuais não enquadradas nas duas anteriores, como por exemplo, as ações decorrentes de sua competência originária – aquelas na</w:t>
      </w:r>
      <w:r w:rsidRPr="00F81D1F">
        <w:rPr>
          <w:rFonts w:ascii="Times New Roman" w:hAnsi="Times New Roman"/>
          <w:sz w:val="24"/>
          <w:lang w:eastAsia="pt-BR"/>
        </w:rPr>
        <w:t>s quais</w:t>
      </w:r>
      <w:r>
        <w:rPr>
          <w:rFonts w:ascii="Times New Roman" w:hAnsi="Times New Roman"/>
          <w:sz w:val="24"/>
          <w:lang w:eastAsia="pt-BR"/>
        </w:rPr>
        <w:t xml:space="preserve"> o Supremo atua como T</w:t>
      </w:r>
      <w:r w:rsidRPr="00F81D1F">
        <w:rPr>
          <w:rFonts w:ascii="Times New Roman" w:hAnsi="Times New Roman"/>
          <w:sz w:val="24"/>
          <w:lang w:eastAsia="pt-BR"/>
        </w:rPr>
        <w:t>ribunal de instância única no caso individual</w:t>
      </w:r>
      <w:r>
        <w:rPr>
          <w:rFonts w:ascii="Times New Roman" w:hAnsi="Times New Roman"/>
          <w:sz w:val="24"/>
          <w:lang w:eastAsia="pt-BR"/>
        </w:rPr>
        <w:t xml:space="preserve">. </w:t>
      </w:r>
    </w:p>
    <w:p w:rsidR="00D549BC" w:rsidRDefault="00D549BC" w:rsidP="0012615B">
      <w:pPr>
        <w:spacing w:after="240"/>
        <w:contextualSpacing/>
        <w:rPr>
          <w:rFonts w:ascii="Times New Roman" w:hAnsi="Times New Roman"/>
          <w:sz w:val="24"/>
          <w:lang w:eastAsia="pt-BR"/>
        </w:rPr>
      </w:pPr>
      <w:r>
        <w:rPr>
          <w:rFonts w:ascii="Times New Roman" w:hAnsi="Times New Roman"/>
          <w:sz w:val="24"/>
          <w:lang w:eastAsia="pt-BR"/>
        </w:rPr>
        <w:t xml:space="preserve">O I Relatório do “Supremo em Números” analisou um total de 1.222.102 processos do STF no período compreendido entre os anos de 1988 e 2009.  Veremos, com base no gráfico em anexo (Anexo 1), que o STF atuou, durante o período acima mencionado, muito mais como </w:t>
      </w:r>
      <w:r w:rsidRPr="006D01E0">
        <w:rPr>
          <w:rFonts w:ascii="Times New Roman" w:hAnsi="Times New Roman"/>
          <w:i/>
          <w:sz w:val="24"/>
          <w:lang w:eastAsia="pt-BR"/>
        </w:rPr>
        <w:t>Corte Recursal</w:t>
      </w:r>
      <w:r>
        <w:rPr>
          <w:rFonts w:ascii="Times New Roman" w:hAnsi="Times New Roman"/>
          <w:sz w:val="24"/>
          <w:lang w:eastAsia="pt-BR"/>
        </w:rPr>
        <w:t xml:space="preserve"> do que como </w:t>
      </w:r>
      <w:r w:rsidRPr="006D01E0">
        <w:rPr>
          <w:rFonts w:ascii="Times New Roman" w:hAnsi="Times New Roman"/>
          <w:i/>
          <w:sz w:val="24"/>
          <w:lang w:eastAsia="pt-BR"/>
        </w:rPr>
        <w:t>Corte Constitucional</w:t>
      </w:r>
      <w:r>
        <w:rPr>
          <w:rFonts w:ascii="Times New Roman" w:hAnsi="Times New Roman"/>
          <w:i/>
          <w:sz w:val="24"/>
          <w:lang w:eastAsia="pt-BR"/>
        </w:rPr>
        <w:t>.</w:t>
      </w:r>
    </w:p>
    <w:p w:rsidR="00D549BC" w:rsidRDefault="00D549BC" w:rsidP="006D2D6A">
      <w:pPr>
        <w:spacing w:after="240"/>
        <w:contextualSpacing/>
        <w:rPr>
          <w:rFonts w:ascii="Times New Roman" w:hAnsi="Times New Roman"/>
          <w:sz w:val="24"/>
          <w:szCs w:val="24"/>
        </w:rPr>
      </w:pPr>
      <w:r>
        <w:rPr>
          <w:rFonts w:ascii="Times New Roman" w:hAnsi="Times New Roman"/>
          <w:sz w:val="24"/>
          <w:szCs w:val="24"/>
        </w:rPr>
        <w:t>A tabela subsequente ao gráfico (Anexo 2) apresenta o percentual correspondente ao número total de processos que cada uma das três Cortes recebeu entre 1988 e 2009, ou seja, à carga de processos recebida pelo STF de acordo com suas competências.</w:t>
      </w:r>
    </w:p>
    <w:p w:rsidR="00D549BC" w:rsidRDefault="00D549BC" w:rsidP="00150A72">
      <w:pPr>
        <w:spacing w:after="240"/>
        <w:contextualSpacing/>
        <w:rPr>
          <w:rFonts w:ascii="Times New Roman" w:hAnsi="Times New Roman"/>
          <w:sz w:val="24"/>
          <w:szCs w:val="24"/>
        </w:rPr>
      </w:pPr>
      <w:r>
        <w:rPr>
          <w:rFonts w:ascii="Times New Roman" w:hAnsi="Times New Roman"/>
          <w:sz w:val="24"/>
          <w:szCs w:val="24"/>
        </w:rPr>
        <w:t xml:space="preserve">Portanto, com base nos Anexos 1 e 2, podemos concluir que a absoluta maioria dos processos recebidos pelo STF origina-se da Corte Recursal (Recursos Extraordinários e Agravos de Instrumento), correspondendo a quase 92% dos casos de 1988 até 2009. Já os casos predominantemente constitucionais, oriundos da Corte Constitucional, que deveriam ser a principal matéria da Corte Suprema, representam menos de 1% do total de processos analisados nesses 22 anos. </w:t>
      </w:r>
    </w:p>
    <w:p w:rsidR="00D549BC" w:rsidRDefault="00D549BC" w:rsidP="002151FD">
      <w:pPr>
        <w:spacing w:after="240"/>
        <w:contextualSpacing/>
        <w:rPr>
          <w:rFonts w:ascii="Times New Roman" w:hAnsi="Times New Roman"/>
          <w:sz w:val="24"/>
          <w:szCs w:val="24"/>
        </w:rPr>
      </w:pPr>
      <w:r>
        <w:rPr>
          <w:rFonts w:ascii="Times New Roman" w:hAnsi="Times New Roman"/>
          <w:sz w:val="24"/>
          <w:szCs w:val="24"/>
        </w:rPr>
        <w:t>É evidente que os dados destacados apenas reforçam que o STF atuou, durante os primeiros 22 anos de vigência Constituição de 1988, como verdadeira Corte Recursal, sendo acessada pelas partes tanto por meio do Recurso Extraordinário quanto do Agravo de Instrumento. É necessário, dessa forma, trazermos também as estatísticas relacionadas com a quantidade total desses recursos (RE e AI) que deram entrada no STF a partir de 1988, a fim de confirmarmos se, mesmo depois da redemocratização do país, a crise funcional se manteve presente ou, ainda, se houve seu agravamento.</w:t>
      </w:r>
    </w:p>
    <w:p w:rsidR="00D549BC" w:rsidRDefault="00D549BC" w:rsidP="00E26432">
      <w:pPr>
        <w:spacing w:after="240"/>
        <w:contextualSpacing/>
        <w:rPr>
          <w:rFonts w:ascii="Times New Roman" w:hAnsi="Times New Roman"/>
          <w:sz w:val="24"/>
          <w:szCs w:val="24"/>
        </w:rPr>
      </w:pPr>
      <w:r>
        <w:rPr>
          <w:rFonts w:ascii="Times New Roman" w:hAnsi="Times New Roman"/>
          <w:sz w:val="24"/>
          <w:szCs w:val="24"/>
        </w:rPr>
        <w:t xml:space="preserve">A tabela retirada do sítio eletrônico do Supremo Tribunal Federal (Anexo 3) mostra a quantidade total de processos distribuídos a partir do ano de 1990 até o ano de 2014, com foco na competência recursal, ou seja, nos REs e AIs. </w:t>
      </w:r>
    </w:p>
    <w:p w:rsidR="00D549BC" w:rsidRDefault="00D549BC" w:rsidP="00E26432">
      <w:pPr>
        <w:spacing w:after="240"/>
        <w:contextualSpacing/>
        <w:rPr>
          <w:rFonts w:ascii="Times New Roman" w:hAnsi="Times New Roman"/>
          <w:sz w:val="24"/>
          <w:szCs w:val="24"/>
        </w:rPr>
      </w:pPr>
      <w:r>
        <w:rPr>
          <w:rFonts w:ascii="Times New Roman" w:hAnsi="Times New Roman"/>
          <w:sz w:val="24"/>
          <w:szCs w:val="24"/>
        </w:rPr>
        <w:t>Faz-se oportuno esclarecer que, a partir do ano de 2011, com advento da Lei 12.322, de 9 de setembro de 2010, os Agravos de Instrumento (AI)</w:t>
      </w:r>
      <w:r w:rsidRPr="0036105A">
        <w:rPr>
          <w:rFonts w:ascii="Times New Roman" w:hAnsi="Times New Roman"/>
          <w:sz w:val="24"/>
          <w:szCs w:val="24"/>
        </w:rPr>
        <w:t xml:space="preserve"> interposto</w:t>
      </w:r>
      <w:r>
        <w:rPr>
          <w:rFonts w:ascii="Times New Roman" w:hAnsi="Times New Roman"/>
          <w:sz w:val="24"/>
          <w:szCs w:val="24"/>
        </w:rPr>
        <w:t>s contra decisão que não admitia</w:t>
      </w:r>
      <w:r w:rsidRPr="0036105A">
        <w:rPr>
          <w:rFonts w:ascii="Times New Roman" w:hAnsi="Times New Roman"/>
          <w:sz w:val="24"/>
          <w:szCs w:val="24"/>
        </w:rPr>
        <w:t xml:space="preserve"> </w:t>
      </w:r>
      <w:r>
        <w:rPr>
          <w:rFonts w:ascii="Times New Roman" w:hAnsi="Times New Roman"/>
          <w:sz w:val="24"/>
          <w:szCs w:val="24"/>
        </w:rPr>
        <w:t>R</w:t>
      </w:r>
      <w:r w:rsidRPr="0036105A">
        <w:rPr>
          <w:rFonts w:ascii="Times New Roman" w:hAnsi="Times New Roman"/>
          <w:sz w:val="24"/>
          <w:szCs w:val="24"/>
        </w:rPr>
        <w:t xml:space="preserve">ecurso </w:t>
      </w:r>
      <w:r>
        <w:rPr>
          <w:rFonts w:ascii="Times New Roman" w:hAnsi="Times New Roman"/>
          <w:sz w:val="24"/>
          <w:szCs w:val="24"/>
        </w:rPr>
        <w:t>E</w:t>
      </w:r>
      <w:r w:rsidRPr="0036105A">
        <w:rPr>
          <w:rFonts w:ascii="Times New Roman" w:hAnsi="Times New Roman"/>
          <w:sz w:val="24"/>
          <w:szCs w:val="24"/>
        </w:rPr>
        <w:t>xtraordinário</w:t>
      </w:r>
      <w:r>
        <w:rPr>
          <w:rFonts w:ascii="Times New Roman" w:hAnsi="Times New Roman"/>
          <w:sz w:val="24"/>
          <w:szCs w:val="24"/>
        </w:rPr>
        <w:t xml:space="preserve"> foram transformados em A</w:t>
      </w:r>
      <w:r w:rsidRPr="0036105A">
        <w:rPr>
          <w:rFonts w:ascii="Times New Roman" w:hAnsi="Times New Roman"/>
          <w:sz w:val="24"/>
          <w:szCs w:val="24"/>
        </w:rPr>
        <w:t>gravo</w:t>
      </w:r>
      <w:r>
        <w:rPr>
          <w:rFonts w:ascii="Times New Roman" w:hAnsi="Times New Roman"/>
          <w:sz w:val="24"/>
          <w:szCs w:val="24"/>
        </w:rPr>
        <w:t>s</w:t>
      </w:r>
      <w:r w:rsidRPr="0036105A">
        <w:rPr>
          <w:rFonts w:ascii="Times New Roman" w:hAnsi="Times New Roman"/>
          <w:sz w:val="24"/>
          <w:szCs w:val="24"/>
        </w:rPr>
        <w:t xml:space="preserve"> nos próprios autos</w:t>
      </w:r>
      <w:r>
        <w:rPr>
          <w:rFonts w:ascii="Times New Roman" w:hAnsi="Times New Roman"/>
          <w:sz w:val="24"/>
          <w:szCs w:val="24"/>
        </w:rPr>
        <w:t>, identificados pela sigla ARE (Agravo no Recurso Extraordinário). Por outro lado, o Agravo de Instrumento (AI) ainda poderá ser manejado, pelas partes, nas hipóteses expressamente previstas pelo Regimento Interno do STF.</w:t>
      </w:r>
      <w:r>
        <w:rPr>
          <w:rStyle w:val="FootnoteReference"/>
          <w:rFonts w:ascii="Times New Roman" w:hAnsi="Times New Roman"/>
          <w:sz w:val="24"/>
          <w:szCs w:val="24"/>
        </w:rPr>
        <w:footnoteReference w:id="149"/>
      </w:r>
      <w:r>
        <w:rPr>
          <w:rFonts w:ascii="Times New Roman" w:hAnsi="Times New Roman"/>
          <w:sz w:val="24"/>
          <w:szCs w:val="24"/>
        </w:rPr>
        <w:t xml:space="preserve"> </w:t>
      </w:r>
    </w:p>
    <w:p w:rsidR="00D549BC" w:rsidRDefault="00D549BC" w:rsidP="00B13D56">
      <w:pPr>
        <w:spacing w:after="240"/>
        <w:contextualSpacing/>
        <w:rPr>
          <w:rFonts w:ascii="Times New Roman" w:hAnsi="Times New Roman"/>
          <w:sz w:val="24"/>
          <w:szCs w:val="24"/>
        </w:rPr>
      </w:pPr>
      <w:r>
        <w:rPr>
          <w:rFonts w:ascii="Times New Roman" w:hAnsi="Times New Roman"/>
          <w:sz w:val="24"/>
          <w:szCs w:val="24"/>
        </w:rPr>
        <w:t>Vejamos, então, os dados numéricos oficiais do STF.</w:t>
      </w:r>
      <w:r>
        <w:rPr>
          <w:rStyle w:val="FootnoteReference"/>
          <w:rFonts w:ascii="Times New Roman" w:hAnsi="Times New Roman"/>
          <w:sz w:val="24"/>
          <w:szCs w:val="24"/>
        </w:rPr>
        <w:footnoteReference w:id="150"/>
      </w:r>
      <w:r>
        <w:rPr>
          <w:rFonts w:ascii="Times New Roman" w:hAnsi="Times New Roman"/>
          <w:sz w:val="24"/>
          <w:szCs w:val="24"/>
        </w:rPr>
        <w:t xml:space="preserve"> A primeira conclusão a que chegamos, com base nos dados apresentados no Anexo 3, é que houve, de fato, um aumento, ano após ano, no número de recursos que eram interpostos perante o STF com o advento da Constituição de 1988: (i) em 1990, tivemos um total de 13.245 REs e AIs; (ii) em 1992, foram 24.172 REs e AIs; (iii) em 1994, 23.683 REs e AIs; (iv) em 1996, um total de 21.568 REs e AIs; (v) em 1999, esse número já alcançava 51.957 RES e AIs; até chegarmos (vi) em 2006, quando foram interpostos, surpreendentemente, mais de </w:t>
      </w:r>
      <w:r w:rsidRPr="00550C09">
        <w:rPr>
          <w:rFonts w:ascii="Times New Roman" w:hAnsi="Times New Roman"/>
          <w:i/>
          <w:sz w:val="24"/>
          <w:szCs w:val="24"/>
        </w:rPr>
        <w:t>110.000</w:t>
      </w:r>
      <w:r>
        <w:rPr>
          <w:rFonts w:ascii="Times New Roman" w:hAnsi="Times New Roman"/>
          <w:sz w:val="24"/>
          <w:szCs w:val="24"/>
        </w:rPr>
        <w:t xml:space="preserve"> REs e AIs. </w:t>
      </w:r>
    </w:p>
    <w:p w:rsidR="00D549BC" w:rsidRDefault="00D549BC" w:rsidP="00B13D56">
      <w:pPr>
        <w:spacing w:after="240"/>
        <w:contextualSpacing/>
        <w:rPr>
          <w:rFonts w:ascii="Times New Roman" w:hAnsi="Times New Roman"/>
          <w:sz w:val="24"/>
          <w:szCs w:val="24"/>
        </w:rPr>
      </w:pPr>
      <w:r>
        <w:rPr>
          <w:rFonts w:ascii="Times New Roman" w:hAnsi="Times New Roman"/>
          <w:sz w:val="24"/>
          <w:szCs w:val="24"/>
        </w:rPr>
        <w:t xml:space="preserve">Essa progressão aritmética na quantidade de Recursos Extraordinários e Agravos de Instrumento que aportavam no STF prova que a crise funcional – decorrente da pletora de recursos interpostos – perdurou com a Constituição da República de 1988, fazendo da Suprema Corte brasileira uma verdadeira terceira instância. </w:t>
      </w:r>
    </w:p>
    <w:p w:rsidR="00D549BC" w:rsidRDefault="00D549BC" w:rsidP="004D2E1B">
      <w:pPr>
        <w:spacing w:after="240"/>
        <w:contextualSpacing/>
        <w:rPr>
          <w:rFonts w:ascii="Times New Roman" w:hAnsi="Times New Roman"/>
          <w:sz w:val="24"/>
          <w:szCs w:val="24"/>
        </w:rPr>
      </w:pPr>
      <w:r>
        <w:rPr>
          <w:rFonts w:ascii="Times New Roman" w:hAnsi="Times New Roman"/>
          <w:sz w:val="24"/>
          <w:szCs w:val="24"/>
        </w:rPr>
        <w:t>A segunda conclusão que podemos tirar é que tanto os dados do projeto “Supremo em Números” (1988 - 2009) quanto os do próprio STF (1990 - 2014) demonstram que a classe processual recursal formada pelos REs e AIs representa 90% do total de processos distribuídos na Corte. Por fim, quantitativamente podemos afirmar não ser o</w:t>
      </w:r>
      <w:r w:rsidRPr="00096D6A">
        <w:rPr>
          <w:rFonts w:ascii="Times New Roman" w:hAnsi="Times New Roman"/>
          <w:sz w:val="24"/>
          <w:szCs w:val="24"/>
        </w:rPr>
        <w:t xml:space="preserve"> Supremo </w:t>
      </w:r>
      <w:r>
        <w:rPr>
          <w:rFonts w:ascii="Times New Roman" w:hAnsi="Times New Roman"/>
          <w:sz w:val="24"/>
          <w:szCs w:val="24"/>
        </w:rPr>
        <w:t>“</w:t>
      </w:r>
      <w:r w:rsidRPr="00096D6A">
        <w:rPr>
          <w:rFonts w:ascii="Times New Roman" w:hAnsi="Times New Roman"/>
          <w:sz w:val="24"/>
          <w:szCs w:val="24"/>
        </w:rPr>
        <w:t xml:space="preserve">uma </w:t>
      </w:r>
      <w:r>
        <w:rPr>
          <w:rFonts w:ascii="Times New Roman" w:hAnsi="Times New Roman"/>
          <w:sz w:val="24"/>
          <w:szCs w:val="24"/>
        </w:rPr>
        <w:t>‘</w:t>
      </w:r>
      <w:r w:rsidRPr="00096D6A">
        <w:rPr>
          <w:rFonts w:ascii="Times New Roman" w:hAnsi="Times New Roman"/>
          <w:sz w:val="24"/>
          <w:szCs w:val="24"/>
        </w:rPr>
        <w:t>corte</w:t>
      </w:r>
      <w:r>
        <w:rPr>
          <w:rFonts w:ascii="Times New Roman" w:hAnsi="Times New Roman"/>
          <w:sz w:val="24"/>
          <w:szCs w:val="24"/>
        </w:rPr>
        <w:t xml:space="preserve"> constitucional’</w:t>
      </w:r>
      <w:r w:rsidRPr="00096D6A">
        <w:rPr>
          <w:rFonts w:ascii="Times New Roman" w:hAnsi="Times New Roman"/>
          <w:sz w:val="24"/>
          <w:szCs w:val="24"/>
        </w:rPr>
        <w:t xml:space="preserve"> no sentido original em que esse tipo de instituição foi</w:t>
      </w:r>
      <w:r>
        <w:rPr>
          <w:rFonts w:ascii="Times New Roman" w:hAnsi="Times New Roman"/>
          <w:sz w:val="24"/>
          <w:szCs w:val="24"/>
        </w:rPr>
        <w:t xml:space="preserve"> </w:t>
      </w:r>
      <w:r w:rsidRPr="00096D6A">
        <w:rPr>
          <w:rFonts w:ascii="Times New Roman" w:hAnsi="Times New Roman"/>
          <w:sz w:val="24"/>
          <w:szCs w:val="24"/>
        </w:rPr>
        <w:t>pensada. Em números absolutos, está muito mais próximo de uma</w:t>
      </w:r>
      <w:r>
        <w:rPr>
          <w:rFonts w:ascii="Times New Roman" w:hAnsi="Times New Roman"/>
          <w:sz w:val="24"/>
          <w:szCs w:val="24"/>
        </w:rPr>
        <w:t xml:space="preserve"> ‘corte recursal suprema’</w:t>
      </w:r>
      <w:r w:rsidRPr="00096D6A">
        <w:rPr>
          <w:rFonts w:ascii="Times New Roman" w:hAnsi="Times New Roman"/>
          <w:sz w:val="24"/>
          <w:szCs w:val="24"/>
        </w:rPr>
        <w:t>. Não é uma corte que escolhe o que julga</w:t>
      </w:r>
      <w:r>
        <w:rPr>
          <w:rFonts w:ascii="Times New Roman" w:hAnsi="Times New Roman"/>
          <w:sz w:val="24"/>
          <w:szCs w:val="24"/>
        </w:rPr>
        <w:t xml:space="preserve"> </w:t>
      </w:r>
      <w:r w:rsidRPr="00096D6A">
        <w:rPr>
          <w:rFonts w:ascii="Times New Roman" w:hAnsi="Times New Roman"/>
          <w:sz w:val="24"/>
          <w:szCs w:val="24"/>
        </w:rPr>
        <w:t>fundamental julgar. É antes uma corte escolhida pela parte</w:t>
      </w:r>
      <w:r>
        <w:rPr>
          <w:rFonts w:ascii="Times New Roman" w:hAnsi="Times New Roman"/>
          <w:sz w:val="24"/>
          <w:szCs w:val="24"/>
        </w:rPr>
        <w:t>”.</w:t>
      </w:r>
      <w:r>
        <w:rPr>
          <w:rStyle w:val="FootnoteReference"/>
          <w:rFonts w:ascii="Times New Roman" w:hAnsi="Times New Roman"/>
          <w:sz w:val="24"/>
          <w:szCs w:val="24"/>
        </w:rPr>
        <w:footnoteReference w:id="151"/>
      </w:r>
    </w:p>
    <w:p w:rsidR="00D549BC" w:rsidRDefault="00D549BC" w:rsidP="00002C8C">
      <w:pPr>
        <w:spacing w:after="240"/>
        <w:contextualSpacing/>
        <w:rPr>
          <w:rFonts w:ascii="Times New Roman" w:hAnsi="Times New Roman"/>
          <w:sz w:val="24"/>
          <w:szCs w:val="24"/>
        </w:rPr>
      </w:pPr>
      <w:r>
        <w:rPr>
          <w:rFonts w:ascii="Times New Roman" w:hAnsi="Times New Roman"/>
          <w:sz w:val="24"/>
          <w:szCs w:val="24"/>
        </w:rPr>
        <w:t>O crescimento da</w:t>
      </w:r>
      <w:r w:rsidRPr="00DB667E">
        <w:rPr>
          <w:rFonts w:ascii="Times New Roman" w:hAnsi="Times New Roman"/>
          <w:sz w:val="24"/>
          <w:szCs w:val="24"/>
        </w:rPr>
        <w:t xml:space="preserve"> </w:t>
      </w:r>
      <w:r w:rsidRPr="00A96EB2">
        <w:rPr>
          <w:rFonts w:ascii="Times New Roman" w:hAnsi="Times New Roman"/>
          <w:i/>
          <w:sz w:val="24"/>
          <w:szCs w:val="24"/>
        </w:rPr>
        <w:t>Corte Recursal</w:t>
      </w:r>
      <w:r>
        <w:rPr>
          <w:rFonts w:ascii="Times New Roman" w:hAnsi="Times New Roman"/>
          <w:sz w:val="24"/>
          <w:szCs w:val="24"/>
        </w:rPr>
        <w:t xml:space="preserve"> (REs e AIs)</w:t>
      </w:r>
      <w:r w:rsidRPr="00DB667E">
        <w:rPr>
          <w:rFonts w:ascii="Times New Roman" w:hAnsi="Times New Roman"/>
          <w:sz w:val="24"/>
          <w:szCs w:val="24"/>
        </w:rPr>
        <w:t xml:space="preserve"> verificado a partir de 1997 chegou</w:t>
      </w:r>
      <w:r>
        <w:rPr>
          <w:rFonts w:ascii="Times New Roman" w:hAnsi="Times New Roman"/>
          <w:sz w:val="24"/>
          <w:szCs w:val="24"/>
        </w:rPr>
        <w:t xml:space="preserve"> </w:t>
      </w:r>
      <w:r w:rsidRPr="00DB667E">
        <w:rPr>
          <w:rFonts w:ascii="Times New Roman" w:hAnsi="Times New Roman"/>
          <w:sz w:val="24"/>
          <w:szCs w:val="24"/>
        </w:rPr>
        <w:t>a ponto</w:t>
      </w:r>
      <w:r>
        <w:rPr>
          <w:rFonts w:ascii="Times New Roman" w:hAnsi="Times New Roman"/>
          <w:sz w:val="24"/>
          <w:szCs w:val="24"/>
        </w:rPr>
        <w:t xml:space="preserve"> de pôr em xeque a capacidade do próprio</w:t>
      </w:r>
      <w:r w:rsidRPr="00DB667E">
        <w:rPr>
          <w:rFonts w:ascii="Times New Roman" w:hAnsi="Times New Roman"/>
          <w:sz w:val="24"/>
          <w:szCs w:val="24"/>
        </w:rPr>
        <w:t xml:space="preserve"> </w:t>
      </w:r>
      <w:r>
        <w:rPr>
          <w:rFonts w:ascii="Times New Roman" w:hAnsi="Times New Roman"/>
          <w:sz w:val="24"/>
          <w:szCs w:val="24"/>
        </w:rPr>
        <w:t xml:space="preserve">Supremo </w:t>
      </w:r>
      <w:r w:rsidRPr="00DB667E">
        <w:rPr>
          <w:rFonts w:ascii="Times New Roman" w:hAnsi="Times New Roman"/>
          <w:sz w:val="24"/>
          <w:szCs w:val="24"/>
        </w:rPr>
        <w:t>de se autogerir.</w:t>
      </w:r>
      <w:r>
        <w:rPr>
          <w:rFonts w:ascii="Times New Roman" w:hAnsi="Times New Roman"/>
          <w:sz w:val="24"/>
          <w:szCs w:val="24"/>
        </w:rPr>
        <w:t xml:space="preserve"> </w:t>
      </w:r>
      <w:r w:rsidRPr="00DB667E">
        <w:rPr>
          <w:rFonts w:ascii="Times New Roman" w:hAnsi="Times New Roman"/>
          <w:sz w:val="24"/>
          <w:szCs w:val="24"/>
        </w:rPr>
        <w:t>Os recursos chegaram às centenas de milhares e continuavam a</w:t>
      </w:r>
      <w:r>
        <w:rPr>
          <w:rFonts w:ascii="Times New Roman" w:hAnsi="Times New Roman"/>
          <w:sz w:val="24"/>
          <w:szCs w:val="24"/>
        </w:rPr>
        <w:t xml:space="preserve"> </w:t>
      </w:r>
      <w:r w:rsidRPr="00DB667E">
        <w:rPr>
          <w:rFonts w:ascii="Times New Roman" w:hAnsi="Times New Roman"/>
          <w:sz w:val="24"/>
          <w:szCs w:val="24"/>
        </w:rPr>
        <w:t>crescer até 2007</w:t>
      </w:r>
      <w:r>
        <w:rPr>
          <w:rFonts w:ascii="Times New Roman" w:hAnsi="Times New Roman"/>
          <w:sz w:val="24"/>
          <w:szCs w:val="24"/>
        </w:rPr>
        <w:t xml:space="preserve">. </w:t>
      </w:r>
      <w:r w:rsidRPr="00DB667E">
        <w:rPr>
          <w:rFonts w:ascii="Times New Roman" w:hAnsi="Times New Roman"/>
          <w:sz w:val="24"/>
          <w:szCs w:val="24"/>
        </w:rPr>
        <w:t>A</w:t>
      </w:r>
      <w:r>
        <w:rPr>
          <w:rFonts w:ascii="Times New Roman" w:hAnsi="Times New Roman"/>
          <w:sz w:val="24"/>
          <w:szCs w:val="24"/>
        </w:rPr>
        <w:t>penas a</w:t>
      </w:r>
      <w:r w:rsidRPr="00DB667E">
        <w:rPr>
          <w:rFonts w:ascii="Times New Roman" w:hAnsi="Times New Roman"/>
          <w:sz w:val="24"/>
          <w:szCs w:val="24"/>
        </w:rPr>
        <w:t xml:space="preserve"> título de</w:t>
      </w:r>
      <w:r>
        <w:rPr>
          <w:rFonts w:ascii="Times New Roman" w:hAnsi="Times New Roman"/>
          <w:sz w:val="24"/>
          <w:szCs w:val="24"/>
        </w:rPr>
        <w:t xml:space="preserve"> </w:t>
      </w:r>
      <w:r w:rsidRPr="00DB667E">
        <w:rPr>
          <w:rFonts w:ascii="Times New Roman" w:hAnsi="Times New Roman"/>
          <w:sz w:val="24"/>
          <w:szCs w:val="24"/>
        </w:rPr>
        <w:t>comparação, a Suprema Corte norte-americana recebe cerca de 7 mil</w:t>
      </w:r>
      <w:r>
        <w:rPr>
          <w:rFonts w:ascii="Times New Roman" w:hAnsi="Times New Roman"/>
          <w:sz w:val="24"/>
          <w:szCs w:val="24"/>
        </w:rPr>
        <w:t xml:space="preserve"> </w:t>
      </w:r>
      <w:r w:rsidRPr="00DB667E">
        <w:rPr>
          <w:rFonts w:ascii="Times New Roman" w:hAnsi="Times New Roman"/>
          <w:sz w:val="24"/>
          <w:szCs w:val="24"/>
        </w:rPr>
        <w:t>processos ao ano e julga aproximadamente 100. O Supremo Tribunal</w:t>
      </w:r>
      <w:r>
        <w:rPr>
          <w:rFonts w:ascii="Times New Roman" w:hAnsi="Times New Roman"/>
          <w:sz w:val="24"/>
          <w:szCs w:val="24"/>
        </w:rPr>
        <w:t xml:space="preserve"> </w:t>
      </w:r>
      <w:r w:rsidRPr="00DB667E">
        <w:rPr>
          <w:rFonts w:ascii="Times New Roman" w:hAnsi="Times New Roman"/>
          <w:sz w:val="24"/>
          <w:szCs w:val="24"/>
        </w:rPr>
        <w:t>Federal, até 2007, estava recebendo e julgando mais de 100 mi</w:t>
      </w:r>
      <w:r>
        <w:rPr>
          <w:rFonts w:ascii="Times New Roman" w:hAnsi="Times New Roman"/>
          <w:sz w:val="24"/>
          <w:szCs w:val="24"/>
        </w:rPr>
        <w:t xml:space="preserve">l casos. </w:t>
      </w:r>
      <w:r w:rsidRPr="00DB667E">
        <w:rPr>
          <w:rFonts w:ascii="Times New Roman" w:hAnsi="Times New Roman"/>
          <w:sz w:val="24"/>
          <w:szCs w:val="24"/>
        </w:rPr>
        <w:t>Diante desse cenário</w:t>
      </w:r>
      <w:r>
        <w:rPr>
          <w:rFonts w:ascii="Times New Roman" w:hAnsi="Times New Roman"/>
          <w:sz w:val="24"/>
          <w:szCs w:val="24"/>
        </w:rPr>
        <w:t xml:space="preserve"> temerário</w:t>
      </w:r>
      <w:r w:rsidRPr="00DB667E">
        <w:rPr>
          <w:rFonts w:ascii="Times New Roman" w:hAnsi="Times New Roman"/>
          <w:sz w:val="24"/>
          <w:szCs w:val="24"/>
        </w:rPr>
        <w:t>, tornou-se imperiosa uma nova política de</w:t>
      </w:r>
      <w:r>
        <w:rPr>
          <w:rFonts w:ascii="Times New Roman" w:hAnsi="Times New Roman"/>
          <w:sz w:val="24"/>
          <w:szCs w:val="24"/>
        </w:rPr>
        <w:t xml:space="preserve"> </w:t>
      </w:r>
      <w:r w:rsidRPr="00DB667E">
        <w:rPr>
          <w:rFonts w:ascii="Times New Roman" w:hAnsi="Times New Roman"/>
          <w:sz w:val="24"/>
          <w:szCs w:val="24"/>
        </w:rPr>
        <w:t>direito processual cap</w:t>
      </w:r>
      <w:r>
        <w:rPr>
          <w:rFonts w:ascii="Times New Roman" w:hAnsi="Times New Roman"/>
          <w:sz w:val="24"/>
          <w:szCs w:val="24"/>
        </w:rPr>
        <w:t>az de conter o acesso ao STF e, consequentemente, tentar reduzir os números de recursos interpostos.</w:t>
      </w:r>
    </w:p>
    <w:p w:rsidR="00D549BC" w:rsidRDefault="00D549BC" w:rsidP="00002C8C">
      <w:pPr>
        <w:spacing w:after="240"/>
        <w:contextualSpacing/>
        <w:rPr>
          <w:rFonts w:ascii="Times New Roman" w:hAnsi="Times New Roman"/>
          <w:sz w:val="24"/>
          <w:szCs w:val="24"/>
        </w:rPr>
      </w:pPr>
      <w:r>
        <w:rPr>
          <w:rFonts w:ascii="Times New Roman" w:hAnsi="Times New Roman"/>
          <w:sz w:val="24"/>
          <w:szCs w:val="24"/>
        </w:rPr>
        <w:t>Com efeito, a</w:t>
      </w:r>
      <w:r w:rsidRPr="00881C28">
        <w:rPr>
          <w:rFonts w:ascii="Times New Roman" w:hAnsi="Times New Roman"/>
          <w:sz w:val="24"/>
          <w:szCs w:val="24"/>
        </w:rPr>
        <w:t xml:space="preserve"> Em</w:t>
      </w:r>
      <w:r>
        <w:rPr>
          <w:rFonts w:ascii="Times New Roman" w:hAnsi="Times New Roman"/>
          <w:sz w:val="24"/>
          <w:szCs w:val="24"/>
        </w:rPr>
        <w:t>enda Constitucional nº 45, de 30 de dezembro 20</w:t>
      </w:r>
      <w:r w:rsidRPr="00881C28">
        <w:rPr>
          <w:rFonts w:ascii="Times New Roman" w:hAnsi="Times New Roman"/>
          <w:sz w:val="24"/>
          <w:szCs w:val="24"/>
        </w:rPr>
        <w:t>04,</w:t>
      </w:r>
      <w:r>
        <w:rPr>
          <w:rFonts w:ascii="Times New Roman" w:hAnsi="Times New Roman"/>
          <w:sz w:val="24"/>
          <w:szCs w:val="24"/>
        </w:rPr>
        <w:t xml:space="preserve"> também conhecida como a </w:t>
      </w:r>
      <w:r w:rsidRPr="00881C28">
        <w:rPr>
          <w:rFonts w:ascii="Times New Roman" w:hAnsi="Times New Roman"/>
          <w:i/>
          <w:sz w:val="24"/>
          <w:szCs w:val="24"/>
        </w:rPr>
        <w:t>Reforma do Judiciário</w:t>
      </w:r>
      <w:r>
        <w:rPr>
          <w:rFonts w:ascii="Times New Roman" w:hAnsi="Times New Roman"/>
          <w:sz w:val="24"/>
          <w:szCs w:val="24"/>
        </w:rPr>
        <w:t>,</w:t>
      </w:r>
      <w:r w:rsidRPr="00881C28">
        <w:rPr>
          <w:rFonts w:ascii="Times New Roman" w:hAnsi="Times New Roman"/>
          <w:sz w:val="24"/>
          <w:szCs w:val="24"/>
        </w:rPr>
        <w:t xml:space="preserve"> trouxe três importantes</w:t>
      </w:r>
      <w:r>
        <w:rPr>
          <w:rFonts w:ascii="Times New Roman" w:hAnsi="Times New Roman"/>
          <w:sz w:val="24"/>
          <w:szCs w:val="24"/>
        </w:rPr>
        <w:t xml:space="preserve"> </w:t>
      </w:r>
      <w:r w:rsidRPr="00881C28">
        <w:rPr>
          <w:rFonts w:ascii="Times New Roman" w:hAnsi="Times New Roman"/>
          <w:sz w:val="24"/>
          <w:szCs w:val="24"/>
        </w:rPr>
        <w:t xml:space="preserve">mudanças em relação ao funcionamento do Supremo Tribunal Federal: </w:t>
      </w:r>
      <w:r>
        <w:rPr>
          <w:rFonts w:ascii="Times New Roman" w:hAnsi="Times New Roman"/>
          <w:sz w:val="24"/>
          <w:szCs w:val="24"/>
        </w:rPr>
        <w:t xml:space="preserve">(i) </w:t>
      </w:r>
      <w:r w:rsidRPr="00881C28">
        <w:rPr>
          <w:rFonts w:ascii="Times New Roman" w:hAnsi="Times New Roman"/>
          <w:sz w:val="24"/>
          <w:szCs w:val="24"/>
        </w:rPr>
        <w:t>em primeiro lugar,</w:t>
      </w:r>
      <w:r>
        <w:rPr>
          <w:rFonts w:ascii="Times New Roman" w:hAnsi="Times New Roman"/>
          <w:sz w:val="24"/>
          <w:szCs w:val="24"/>
        </w:rPr>
        <w:t xml:space="preserve"> a adoção da </w:t>
      </w:r>
      <w:r w:rsidRPr="00D23C00">
        <w:rPr>
          <w:rFonts w:ascii="Times New Roman" w:hAnsi="Times New Roman"/>
          <w:i/>
          <w:sz w:val="24"/>
          <w:szCs w:val="24"/>
        </w:rPr>
        <w:t>Súmula Vinculante</w:t>
      </w:r>
      <w:r>
        <w:rPr>
          <w:rFonts w:ascii="Times New Roman" w:hAnsi="Times New Roman"/>
          <w:sz w:val="24"/>
          <w:szCs w:val="24"/>
        </w:rPr>
        <w:t xml:space="preserve"> (art. 103-A, §§ 1º, 2º e 3º da CRFB/88); (ii) em segundo lugar, ampliou</w:t>
      </w:r>
      <w:r w:rsidRPr="00881C28">
        <w:rPr>
          <w:rFonts w:ascii="Times New Roman" w:hAnsi="Times New Roman"/>
          <w:sz w:val="24"/>
          <w:szCs w:val="24"/>
        </w:rPr>
        <w:t xml:space="preserve"> as</w:t>
      </w:r>
      <w:r>
        <w:rPr>
          <w:rFonts w:ascii="Times New Roman" w:hAnsi="Times New Roman"/>
          <w:sz w:val="24"/>
          <w:szCs w:val="24"/>
        </w:rPr>
        <w:t xml:space="preserve"> </w:t>
      </w:r>
      <w:r w:rsidRPr="00881C28">
        <w:rPr>
          <w:rFonts w:ascii="Times New Roman" w:hAnsi="Times New Roman"/>
          <w:sz w:val="24"/>
          <w:szCs w:val="24"/>
        </w:rPr>
        <w:t xml:space="preserve">hipóteses de cabimento do </w:t>
      </w:r>
      <w:r>
        <w:rPr>
          <w:rFonts w:ascii="Times New Roman" w:hAnsi="Times New Roman"/>
          <w:sz w:val="24"/>
          <w:szCs w:val="24"/>
        </w:rPr>
        <w:t>R</w:t>
      </w:r>
      <w:r w:rsidRPr="00881C28">
        <w:rPr>
          <w:rFonts w:ascii="Times New Roman" w:hAnsi="Times New Roman"/>
          <w:sz w:val="24"/>
          <w:szCs w:val="24"/>
        </w:rPr>
        <w:t xml:space="preserve">ecurso </w:t>
      </w:r>
      <w:r>
        <w:rPr>
          <w:rFonts w:ascii="Times New Roman" w:hAnsi="Times New Roman"/>
          <w:sz w:val="24"/>
          <w:szCs w:val="24"/>
        </w:rPr>
        <w:t>E</w:t>
      </w:r>
      <w:r w:rsidRPr="00881C28">
        <w:rPr>
          <w:rFonts w:ascii="Times New Roman" w:hAnsi="Times New Roman"/>
          <w:sz w:val="24"/>
          <w:szCs w:val="24"/>
        </w:rPr>
        <w:t>xtraordinário</w:t>
      </w:r>
      <w:r>
        <w:rPr>
          <w:rFonts w:ascii="Times New Roman" w:hAnsi="Times New Roman"/>
          <w:sz w:val="24"/>
          <w:szCs w:val="24"/>
        </w:rPr>
        <w:t xml:space="preserve"> (</w:t>
      </w:r>
      <w:r w:rsidRPr="00167340">
        <w:rPr>
          <w:rFonts w:ascii="Times New Roman" w:hAnsi="Times New Roman"/>
          <w:sz w:val="24"/>
          <w:szCs w:val="24"/>
        </w:rPr>
        <w:t>passando-se a dispor</w:t>
      </w:r>
      <w:r>
        <w:rPr>
          <w:rFonts w:ascii="Times New Roman" w:hAnsi="Times New Roman"/>
          <w:sz w:val="24"/>
          <w:szCs w:val="24"/>
        </w:rPr>
        <w:t xml:space="preserve"> </w:t>
      </w:r>
      <w:r w:rsidRPr="00167340">
        <w:rPr>
          <w:rFonts w:ascii="Times New Roman" w:hAnsi="Times New Roman"/>
          <w:sz w:val="24"/>
          <w:szCs w:val="24"/>
        </w:rPr>
        <w:t>que o recurso também será cabível quando a</w:t>
      </w:r>
      <w:r>
        <w:rPr>
          <w:rFonts w:ascii="Times New Roman" w:hAnsi="Times New Roman"/>
          <w:sz w:val="24"/>
          <w:szCs w:val="24"/>
        </w:rPr>
        <w:t xml:space="preserve"> </w:t>
      </w:r>
      <w:r w:rsidRPr="00167340">
        <w:rPr>
          <w:rFonts w:ascii="Times New Roman" w:hAnsi="Times New Roman"/>
          <w:sz w:val="24"/>
          <w:szCs w:val="24"/>
        </w:rPr>
        <w:t>decisão recorrida tiver julgado válida lei local</w:t>
      </w:r>
      <w:r>
        <w:rPr>
          <w:rFonts w:ascii="Times New Roman" w:hAnsi="Times New Roman"/>
          <w:sz w:val="24"/>
          <w:szCs w:val="24"/>
        </w:rPr>
        <w:t xml:space="preserve"> </w:t>
      </w:r>
      <w:r w:rsidRPr="00167340">
        <w:rPr>
          <w:rFonts w:ascii="Times New Roman" w:hAnsi="Times New Roman"/>
          <w:sz w:val="24"/>
          <w:szCs w:val="24"/>
        </w:rPr>
        <w:t>co</w:t>
      </w:r>
      <w:r>
        <w:rPr>
          <w:rFonts w:ascii="Times New Roman" w:hAnsi="Times New Roman"/>
          <w:sz w:val="24"/>
          <w:szCs w:val="24"/>
        </w:rPr>
        <w:t xml:space="preserve">ntestada em face de lei federal. </w:t>
      </w:r>
      <w:r w:rsidRPr="00167340">
        <w:rPr>
          <w:rFonts w:ascii="Times New Roman" w:hAnsi="Times New Roman"/>
          <w:sz w:val="24"/>
          <w:szCs w:val="24"/>
        </w:rPr>
        <w:t>Tal competência, até então, era do</w:t>
      </w:r>
      <w:r>
        <w:rPr>
          <w:rFonts w:ascii="Times New Roman" w:hAnsi="Times New Roman"/>
          <w:sz w:val="24"/>
          <w:szCs w:val="24"/>
        </w:rPr>
        <w:t xml:space="preserve"> </w:t>
      </w:r>
      <w:r w:rsidRPr="00167340">
        <w:rPr>
          <w:rFonts w:ascii="Times New Roman" w:hAnsi="Times New Roman"/>
          <w:sz w:val="24"/>
          <w:szCs w:val="24"/>
        </w:rPr>
        <w:t>Su</w:t>
      </w:r>
      <w:r>
        <w:rPr>
          <w:rFonts w:ascii="Times New Roman" w:hAnsi="Times New Roman"/>
          <w:sz w:val="24"/>
          <w:szCs w:val="24"/>
        </w:rPr>
        <w:t>perior Tribunal de Justiça</w:t>
      </w:r>
      <w:r w:rsidRPr="00167340">
        <w:rPr>
          <w:rFonts w:ascii="Times New Roman" w:hAnsi="Times New Roman"/>
          <w:sz w:val="24"/>
          <w:szCs w:val="24"/>
        </w:rPr>
        <w:t>, em sede de</w:t>
      </w:r>
      <w:r>
        <w:rPr>
          <w:rFonts w:ascii="Times New Roman" w:hAnsi="Times New Roman"/>
          <w:sz w:val="24"/>
          <w:szCs w:val="24"/>
        </w:rPr>
        <w:t xml:space="preserve"> R</w:t>
      </w:r>
      <w:r w:rsidRPr="00167340">
        <w:rPr>
          <w:rFonts w:ascii="Times New Roman" w:hAnsi="Times New Roman"/>
          <w:sz w:val="24"/>
          <w:szCs w:val="24"/>
        </w:rPr>
        <w:t xml:space="preserve">ecurso </w:t>
      </w:r>
      <w:r>
        <w:rPr>
          <w:rFonts w:ascii="Times New Roman" w:hAnsi="Times New Roman"/>
          <w:sz w:val="24"/>
          <w:szCs w:val="24"/>
        </w:rPr>
        <w:t xml:space="preserve">Especial – art. 101, III, </w:t>
      </w:r>
      <w:r w:rsidRPr="00D23C00">
        <w:rPr>
          <w:rFonts w:ascii="Times New Roman" w:hAnsi="Times New Roman"/>
          <w:i/>
          <w:sz w:val="24"/>
          <w:szCs w:val="24"/>
        </w:rPr>
        <w:t>d</w:t>
      </w:r>
      <w:r>
        <w:rPr>
          <w:rFonts w:ascii="Times New Roman" w:hAnsi="Times New Roman"/>
          <w:sz w:val="24"/>
          <w:szCs w:val="24"/>
        </w:rPr>
        <w:t xml:space="preserve"> da CRFB/88); (iii) por fim</w:t>
      </w:r>
      <w:r w:rsidRPr="00881C28">
        <w:rPr>
          <w:rFonts w:ascii="Times New Roman" w:hAnsi="Times New Roman"/>
          <w:sz w:val="24"/>
          <w:szCs w:val="24"/>
        </w:rPr>
        <w:t>,</w:t>
      </w:r>
      <w:r>
        <w:rPr>
          <w:rFonts w:ascii="Times New Roman" w:hAnsi="Times New Roman"/>
          <w:sz w:val="24"/>
          <w:szCs w:val="24"/>
        </w:rPr>
        <w:t xml:space="preserve"> estabeleceu a </w:t>
      </w:r>
      <w:r w:rsidRPr="00D23C00">
        <w:rPr>
          <w:rFonts w:ascii="Times New Roman" w:hAnsi="Times New Roman"/>
          <w:i/>
          <w:sz w:val="24"/>
          <w:szCs w:val="24"/>
        </w:rPr>
        <w:t>Repercussão Geral</w:t>
      </w:r>
      <w:r w:rsidRPr="00D23C00">
        <w:rPr>
          <w:rFonts w:ascii="Times New Roman" w:hAnsi="Times New Roman"/>
          <w:sz w:val="24"/>
          <w:szCs w:val="24"/>
        </w:rPr>
        <w:t xml:space="preserve"> da</w:t>
      </w:r>
      <w:r>
        <w:rPr>
          <w:rFonts w:ascii="Times New Roman" w:hAnsi="Times New Roman"/>
          <w:sz w:val="24"/>
          <w:szCs w:val="24"/>
        </w:rPr>
        <w:t>s</w:t>
      </w:r>
      <w:r w:rsidRPr="00D23C00">
        <w:rPr>
          <w:rFonts w:ascii="Times New Roman" w:hAnsi="Times New Roman"/>
          <w:sz w:val="24"/>
          <w:szCs w:val="24"/>
        </w:rPr>
        <w:t xml:space="preserve"> quest</w:t>
      </w:r>
      <w:r>
        <w:rPr>
          <w:rFonts w:ascii="Times New Roman" w:hAnsi="Times New Roman"/>
          <w:sz w:val="24"/>
          <w:szCs w:val="24"/>
        </w:rPr>
        <w:t>ões constitucionais como pressuposto constitucional</w:t>
      </w:r>
      <w:r w:rsidRPr="00D23C00">
        <w:rPr>
          <w:rFonts w:ascii="Times New Roman" w:hAnsi="Times New Roman"/>
          <w:sz w:val="24"/>
          <w:szCs w:val="24"/>
        </w:rPr>
        <w:t xml:space="preserve"> de</w:t>
      </w:r>
      <w:r>
        <w:rPr>
          <w:rFonts w:ascii="Times New Roman" w:hAnsi="Times New Roman"/>
          <w:sz w:val="24"/>
          <w:szCs w:val="24"/>
        </w:rPr>
        <w:t xml:space="preserve"> admissibilidade do R</w:t>
      </w:r>
      <w:r w:rsidRPr="00D23C00">
        <w:rPr>
          <w:rFonts w:ascii="Times New Roman" w:hAnsi="Times New Roman"/>
          <w:sz w:val="24"/>
          <w:szCs w:val="24"/>
        </w:rPr>
        <w:t xml:space="preserve">ecurso </w:t>
      </w:r>
      <w:r>
        <w:rPr>
          <w:rFonts w:ascii="Times New Roman" w:hAnsi="Times New Roman"/>
          <w:sz w:val="24"/>
          <w:szCs w:val="24"/>
        </w:rPr>
        <w:t>E</w:t>
      </w:r>
      <w:r w:rsidRPr="00D23C00">
        <w:rPr>
          <w:rFonts w:ascii="Times New Roman" w:hAnsi="Times New Roman"/>
          <w:sz w:val="24"/>
          <w:szCs w:val="24"/>
        </w:rPr>
        <w:t xml:space="preserve">xtraordinário, mediante a inclusão do § 3º ao artigo 102 da </w:t>
      </w:r>
      <w:r>
        <w:rPr>
          <w:rFonts w:ascii="Times New Roman" w:hAnsi="Times New Roman"/>
          <w:sz w:val="24"/>
          <w:szCs w:val="24"/>
        </w:rPr>
        <w:t>Constituição</w:t>
      </w:r>
      <w:r w:rsidRPr="00D23C00">
        <w:rPr>
          <w:rFonts w:ascii="Times New Roman" w:hAnsi="Times New Roman"/>
          <w:sz w:val="24"/>
          <w:szCs w:val="24"/>
        </w:rPr>
        <w:t>, com a seguinte redação</w:t>
      </w:r>
      <w:r>
        <w:rPr>
          <w:rFonts w:ascii="Times New Roman" w:hAnsi="Times New Roman"/>
          <w:sz w:val="24"/>
          <w:szCs w:val="24"/>
        </w:rPr>
        <w:t xml:space="preserve">: </w:t>
      </w:r>
    </w:p>
    <w:p w:rsidR="00D549BC" w:rsidRDefault="00D549BC" w:rsidP="00A96EB2">
      <w:pPr>
        <w:spacing w:after="240" w:line="240" w:lineRule="auto"/>
        <w:ind w:left="2268" w:firstLine="0"/>
        <w:contextualSpacing/>
        <w:rPr>
          <w:rFonts w:ascii="Times New Roman" w:hAnsi="Times New Roman"/>
          <w:sz w:val="24"/>
          <w:szCs w:val="24"/>
        </w:rPr>
      </w:pPr>
      <w:r w:rsidRPr="00D23C00">
        <w:rPr>
          <w:rFonts w:ascii="Times New Roman" w:hAnsi="Times New Roman"/>
        </w:rPr>
        <w:t xml:space="preserve">No recurso extraordinário o recorrente deverá demonstrar a </w:t>
      </w:r>
      <w:r w:rsidRPr="00D23C00">
        <w:rPr>
          <w:rFonts w:ascii="Times New Roman" w:hAnsi="Times New Roman"/>
          <w:i/>
        </w:rPr>
        <w:t>repercussão geral das questões constitucionais discutidas no caso</w:t>
      </w:r>
      <w:r w:rsidRPr="00D23C00">
        <w:rPr>
          <w:rFonts w:ascii="Times New Roman" w:hAnsi="Times New Roman"/>
        </w:rPr>
        <w:t>, nos termos da lei, a fim de que o Tribunal examine a admissão do recurso, somente podendo recusá-lo pela manifestação de dois terços de seus membros</w:t>
      </w:r>
      <w:r>
        <w:rPr>
          <w:rFonts w:ascii="Times New Roman" w:hAnsi="Times New Roman"/>
          <w:sz w:val="24"/>
          <w:szCs w:val="24"/>
        </w:rPr>
        <w:t>.</w:t>
      </w:r>
    </w:p>
    <w:p w:rsidR="00D549BC" w:rsidRDefault="00D549BC" w:rsidP="00D23C00">
      <w:pPr>
        <w:spacing w:after="240"/>
        <w:ind w:left="851" w:firstLine="0"/>
        <w:contextualSpacing/>
        <w:rPr>
          <w:rFonts w:ascii="Times New Roman" w:hAnsi="Times New Roman"/>
          <w:sz w:val="24"/>
          <w:szCs w:val="24"/>
        </w:rPr>
      </w:pPr>
    </w:p>
    <w:p w:rsidR="00D549BC" w:rsidRDefault="00D549BC" w:rsidP="00D23C00">
      <w:pPr>
        <w:spacing w:after="240"/>
        <w:ind w:left="851" w:firstLine="0"/>
        <w:contextualSpacing/>
        <w:rPr>
          <w:rFonts w:ascii="Times New Roman" w:hAnsi="Times New Roman"/>
          <w:sz w:val="24"/>
          <w:szCs w:val="24"/>
        </w:rPr>
      </w:pPr>
    </w:p>
    <w:p w:rsidR="00D549BC" w:rsidRPr="004B20D6" w:rsidRDefault="00D549BC" w:rsidP="009E3939">
      <w:pPr>
        <w:spacing w:after="240"/>
        <w:contextualSpacing/>
        <w:rPr>
          <w:rFonts w:ascii="Times New Roman" w:hAnsi="Times New Roman"/>
        </w:rPr>
      </w:pPr>
      <w:r w:rsidRPr="00595020">
        <w:rPr>
          <w:rFonts w:ascii="Times New Roman" w:hAnsi="Times New Roman"/>
          <w:sz w:val="24"/>
          <w:szCs w:val="24"/>
        </w:rPr>
        <w:t xml:space="preserve">Para regulamentar a </w:t>
      </w:r>
      <w:r w:rsidRPr="00595020">
        <w:rPr>
          <w:rFonts w:ascii="Times New Roman" w:hAnsi="Times New Roman"/>
          <w:i/>
          <w:sz w:val="24"/>
          <w:szCs w:val="24"/>
        </w:rPr>
        <w:t>Repercussão Geral</w:t>
      </w:r>
      <w:r w:rsidRPr="00595020">
        <w:rPr>
          <w:rFonts w:ascii="Times New Roman" w:hAnsi="Times New Roman"/>
          <w:sz w:val="24"/>
          <w:szCs w:val="24"/>
        </w:rPr>
        <w:t>, tal como determinado pelo texto</w:t>
      </w:r>
      <w:r>
        <w:rPr>
          <w:rFonts w:ascii="Times New Roman" w:hAnsi="Times New Roman"/>
          <w:sz w:val="24"/>
          <w:szCs w:val="24"/>
        </w:rPr>
        <w:t xml:space="preserve"> </w:t>
      </w:r>
      <w:r w:rsidRPr="00595020">
        <w:rPr>
          <w:rFonts w:ascii="Times New Roman" w:hAnsi="Times New Roman"/>
          <w:sz w:val="24"/>
          <w:szCs w:val="24"/>
        </w:rPr>
        <w:t>constitucional, foi editada a Lei nº</w:t>
      </w:r>
      <w:r>
        <w:rPr>
          <w:rFonts w:ascii="Times New Roman" w:hAnsi="Times New Roman"/>
          <w:sz w:val="24"/>
          <w:szCs w:val="24"/>
        </w:rPr>
        <w:t xml:space="preserve"> 11.418, de 19 de dezembro de 2</w:t>
      </w:r>
      <w:r w:rsidRPr="00595020">
        <w:rPr>
          <w:rFonts w:ascii="Times New Roman" w:hAnsi="Times New Roman"/>
          <w:sz w:val="24"/>
          <w:szCs w:val="24"/>
        </w:rPr>
        <w:t>006, que incluiu o</w:t>
      </w:r>
      <w:r>
        <w:rPr>
          <w:rFonts w:ascii="Times New Roman" w:hAnsi="Times New Roman"/>
          <w:sz w:val="24"/>
          <w:szCs w:val="24"/>
        </w:rPr>
        <w:t xml:space="preserve"> </w:t>
      </w:r>
      <w:r w:rsidRPr="00595020">
        <w:rPr>
          <w:rFonts w:ascii="Times New Roman" w:hAnsi="Times New Roman"/>
          <w:sz w:val="24"/>
          <w:szCs w:val="24"/>
        </w:rPr>
        <w:t xml:space="preserve">artigo 543-A ao Código de Processo Civil. </w:t>
      </w:r>
      <w:r>
        <w:rPr>
          <w:rFonts w:ascii="Times New Roman" w:hAnsi="Times New Roman"/>
          <w:sz w:val="24"/>
          <w:szCs w:val="24"/>
        </w:rPr>
        <w:t>O § 1º do citado dispositivo processual traz,</w:t>
      </w:r>
      <w:r w:rsidRPr="00595020">
        <w:rPr>
          <w:rFonts w:ascii="Times New Roman" w:hAnsi="Times New Roman"/>
          <w:sz w:val="24"/>
          <w:szCs w:val="24"/>
        </w:rPr>
        <w:t xml:space="preserve"> em termos genéricos, </w:t>
      </w:r>
      <w:r>
        <w:rPr>
          <w:rFonts w:ascii="Times New Roman" w:hAnsi="Times New Roman"/>
          <w:sz w:val="24"/>
          <w:szCs w:val="24"/>
        </w:rPr>
        <w:t xml:space="preserve">a definição legal de </w:t>
      </w:r>
      <w:r w:rsidRPr="004B20D6">
        <w:rPr>
          <w:rFonts w:ascii="Times New Roman" w:hAnsi="Times New Roman"/>
          <w:i/>
          <w:sz w:val="24"/>
          <w:szCs w:val="24"/>
        </w:rPr>
        <w:t>Repercussão Geral</w:t>
      </w:r>
      <w:r>
        <w:rPr>
          <w:rFonts w:ascii="Times New Roman" w:hAnsi="Times New Roman"/>
          <w:sz w:val="24"/>
          <w:szCs w:val="24"/>
        </w:rPr>
        <w:t xml:space="preserve">: </w:t>
      </w:r>
      <w:r w:rsidRPr="009F75B5">
        <w:rPr>
          <w:rFonts w:ascii="Times New Roman" w:hAnsi="Times New Roman"/>
          <w:sz w:val="24"/>
          <w:szCs w:val="24"/>
        </w:rPr>
        <w:t>“Para efeito da repercussão geral, será considerada a existência, ou não, de questões relevantes do ponto de vista econômico, político, social ou jurídico, que ultrapassem os interesses subjetivos da causa”.</w:t>
      </w:r>
    </w:p>
    <w:p w:rsidR="00D549BC" w:rsidRDefault="00D549BC" w:rsidP="008A6D3D">
      <w:pPr>
        <w:spacing w:after="240"/>
        <w:ind w:firstLine="851"/>
        <w:contextualSpacing/>
        <w:rPr>
          <w:rFonts w:ascii="Times New Roman" w:hAnsi="Times New Roman"/>
          <w:sz w:val="24"/>
          <w:szCs w:val="24"/>
        </w:rPr>
      </w:pPr>
      <w:r>
        <w:rPr>
          <w:rFonts w:ascii="Times New Roman" w:hAnsi="Times New Roman"/>
          <w:sz w:val="24"/>
        </w:rPr>
        <w:t xml:space="preserve">A proposta de </w:t>
      </w:r>
      <w:r w:rsidRPr="00251502">
        <w:rPr>
          <w:rFonts w:ascii="Times New Roman" w:hAnsi="Times New Roman"/>
          <w:i/>
          <w:sz w:val="24"/>
        </w:rPr>
        <w:t>Súmula Vinculante</w:t>
      </w:r>
      <w:r>
        <w:rPr>
          <w:rFonts w:ascii="Times New Roman" w:hAnsi="Times New Roman"/>
          <w:sz w:val="24"/>
        </w:rPr>
        <w:t xml:space="preserve"> igualmente veio a ser regulamentada pela Lei nº 11.417, de 19 de dezembro de 2006, </w:t>
      </w:r>
      <w:r w:rsidRPr="00251502">
        <w:rPr>
          <w:rFonts w:ascii="Times New Roman" w:hAnsi="Times New Roman"/>
          <w:sz w:val="24"/>
        </w:rPr>
        <w:t xml:space="preserve">disciplinando a edição, a revisão e o cancelamento de enunciado de </w:t>
      </w:r>
      <w:r w:rsidRPr="00251502">
        <w:rPr>
          <w:rFonts w:ascii="Times New Roman" w:hAnsi="Times New Roman"/>
          <w:i/>
          <w:sz w:val="24"/>
        </w:rPr>
        <w:t>Súmula Vinculante</w:t>
      </w:r>
      <w:r w:rsidRPr="00251502">
        <w:rPr>
          <w:rFonts w:ascii="Times New Roman" w:hAnsi="Times New Roman"/>
          <w:sz w:val="24"/>
        </w:rPr>
        <w:t xml:space="preserve"> pelo Supremo Tribunal Federal</w:t>
      </w:r>
      <w:r>
        <w:rPr>
          <w:rFonts w:ascii="Times New Roman" w:hAnsi="Times New Roman"/>
          <w:sz w:val="24"/>
        </w:rPr>
        <w:t xml:space="preserve">. </w:t>
      </w:r>
    </w:p>
    <w:p w:rsidR="00D549BC" w:rsidRDefault="00D549BC" w:rsidP="003F54A9">
      <w:pPr>
        <w:spacing w:after="240"/>
        <w:ind w:firstLine="851"/>
        <w:contextualSpacing/>
        <w:rPr>
          <w:rFonts w:ascii="Times New Roman" w:hAnsi="Times New Roman"/>
          <w:sz w:val="24"/>
          <w:szCs w:val="24"/>
        </w:rPr>
      </w:pPr>
      <w:r>
        <w:rPr>
          <w:rFonts w:ascii="Times New Roman" w:hAnsi="Times New Roman"/>
          <w:sz w:val="24"/>
          <w:szCs w:val="24"/>
        </w:rPr>
        <w:t xml:space="preserve">Dessa forma, podemos concluir que a </w:t>
      </w:r>
      <w:r w:rsidRPr="00595020">
        <w:rPr>
          <w:rFonts w:ascii="Times New Roman" w:hAnsi="Times New Roman"/>
          <w:sz w:val="24"/>
          <w:szCs w:val="24"/>
        </w:rPr>
        <w:t>EC</w:t>
      </w:r>
      <w:r>
        <w:rPr>
          <w:rFonts w:ascii="Times New Roman" w:hAnsi="Times New Roman"/>
          <w:sz w:val="24"/>
          <w:szCs w:val="24"/>
        </w:rPr>
        <w:t xml:space="preserve"> nº 45 de 2004 criou alguns diques de contenção por meio da </w:t>
      </w:r>
      <w:r w:rsidRPr="00595020">
        <w:rPr>
          <w:rFonts w:ascii="Times New Roman" w:hAnsi="Times New Roman"/>
          <w:i/>
          <w:sz w:val="24"/>
          <w:szCs w:val="24"/>
        </w:rPr>
        <w:t>Repercussão Geral</w:t>
      </w:r>
      <w:r>
        <w:rPr>
          <w:rFonts w:ascii="Times New Roman" w:hAnsi="Times New Roman"/>
          <w:sz w:val="24"/>
          <w:szCs w:val="24"/>
        </w:rPr>
        <w:t xml:space="preserve"> e da </w:t>
      </w:r>
      <w:r w:rsidRPr="00595020">
        <w:rPr>
          <w:rFonts w:ascii="Times New Roman" w:hAnsi="Times New Roman"/>
          <w:i/>
          <w:sz w:val="24"/>
          <w:szCs w:val="24"/>
        </w:rPr>
        <w:t>Súmula Vinculante</w:t>
      </w:r>
      <w:r>
        <w:rPr>
          <w:rFonts w:ascii="Times New Roman" w:hAnsi="Times New Roman"/>
          <w:sz w:val="24"/>
          <w:szCs w:val="24"/>
        </w:rPr>
        <w:t xml:space="preserve">. No entanto, isso não retirou do STF sua função de </w:t>
      </w:r>
      <w:r w:rsidRPr="00523984">
        <w:rPr>
          <w:rFonts w:ascii="Times New Roman" w:hAnsi="Times New Roman"/>
          <w:i/>
          <w:sz w:val="24"/>
          <w:szCs w:val="24"/>
        </w:rPr>
        <w:t>Corte Recursal</w:t>
      </w:r>
      <w:r>
        <w:rPr>
          <w:rFonts w:ascii="Times New Roman" w:hAnsi="Times New Roman"/>
          <w:sz w:val="24"/>
          <w:szCs w:val="24"/>
        </w:rPr>
        <w:t>. Por outro lado, tivemos o advento de um novo mecanismo de seleção das demandas (a preliminar de repercussão geral), que inclusive reforçou a posição hierárquica da jurisprudência da Corte Suprema na jurisdição constitucional.</w:t>
      </w:r>
    </w:p>
    <w:p w:rsidR="00D549BC" w:rsidRDefault="00D549BC" w:rsidP="00CD295F">
      <w:pPr>
        <w:spacing w:after="240"/>
        <w:contextualSpacing/>
        <w:rPr>
          <w:rFonts w:ascii="Times New Roman" w:hAnsi="Times New Roman"/>
          <w:sz w:val="24"/>
          <w:szCs w:val="24"/>
        </w:rPr>
      </w:pPr>
      <w:r>
        <w:rPr>
          <w:rFonts w:ascii="Times New Roman" w:hAnsi="Times New Roman"/>
          <w:sz w:val="24"/>
          <w:szCs w:val="24"/>
        </w:rPr>
        <w:t xml:space="preserve">Podemos afirmar que a </w:t>
      </w:r>
      <w:r w:rsidRPr="00523984">
        <w:rPr>
          <w:rFonts w:ascii="Times New Roman" w:hAnsi="Times New Roman"/>
          <w:i/>
          <w:sz w:val="24"/>
          <w:szCs w:val="24"/>
        </w:rPr>
        <w:t>Repercussão Geral</w:t>
      </w:r>
      <w:r>
        <w:rPr>
          <w:rFonts w:ascii="Times New Roman" w:hAnsi="Times New Roman"/>
          <w:sz w:val="24"/>
          <w:szCs w:val="24"/>
        </w:rPr>
        <w:t xml:space="preserve"> e a </w:t>
      </w:r>
      <w:r w:rsidRPr="00523984">
        <w:rPr>
          <w:rFonts w:ascii="Times New Roman" w:hAnsi="Times New Roman"/>
          <w:i/>
          <w:sz w:val="24"/>
          <w:szCs w:val="24"/>
        </w:rPr>
        <w:t>Súmula Vinculante</w:t>
      </w:r>
      <w:r>
        <w:rPr>
          <w:rFonts w:ascii="Times New Roman" w:hAnsi="Times New Roman"/>
          <w:sz w:val="24"/>
          <w:szCs w:val="24"/>
        </w:rPr>
        <w:t xml:space="preserve"> são responsáveis pela vertiginosa queda ocorrida a partir de 2007 no total de processos do </w:t>
      </w:r>
      <w:r w:rsidRPr="00523984">
        <w:rPr>
          <w:rFonts w:ascii="Times New Roman" w:hAnsi="Times New Roman"/>
          <w:i/>
          <w:sz w:val="24"/>
          <w:szCs w:val="24"/>
        </w:rPr>
        <w:t>Supremo Recursal</w:t>
      </w:r>
      <w:r>
        <w:rPr>
          <w:rFonts w:ascii="Times New Roman" w:hAnsi="Times New Roman"/>
          <w:sz w:val="24"/>
          <w:szCs w:val="24"/>
        </w:rPr>
        <w:t xml:space="preserve">. </w:t>
      </w:r>
    </w:p>
    <w:p w:rsidR="00D549BC" w:rsidRDefault="00D549BC" w:rsidP="00CD295F">
      <w:pPr>
        <w:spacing w:after="240"/>
        <w:contextualSpacing/>
        <w:rPr>
          <w:rFonts w:ascii="Times New Roman" w:hAnsi="Times New Roman"/>
          <w:sz w:val="24"/>
          <w:szCs w:val="24"/>
        </w:rPr>
      </w:pPr>
      <w:r>
        <w:rPr>
          <w:rFonts w:ascii="Times New Roman" w:hAnsi="Times New Roman"/>
          <w:sz w:val="24"/>
          <w:szCs w:val="24"/>
        </w:rPr>
        <w:t xml:space="preserve">Vejamos os números da tabela supracitada (Anexo 3): (i) em 2007, foram protocolados no STF </w:t>
      </w:r>
      <w:r w:rsidRPr="00781E53">
        <w:rPr>
          <w:rFonts w:ascii="Times New Roman" w:hAnsi="Times New Roman"/>
          <w:i/>
          <w:sz w:val="24"/>
          <w:szCs w:val="24"/>
        </w:rPr>
        <w:t xml:space="preserve">106.617 </w:t>
      </w:r>
      <w:r w:rsidRPr="00781E53">
        <w:rPr>
          <w:rFonts w:ascii="Times New Roman" w:hAnsi="Times New Roman"/>
          <w:sz w:val="24"/>
          <w:szCs w:val="24"/>
        </w:rPr>
        <w:t>REs e AIs</w:t>
      </w:r>
      <w:r>
        <w:rPr>
          <w:rFonts w:ascii="Times New Roman" w:hAnsi="Times New Roman"/>
          <w:sz w:val="24"/>
          <w:szCs w:val="24"/>
        </w:rPr>
        <w:t xml:space="preserve">; (ii) no ano seguinte, 2008, tivemos uma queda, e esse número foi para </w:t>
      </w:r>
      <w:r w:rsidRPr="00781E53">
        <w:rPr>
          <w:rFonts w:ascii="Times New Roman" w:hAnsi="Times New Roman"/>
          <w:i/>
          <w:sz w:val="24"/>
          <w:szCs w:val="24"/>
        </w:rPr>
        <w:t>59.314</w:t>
      </w:r>
      <w:r>
        <w:rPr>
          <w:rFonts w:ascii="Times New Roman" w:hAnsi="Times New Roman"/>
          <w:sz w:val="24"/>
          <w:szCs w:val="24"/>
        </w:rPr>
        <w:t xml:space="preserve"> REs e AIs; (iii) em 2009, foram </w:t>
      </w:r>
      <w:r w:rsidRPr="00781E53">
        <w:rPr>
          <w:rFonts w:ascii="Times New Roman" w:hAnsi="Times New Roman"/>
          <w:i/>
          <w:sz w:val="24"/>
          <w:szCs w:val="24"/>
        </w:rPr>
        <w:t>32.649</w:t>
      </w:r>
      <w:r>
        <w:rPr>
          <w:rFonts w:ascii="Times New Roman" w:hAnsi="Times New Roman"/>
          <w:sz w:val="24"/>
          <w:szCs w:val="24"/>
        </w:rPr>
        <w:t xml:space="preserve"> REs e AIs; (iv) em 2010, </w:t>
      </w:r>
      <w:r w:rsidRPr="00781E53">
        <w:rPr>
          <w:rFonts w:ascii="Times New Roman" w:hAnsi="Times New Roman"/>
          <w:i/>
          <w:sz w:val="24"/>
          <w:szCs w:val="24"/>
        </w:rPr>
        <w:t>31.536</w:t>
      </w:r>
      <w:r>
        <w:rPr>
          <w:rFonts w:ascii="Times New Roman" w:hAnsi="Times New Roman"/>
          <w:sz w:val="24"/>
          <w:szCs w:val="24"/>
        </w:rPr>
        <w:t xml:space="preserve"> REs e AIs; (v) em 2011, </w:t>
      </w:r>
      <w:r w:rsidRPr="00781E53">
        <w:rPr>
          <w:rFonts w:ascii="Times New Roman" w:hAnsi="Times New Roman"/>
          <w:i/>
          <w:sz w:val="24"/>
          <w:szCs w:val="24"/>
        </w:rPr>
        <w:t>29.579</w:t>
      </w:r>
      <w:r>
        <w:rPr>
          <w:rFonts w:ascii="Times New Roman" w:hAnsi="Times New Roman"/>
          <w:sz w:val="24"/>
          <w:szCs w:val="24"/>
        </w:rPr>
        <w:t xml:space="preserve"> REs, AIs e AREs;</w:t>
      </w:r>
      <w:r>
        <w:rPr>
          <w:rStyle w:val="FootnoteReference"/>
          <w:rFonts w:ascii="Times New Roman" w:hAnsi="Times New Roman"/>
          <w:sz w:val="24"/>
          <w:szCs w:val="24"/>
        </w:rPr>
        <w:footnoteReference w:id="152"/>
      </w:r>
      <w:r>
        <w:rPr>
          <w:rFonts w:ascii="Times New Roman" w:hAnsi="Times New Roman"/>
          <w:sz w:val="24"/>
          <w:szCs w:val="24"/>
        </w:rPr>
        <w:t xml:space="preserve"> (vi) em 2012, </w:t>
      </w:r>
      <w:r w:rsidRPr="00781E53">
        <w:rPr>
          <w:rFonts w:ascii="Times New Roman" w:hAnsi="Times New Roman"/>
          <w:i/>
          <w:sz w:val="24"/>
          <w:szCs w:val="24"/>
        </w:rPr>
        <w:t>38.075</w:t>
      </w:r>
      <w:r>
        <w:rPr>
          <w:rFonts w:ascii="Times New Roman" w:hAnsi="Times New Roman"/>
          <w:sz w:val="24"/>
          <w:szCs w:val="24"/>
        </w:rPr>
        <w:t xml:space="preserve"> REs, AIs e AREs; (vii) em 2013, foram </w:t>
      </w:r>
      <w:r w:rsidRPr="00846F3C">
        <w:rPr>
          <w:rFonts w:ascii="Times New Roman" w:hAnsi="Times New Roman"/>
          <w:i/>
          <w:sz w:val="24"/>
          <w:szCs w:val="24"/>
        </w:rPr>
        <w:t xml:space="preserve">21.896 </w:t>
      </w:r>
      <w:r>
        <w:rPr>
          <w:rFonts w:ascii="Times New Roman" w:hAnsi="Times New Roman"/>
          <w:sz w:val="24"/>
          <w:szCs w:val="24"/>
        </w:rPr>
        <w:t xml:space="preserve">REs, AIs e AREs; finalmente, (viii) em 2014 foram distribuídos </w:t>
      </w:r>
      <w:r w:rsidRPr="00846F3C">
        <w:rPr>
          <w:rFonts w:ascii="Times New Roman" w:hAnsi="Times New Roman"/>
          <w:i/>
          <w:sz w:val="24"/>
          <w:szCs w:val="24"/>
        </w:rPr>
        <w:t>4</w:t>
      </w:r>
      <w:r>
        <w:rPr>
          <w:rFonts w:ascii="Times New Roman" w:hAnsi="Times New Roman"/>
          <w:i/>
          <w:sz w:val="24"/>
          <w:szCs w:val="24"/>
        </w:rPr>
        <w:t>8</w:t>
      </w:r>
      <w:r w:rsidRPr="00846F3C">
        <w:rPr>
          <w:rFonts w:ascii="Times New Roman" w:hAnsi="Times New Roman"/>
          <w:i/>
          <w:sz w:val="24"/>
          <w:szCs w:val="24"/>
        </w:rPr>
        <w:t>.96</w:t>
      </w:r>
      <w:r>
        <w:rPr>
          <w:rFonts w:ascii="Times New Roman" w:hAnsi="Times New Roman"/>
          <w:i/>
          <w:sz w:val="24"/>
          <w:szCs w:val="24"/>
        </w:rPr>
        <w:t>3</w:t>
      </w:r>
      <w:r>
        <w:rPr>
          <w:rFonts w:ascii="Times New Roman" w:hAnsi="Times New Roman"/>
          <w:sz w:val="24"/>
          <w:szCs w:val="24"/>
        </w:rPr>
        <w:t xml:space="preserve"> REs, AIs e AREs no Supremo Tribunal Federal.</w:t>
      </w:r>
    </w:p>
    <w:p w:rsidR="00D549BC" w:rsidRDefault="00D549BC" w:rsidP="00767B53">
      <w:pPr>
        <w:spacing w:after="240"/>
        <w:contextualSpacing/>
        <w:rPr>
          <w:rFonts w:ascii="Times New Roman" w:hAnsi="Times New Roman"/>
          <w:sz w:val="24"/>
          <w:szCs w:val="24"/>
        </w:rPr>
      </w:pPr>
      <w:r>
        <w:rPr>
          <w:rFonts w:ascii="Times New Roman" w:hAnsi="Times New Roman"/>
          <w:sz w:val="24"/>
          <w:szCs w:val="24"/>
        </w:rPr>
        <w:t xml:space="preserve">Estes dados mostram que, apesar de uma queda acentuada de 2007 para 2014 – decorrente do sucesso da Emenda Constitucional nº 45 de 2004 –, os números de processos recursais (AIs, REs e AREs) continuam atingindo patamares muito altos para uma Suprema Corte que almeja ser, um dia, predominantemente </w:t>
      </w:r>
      <w:r w:rsidRPr="002071E4">
        <w:rPr>
          <w:rFonts w:ascii="Times New Roman" w:hAnsi="Times New Roman"/>
          <w:i/>
          <w:sz w:val="24"/>
          <w:szCs w:val="24"/>
        </w:rPr>
        <w:t>Constitucional</w:t>
      </w:r>
      <w:r>
        <w:rPr>
          <w:rFonts w:ascii="Times New Roman" w:hAnsi="Times New Roman"/>
          <w:sz w:val="24"/>
          <w:szCs w:val="24"/>
        </w:rPr>
        <w:t xml:space="preserve">. </w:t>
      </w:r>
    </w:p>
    <w:p w:rsidR="00D549BC" w:rsidRDefault="00D549BC" w:rsidP="00166ACB">
      <w:pPr>
        <w:spacing w:after="240"/>
        <w:contextualSpacing/>
        <w:rPr>
          <w:rFonts w:ascii="Times New Roman" w:hAnsi="Times New Roman"/>
          <w:sz w:val="24"/>
          <w:szCs w:val="24"/>
        </w:rPr>
      </w:pPr>
      <w:r>
        <w:rPr>
          <w:rFonts w:ascii="Times New Roman" w:hAnsi="Times New Roman"/>
          <w:sz w:val="24"/>
          <w:szCs w:val="24"/>
        </w:rPr>
        <w:t>Apenas a título de confirmação da hipótese anteriormente levantada, no ano passado (2014) foram distribuídos um total de 57.799 processos de todas as classes no Supremo Tribunal. Os Recursos Extraordinários, Agravos de Instrumento e Agravos no Recurso Extraordinário foram responsáveis por quase 85% desse total de processos distribuídos, ou seja, 48.963.</w:t>
      </w:r>
      <w:r>
        <w:rPr>
          <w:rStyle w:val="FootnoteReference"/>
          <w:rFonts w:ascii="Times New Roman" w:hAnsi="Times New Roman"/>
          <w:sz w:val="24"/>
          <w:szCs w:val="24"/>
        </w:rPr>
        <w:footnoteReference w:id="153"/>
      </w:r>
      <w:r>
        <w:rPr>
          <w:rFonts w:ascii="Times New Roman" w:hAnsi="Times New Roman"/>
          <w:sz w:val="24"/>
          <w:szCs w:val="24"/>
        </w:rPr>
        <w:t xml:space="preserve"> São números, ainda, estarrecedores.</w:t>
      </w:r>
    </w:p>
    <w:p w:rsidR="00D549BC" w:rsidRDefault="00D549BC" w:rsidP="00195E57">
      <w:pPr>
        <w:spacing w:after="240"/>
        <w:contextualSpacing/>
        <w:rPr>
          <w:rFonts w:ascii="Times New Roman" w:hAnsi="Times New Roman"/>
          <w:sz w:val="24"/>
          <w:szCs w:val="24"/>
        </w:rPr>
      </w:pPr>
      <w:r>
        <w:rPr>
          <w:rFonts w:ascii="Times New Roman" w:hAnsi="Times New Roman"/>
          <w:sz w:val="24"/>
          <w:szCs w:val="24"/>
        </w:rPr>
        <w:t xml:space="preserve">Trabalharemos, no terceiro e último capítulo que segue, questões mais pragmáticas relacionadas com o instituto da </w:t>
      </w:r>
      <w:r w:rsidRPr="00534F3E">
        <w:rPr>
          <w:rFonts w:ascii="Times New Roman" w:hAnsi="Times New Roman"/>
          <w:i/>
          <w:sz w:val="24"/>
          <w:szCs w:val="24"/>
        </w:rPr>
        <w:t>Repercussão Geral</w:t>
      </w:r>
      <w:r>
        <w:rPr>
          <w:rFonts w:ascii="Times New Roman" w:hAnsi="Times New Roman"/>
          <w:sz w:val="24"/>
          <w:szCs w:val="24"/>
        </w:rPr>
        <w:t xml:space="preserve">, que merece especial atenção, a fim de tentar evidenciar como a Corte Suprema brasileira vem lidando com esse mecanismo que muito se assemelha com a extinta </w:t>
      </w:r>
      <w:r w:rsidRPr="00534F3E">
        <w:rPr>
          <w:rFonts w:ascii="Times New Roman" w:hAnsi="Times New Roman"/>
          <w:i/>
          <w:sz w:val="24"/>
          <w:szCs w:val="24"/>
        </w:rPr>
        <w:t>arg</w:t>
      </w:r>
      <w:r>
        <w:rPr>
          <w:rFonts w:ascii="Times New Roman" w:hAnsi="Times New Roman"/>
          <w:i/>
          <w:sz w:val="24"/>
          <w:szCs w:val="24"/>
        </w:rPr>
        <w:t>u</w:t>
      </w:r>
      <w:r w:rsidRPr="00534F3E">
        <w:rPr>
          <w:rFonts w:ascii="Times New Roman" w:hAnsi="Times New Roman"/>
          <w:i/>
          <w:sz w:val="24"/>
          <w:szCs w:val="24"/>
        </w:rPr>
        <w:t>ição</w:t>
      </w:r>
      <w:r>
        <w:rPr>
          <w:rFonts w:ascii="Times New Roman" w:hAnsi="Times New Roman"/>
          <w:sz w:val="24"/>
          <w:szCs w:val="24"/>
        </w:rPr>
        <w:t xml:space="preserve"> </w:t>
      </w:r>
      <w:r w:rsidRPr="00534F3E">
        <w:rPr>
          <w:rFonts w:ascii="Times New Roman" w:hAnsi="Times New Roman"/>
          <w:i/>
          <w:sz w:val="24"/>
          <w:szCs w:val="24"/>
        </w:rPr>
        <w:t>de relevância</w:t>
      </w:r>
      <w:r>
        <w:rPr>
          <w:rFonts w:ascii="Times New Roman" w:hAnsi="Times New Roman"/>
          <w:sz w:val="24"/>
          <w:szCs w:val="24"/>
        </w:rPr>
        <w:t xml:space="preserve"> da questão federal. </w:t>
      </w:r>
    </w:p>
    <w:p w:rsidR="00D549BC" w:rsidRDefault="00D549BC" w:rsidP="003D278C">
      <w:pPr>
        <w:spacing w:after="240"/>
        <w:contextualSpacing/>
        <w:rPr>
          <w:rFonts w:ascii="Times New Roman" w:hAnsi="Times New Roman"/>
          <w:sz w:val="24"/>
          <w:szCs w:val="24"/>
        </w:rPr>
      </w:pPr>
      <w:r>
        <w:rPr>
          <w:rFonts w:ascii="Times New Roman" w:hAnsi="Times New Roman"/>
          <w:sz w:val="24"/>
          <w:szCs w:val="24"/>
        </w:rPr>
        <w:t xml:space="preserve">Eis algumas das problemáticas que buscaremos enfrentar no Capítulo 3: Como o Supremo Tribunal Federal regulamentou, via Regimento Interno, a análise e julgamento da Repercussão Geral no Recurso Extraordinário? A Corte vem sabendo balancear o número de Repercussões Gerais reconhecidas com o julgamento de mérito desses REs com preliminar de RG? Houve uma banalização do instituto da RG? Quanto tempo em média o STF leva para julgar um RE com RG reconhecida? Essa média de tempo é razoável? Finalmente, o que o Novo Código de Processo Civil (Lei 13.105/2015) trouxe de inovador para o problema do excesso de recursos no STF? As inovações serão benéficas para a Jurisdição Constitucional? </w:t>
      </w:r>
    </w:p>
    <w:p w:rsidR="00D549BC" w:rsidRDefault="00D549BC" w:rsidP="003D278C">
      <w:pPr>
        <w:spacing w:after="240"/>
        <w:contextualSpacing/>
        <w:rPr>
          <w:rFonts w:ascii="Times New Roman" w:hAnsi="Times New Roman"/>
          <w:sz w:val="24"/>
          <w:szCs w:val="24"/>
        </w:rPr>
        <w:sectPr w:rsidR="00D549BC" w:rsidSect="009A39A8">
          <w:footnotePr>
            <w:numRestart w:val="eachSect"/>
          </w:footnotePr>
          <w:pgSz w:w="11906" w:h="16838" w:code="9"/>
          <w:pgMar w:top="1701" w:right="1134" w:bottom="1134" w:left="1701" w:header="709" w:footer="709" w:gutter="0"/>
          <w:cols w:space="708"/>
          <w:titlePg/>
          <w:docGrid w:linePitch="360"/>
        </w:sectPr>
      </w:pPr>
    </w:p>
    <w:p w:rsidR="00D549BC" w:rsidRPr="00BA3DBA" w:rsidRDefault="00D549BC" w:rsidP="003D278C">
      <w:pPr>
        <w:spacing w:after="240"/>
        <w:ind w:firstLine="0"/>
        <w:contextualSpacing/>
        <w:rPr>
          <w:rFonts w:ascii="Times New Roman" w:hAnsi="Times New Roman"/>
          <w:b/>
          <w:sz w:val="24"/>
          <w:szCs w:val="24"/>
        </w:rPr>
      </w:pPr>
      <w:r>
        <w:rPr>
          <w:rFonts w:ascii="Times New Roman" w:hAnsi="Times New Roman"/>
          <w:b/>
          <w:sz w:val="24"/>
          <w:szCs w:val="24"/>
        </w:rPr>
        <w:t>4</w:t>
      </w:r>
      <w:r w:rsidRPr="00BA3DBA">
        <w:rPr>
          <w:rFonts w:ascii="Times New Roman" w:hAnsi="Times New Roman"/>
          <w:b/>
          <w:sz w:val="24"/>
          <w:szCs w:val="24"/>
        </w:rPr>
        <w:t xml:space="preserve"> A REPERCUSSÃO GERAL DA QUESTÃO CONSTITUCIONAL E O PLENÁRIO VIRTUAL DA SUPREMA CORTE</w:t>
      </w:r>
    </w:p>
    <w:p w:rsidR="00D549BC" w:rsidRDefault="00D549BC" w:rsidP="00F17014">
      <w:pPr>
        <w:spacing w:after="240"/>
        <w:ind w:firstLine="851"/>
        <w:contextualSpacing/>
        <w:rPr>
          <w:rFonts w:ascii="Times New Roman" w:hAnsi="Times New Roman"/>
          <w:sz w:val="24"/>
          <w:szCs w:val="24"/>
        </w:rPr>
      </w:pPr>
    </w:p>
    <w:p w:rsidR="00D549BC" w:rsidRDefault="00D549BC" w:rsidP="009955F8">
      <w:pPr>
        <w:spacing w:after="240"/>
        <w:contextualSpacing/>
        <w:rPr>
          <w:rFonts w:ascii="Times New Roman" w:hAnsi="Times New Roman"/>
          <w:sz w:val="24"/>
          <w:szCs w:val="24"/>
        </w:rPr>
      </w:pPr>
      <w:r>
        <w:rPr>
          <w:rFonts w:ascii="Times New Roman" w:hAnsi="Times New Roman"/>
          <w:sz w:val="24"/>
          <w:szCs w:val="24"/>
        </w:rPr>
        <w:t xml:space="preserve">Achamos válido – antes de adentramos no tema específico da Repercussão Geral e toda a dinâmica nela envolvida – fazermos algumas anotações sobre o comportamento do Supremo Tribunal Federal diante da sobrecarga recursal após 1988, ou seja, abordaremos a temática relacionada à </w:t>
      </w:r>
      <w:r w:rsidRPr="00167340">
        <w:rPr>
          <w:rFonts w:ascii="Times New Roman" w:hAnsi="Times New Roman"/>
          <w:i/>
          <w:sz w:val="24"/>
          <w:szCs w:val="24"/>
        </w:rPr>
        <w:t>Jurisprudência Defensiva</w:t>
      </w:r>
      <w:r>
        <w:rPr>
          <w:rFonts w:ascii="Times New Roman" w:hAnsi="Times New Roman"/>
          <w:sz w:val="24"/>
          <w:szCs w:val="24"/>
        </w:rPr>
        <w:t xml:space="preserve">, que veio a ser utilizada como forma de obstar o acesso à Corte, principalmente por meio da edição de súmulas de orientação jurisprudencial, sempre sob o pretexto do excesso de demandas. Abordaremos também a problemática da Jurisprudência Defensiva junto ao Superior Tribunal de Justiça (STJ), pois acreditamos ser importante para os fins almejados no presente estudo. </w:t>
      </w:r>
    </w:p>
    <w:p w:rsidR="00D549BC" w:rsidRDefault="00D549BC" w:rsidP="009955F8">
      <w:pPr>
        <w:spacing w:after="240"/>
        <w:contextualSpacing/>
        <w:rPr>
          <w:rFonts w:ascii="Times New Roman" w:hAnsi="Times New Roman"/>
          <w:sz w:val="24"/>
          <w:szCs w:val="24"/>
        </w:rPr>
      </w:pPr>
      <w:r>
        <w:rPr>
          <w:rFonts w:ascii="Times New Roman" w:hAnsi="Times New Roman"/>
          <w:sz w:val="24"/>
          <w:szCs w:val="24"/>
        </w:rPr>
        <w:t>Segundo ALEXANDRE REIS SIQUERIA FREIRE e MARCELLO SOARES CASTRO,</w:t>
      </w:r>
      <w:r>
        <w:rPr>
          <w:rStyle w:val="FootnoteReference"/>
          <w:rFonts w:ascii="Times New Roman" w:hAnsi="Times New Roman"/>
          <w:sz w:val="24"/>
          <w:szCs w:val="24"/>
        </w:rPr>
        <w:footnoteReference w:id="154"/>
      </w:r>
      <w:r>
        <w:rPr>
          <w:rFonts w:ascii="Times New Roman" w:hAnsi="Times New Roman"/>
          <w:sz w:val="24"/>
          <w:szCs w:val="24"/>
        </w:rPr>
        <w:t xml:space="preserve"> o impacto da sobrecarga de trabalho nos Tribunais Superiores tem dupla consequência sobre os jurisdicionados: (i) aumento no tempo de espera para julgamento (</w:t>
      </w:r>
      <w:r w:rsidRPr="00E604D0">
        <w:rPr>
          <w:rFonts w:ascii="Times New Roman" w:hAnsi="Times New Roman"/>
          <w:color w:val="000000"/>
          <w:sz w:val="24"/>
        </w:rPr>
        <w:t>quanto maior o número de recursos a serem julgados, maior será o tempo exigido para fazê-lo</w:t>
      </w:r>
      <w:r>
        <w:rPr>
          <w:rFonts w:cs="Garamond"/>
          <w:color w:val="000000"/>
        </w:rPr>
        <w:t>)</w:t>
      </w:r>
      <w:r>
        <w:rPr>
          <w:rFonts w:ascii="Times New Roman" w:hAnsi="Times New Roman"/>
          <w:sz w:val="24"/>
          <w:szCs w:val="24"/>
        </w:rPr>
        <w:t>; e (ii) diminuição da qualidade dos julgamentos (</w:t>
      </w:r>
      <w:r w:rsidRPr="00E604D0">
        <w:rPr>
          <w:rFonts w:ascii="Times New Roman" w:hAnsi="Times New Roman"/>
          <w:color w:val="000000"/>
          <w:sz w:val="24"/>
        </w:rPr>
        <w:t>quanto maior o número de recursos a serem julgados, menor será a atenção conferida à análise cuidadosa e individualizada da impugnação</w:t>
      </w:r>
      <w:r>
        <w:rPr>
          <w:rFonts w:cs="Garamond"/>
          <w:color w:val="000000"/>
        </w:rPr>
        <w:t>)</w:t>
      </w:r>
      <w:r>
        <w:rPr>
          <w:rFonts w:ascii="Times New Roman" w:hAnsi="Times New Roman"/>
          <w:sz w:val="24"/>
          <w:szCs w:val="24"/>
        </w:rPr>
        <w:t xml:space="preserve">. Todavia, é possível, ainda, falar-se de uma terceira consequência: (iii) </w:t>
      </w:r>
      <w:r w:rsidRPr="00511309">
        <w:rPr>
          <w:rFonts w:ascii="Times New Roman" w:hAnsi="Times New Roman"/>
          <w:sz w:val="24"/>
          <w:szCs w:val="24"/>
        </w:rPr>
        <w:t>a negativa de prestação jurisdicional pelos Tribunais Superiores na</w:t>
      </w:r>
      <w:r>
        <w:rPr>
          <w:rFonts w:ascii="Times New Roman" w:hAnsi="Times New Roman"/>
          <w:sz w:val="24"/>
          <w:szCs w:val="24"/>
        </w:rPr>
        <w:t xml:space="preserve"> </w:t>
      </w:r>
      <w:r w:rsidRPr="00511309">
        <w:rPr>
          <w:rFonts w:ascii="Times New Roman" w:hAnsi="Times New Roman"/>
          <w:sz w:val="24"/>
          <w:szCs w:val="24"/>
        </w:rPr>
        <w:t>aplicação de óbices jurisprudenciais</w:t>
      </w:r>
      <w:r>
        <w:rPr>
          <w:rFonts w:ascii="Times New Roman" w:hAnsi="Times New Roman"/>
          <w:sz w:val="24"/>
          <w:szCs w:val="24"/>
        </w:rPr>
        <w:t xml:space="preserve">. </w:t>
      </w:r>
    </w:p>
    <w:p w:rsidR="00D549BC" w:rsidRDefault="00D549BC" w:rsidP="009955F8">
      <w:pPr>
        <w:spacing w:after="240"/>
        <w:contextualSpacing/>
        <w:rPr>
          <w:rFonts w:ascii="Times New Roman" w:hAnsi="Times New Roman"/>
          <w:sz w:val="24"/>
          <w:szCs w:val="24"/>
        </w:rPr>
      </w:pPr>
      <w:r>
        <w:rPr>
          <w:rFonts w:ascii="Times New Roman" w:hAnsi="Times New Roman"/>
          <w:sz w:val="24"/>
          <w:szCs w:val="24"/>
        </w:rPr>
        <w:t xml:space="preserve">É nessa terceira consequência, </w:t>
      </w:r>
      <w:r w:rsidRPr="00AA6F65">
        <w:rPr>
          <w:rFonts w:ascii="Times New Roman" w:hAnsi="Times New Roman"/>
          <w:i/>
          <w:sz w:val="24"/>
          <w:szCs w:val="24"/>
        </w:rPr>
        <w:t>Jurisprudência Defensiva</w:t>
      </w:r>
      <w:r w:rsidRPr="00EA703D">
        <w:rPr>
          <w:rFonts w:ascii="Times New Roman" w:hAnsi="Times New Roman"/>
          <w:sz w:val="24"/>
          <w:szCs w:val="24"/>
        </w:rPr>
        <w:t>,</w:t>
      </w:r>
      <w:r>
        <w:rPr>
          <w:rFonts w:ascii="Times New Roman" w:hAnsi="Times New Roman"/>
          <w:sz w:val="24"/>
          <w:szCs w:val="24"/>
        </w:rPr>
        <w:t xml:space="preserve"> que pretendemos fazer algumas breves considerações. </w:t>
      </w:r>
    </w:p>
    <w:p w:rsidR="00D549BC" w:rsidRDefault="00D549BC" w:rsidP="00511309">
      <w:pPr>
        <w:spacing w:after="240"/>
        <w:ind w:firstLine="851"/>
        <w:contextualSpacing/>
        <w:rPr>
          <w:rFonts w:ascii="Times New Roman" w:hAnsi="Times New Roman"/>
          <w:sz w:val="24"/>
          <w:szCs w:val="24"/>
        </w:rPr>
      </w:pPr>
    </w:p>
    <w:p w:rsidR="00D549BC" w:rsidRPr="00EA703D" w:rsidRDefault="00D549BC" w:rsidP="00E604D0">
      <w:pPr>
        <w:pStyle w:val="Default"/>
        <w:spacing w:line="360" w:lineRule="auto"/>
        <w:jc w:val="both"/>
        <w:rPr>
          <w:bCs/>
          <w:sz w:val="23"/>
          <w:szCs w:val="23"/>
        </w:rPr>
      </w:pPr>
      <w:r w:rsidRPr="00EA703D">
        <w:rPr>
          <w:bCs/>
          <w:szCs w:val="23"/>
        </w:rPr>
        <w:t>4.1 COMO AS CORTES SUPERIORES (STF E STJ) VÊM LIDANDO COM O ACÚMULO DE PROCESSOS</w:t>
      </w:r>
      <w:r w:rsidRPr="00EA703D">
        <w:t xml:space="preserve">: ANÁLISE DA JURISPRUDÊNCIA DEFENSIVA </w:t>
      </w:r>
      <w:r w:rsidRPr="00EA703D">
        <w:rPr>
          <w:bCs/>
          <w:sz w:val="23"/>
          <w:szCs w:val="23"/>
        </w:rPr>
        <w:t xml:space="preserve"> </w:t>
      </w:r>
    </w:p>
    <w:p w:rsidR="00D549BC" w:rsidRDefault="00D549BC" w:rsidP="00E604D0">
      <w:pPr>
        <w:pStyle w:val="Default"/>
        <w:spacing w:line="360" w:lineRule="auto"/>
        <w:jc w:val="both"/>
        <w:rPr>
          <w:b/>
          <w:bCs/>
          <w:sz w:val="23"/>
          <w:szCs w:val="23"/>
        </w:rPr>
      </w:pPr>
    </w:p>
    <w:p w:rsidR="00D549BC" w:rsidRDefault="00D549BC" w:rsidP="003D278C">
      <w:pPr>
        <w:pStyle w:val="Default"/>
        <w:spacing w:line="360" w:lineRule="auto"/>
        <w:ind w:firstLine="709"/>
        <w:jc w:val="both"/>
        <w:rPr>
          <w:rFonts w:cs="Garamond"/>
          <w:szCs w:val="22"/>
        </w:rPr>
      </w:pPr>
      <w:r w:rsidRPr="005876AF">
        <w:rPr>
          <w:rFonts w:cs="Garamond"/>
          <w:szCs w:val="22"/>
        </w:rPr>
        <w:t>C</w:t>
      </w:r>
      <w:r>
        <w:rPr>
          <w:rFonts w:cs="Garamond"/>
          <w:szCs w:val="22"/>
        </w:rPr>
        <w:t>riticada por ampla doutrina,</w:t>
      </w:r>
      <w:r>
        <w:rPr>
          <w:rStyle w:val="FootnoteReference"/>
          <w:rFonts w:cs="Garamond"/>
          <w:szCs w:val="22"/>
        </w:rPr>
        <w:footnoteReference w:id="155"/>
      </w:r>
      <w:r>
        <w:rPr>
          <w:rFonts w:cs="Garamond"/>
          <w:szCs w:val="22"/>
        </w:rPr>
        <w:t xml:space="preserve"> a </w:t>
      </w:r>
      <w:r w:rsidRPr="001B50E5">
        <w:rPr>
          <w:rFonts w:cs="Garamond"/>
          <w:i/>
          <w:szCs w:val="22"/>
        </w:rPr>
        <w:t>Jurisprudência Defensiva</w:t>
      </w:r>
      <w:r w:rsidRPr="005876AF">
        <w:rPr>
          <w:rFonts w:cs="Garamond"/>
          <w:szCs w:val="22"/>
        </w:rPr>
        <w:t xml:space="preserve"> vinha encontrando</w:t>
      </w:r>
      <w:r>
        <w:rPr>
          <w:rFonts w:cs="Garamond"/>
          <w:szCs w:val="22"/>
        </w:rPr>
        <w:t xml:space="preserve"> </w:t>
      </w:r>
      <w:r w:rsidRPr="005876AF">
        <w:rPr>
          <w:rFonts w:cs="Garamond"/>
          <w:szCs w:val="22"/>
        </w:rPr>
        <w:t>abrigo, em maior ou menor medida, no Supremo Tribunal Federal e no</w:t>
      </w:r>
      <w:r>
        <w:rPr>
          <w:rFonts w:cs="Garamond"/>
          <w:szCs w:val="22"/>
        </w:rPr>
        <w:t xml:space="preserve"> </w:t>
      </w:r>
      <w:r w:rsidRPr="005876AF">
        <w:rPr>
          <w:rFonts w:cs="Garamond"/>
          <w:szCs w:val="22"/>
        </w:rPr>
        <w:t xml:space="preserve">Superior Tribunal de Justiça, </w:t>
      </w:r>
      <w:r>
        <w:rPr>
          <w:rFonts w:cs="Garamond"/>
          <w:szCs w:val="22"/>
        </w:rPr>
        <w:t>c</w:t>
      </w:r>
      <w:r w:rsidRPr="005876AF">
        <w:rPr>
          <w:rFonts w:cs="Garamond"/>
          <w:szCs w:val="22"/>
        </w:rPr>
        <w:t>om base em fundamentos puramente</w:t>
      </w:r>
      <w:r>
        <w:rPr>
          <w:rFonts w:cs="Garamond"/>
          <w:szCs w:val="22"/>
        </w:rPr>
        <w:t xml:space="preserve"> </w:t>
      </w:r>
      <w:r w:rsidRPr="005876AF">
        <w:rPr>
          <w:rFonts w:cs="Garamond"/>
          <w:szCs w:val="22"/>
        </w:rPr>
        <w:t>pragmáticos: o excessivo número de recursos aportados ano após ano nos</w:t>
      </w:r>
      <w:r>
        <w:rPr>
          <w:rFonts w:cs="Garamond"/>
          <w:szCs w:val="22"/>
        </w:rPr>
        <w:t xml:space="preserve"> </w:t>
      </w:r>
      <w:r w:rsidRPr="005876AF">
        <w:rPr>
          <w:rFonts w:cs="Garamond"/>
          <w:szCs w:val="22"/>
        </w:rPr>
        <w:t>tribunais de cúpula</w:t>
      </w:r>
      <w:r>
        <w:rPr>
          <w:rFonts w:cs="Garamond"/>
          <w:szCs w:val="22"/>
        </w:rPr>
        <w:t xml:space="preserve">. </w:t>
      </w:r>
    </w:p>
    <w:p w:rsidR="00D549BC" w:rsidRDefault="00D549BC" w:rsidP="00646E35">
      <w:pPr>
        <w:pStyle w:val="Default"/>
        <w:spacing w:line="360" w:lineRule="auto"/>
        <w:ind w:firstLine="709"/>
        <w:jc w:val="both"/>
        <w:rPr>
          <w:rFonts w:cs="Garamond"/>
          <w:szCs w:val="22"/>
        </w:rPr>
      </w:pPr>
      <w:r w:rsidRPr="00E604D0">
        <w:rPr>
          <w:rFonts w:cs="Garamond"/>
          <w:szCs w:val="22"/>
        </w:rPr>
        <w:t>Portanto, se já não bastassem os efeito</w:t>
      </w:r>
      <w:r>
        <w:rPr>
          <w:rFonts w:cs="Garamond"/>
          <w:szCs w:val="22"/>
        </w:rPr>
        <w:t>s</w:t>
      </w:r>
      <w:r w:rsidRPr="00E604D0">
        <w:rPr>
          <w:rFonts w:cs="Garamond"/>
          <w:szCs w:val="22"/>
        </w:rPr>
        <w:t xml:space="preserve"> negativos do tempo do processo e da qualidade dos julgamentos, impõe-se ainda um problema maior, que é negar o acesso via recurso</w:t>
      </w:r>
      <w:r>
        <w:rPr>
          <w:rFonts w:cs="Garamond"/>
          <w:szCs w:val="22"/>
        </w:rPr>
        <w:t>s</w:t>
      </w:r>
      <w:r w:rsidRPr="00E604D0">
        <w:rPr>
          <w:rFonts w:cs="Garamond"/>
          <w:szCs w:val="22"/>
        </w:rPr>
        <w:t xml:space="preserve"> excepcionais, pauta</w:t>
      </w:r>
      <w:r>
        <w:rPr>
          <w:rFonts w:cs="Garamond"/>
          <w:szCs w:val="22"/>
        </w:rPr>
        <w:t>n</w:t>
      </w:r>
      <w:r w:rsidRPr="00E604D0">
        <w:rPr>
          <w:rFonts w:cs="Garamond"/>
          <w:szCs w:val="22"/>
        </w:rPr>
        <w:t>do-se em um arsenal de jurisprudências defensivas.</w:t>
      </w:r>
    </w:p>
    <w:p w:rsidR="00D549BC" w:rsidRDefault="00D549BC" w:rsidP="00E604D0">
      <w:pPr>
        <w:pStyle w:val="Default"/>
        <w:spacing w:line="360" w:lineRule="auto"/>
        <w:ind w:firstLine="851"/>
        <w:jc w:val="both"/>
        <w:rPr>
          <w:rFonts w:cs="Garamond"/>
          <w:szCs w:val="22"/>
        </w:rPr>
      </w:pPr>
    </w:p>
    <w:p w:rsidR="00D549BC" w:rsidRPr="00BE6DA6" w:rsidRDefault="00D549BC" w:rsidP="00C71625">
      <w:pPr>
        <w:spacing w:after="240"/>
        <w:ind w:firstLine="0"/>
        <w:contextualSpacing/>
        <w:rPr>
          <w:rFonts w:ascii="Times New Roman" w:hAnsi="Times New Roman"/>
          <w:b/>
          <w:sz w:val="24"/>
          <w:szCs w:val="23"/>
        </w:rPr>
      </w:pPr>
      <w:r w:rsidRPr="00BE6DA6">
        <w:rPr>
          <w:rFonts w:ascii="Times New Roman" w:hAnsi="Times New Roman"/>
          <w:b/>
          <w:sz w:val="24"/>
          <w:szCs w:val="23"/>
        </w:rPr>
        <w:t>4.1.1 A Jurisprudência Defensiva no Supremo Tribunal Federal e no Superior Tribunal de Justiça</w:t>
      </w:r>
    </w:p>
    <w:p w:rsidR="00D549BC" w:rsidRDefault="00D549BC" w:rsidP="0085613A">
      <w:pPr>
        <w:spacing w:after="240"/>
        <w:ind w:firstLine="851"/>
        <w:contextualSpacing/>
        <w:rPr>
          <w:rFonts w:ascii="Times New Roman" w:hAnsi="Times New Roman"/>
          <w:sz w:val="24"/>
          <w:szCs w:val="23"/>
        </w:rPr>
      </w:pPr>
    </w:p>
    <w:p w:rsidR="00D549BC" w:rsidRDefault="00D549BC" w:rsidP="00646E35">
      <w:pPr>
        <w:spacing w:after="240"/>
        <w:contextualSpacing/>
        <w:rPr>
          <w:rFonts w:ascii="Times New Roman" w:hAnsi="Times New Roman"/>
          <w:sz w:val="24"/>
          <w:szCs w:val="23"/>
        </w:rPr>
      </w:pPr>
      <w:r>
        <w:rPr>
          <w:rFonts w:ascii="Times New Roman" w:hAnsi="Times New Roman"/>
          <w:sz w:val="24"/>
          <w:szCs w:val="23"/>
        </w:rPr>
        <w:t xml:space="preserve">A </w:t>
      </w:r>
      <w:r w:rsidRPr="005158D9">
        <w:rPr>
          <w:rFonts w:ascii="Times New Roman" w:hAnsi="Times New Roman"/>
          <w:i/>
          <w:sz w:val="24"/>
          <w:szCs w:val="23"/>
        </w:rPr>
        <w:t>Jurisprudência Defensiva</w:t>
      </w:r>
      <w:r>
        <w:rPr>
          <w:rFonts w:ascii="Times New Roman" w:hAnsi="Times New Roman"/>
          <w:sz w:val="24"/>
          <w:szCs w:val="23"/>
        </w:rPr>
        <w:t xml:space="preserve"> consiste em um conjunto de entendimentos – na  maioria das vezes sem amparo legal – destinados a obstaculizar o exame de mérito do recurso excepcional interposto, em virtude de uma rigidez excessiva em relação aos pressupostos de admissibilidade recursal. </w:t>
      </w:r>
    </w:p>
    <w:p w:rsidR="00D549BC" w:rsidRDefault="00D549BC" w:rsidP="00646E35">
      <w:pPr>
        <w:spacing w:after="240"/>
        <w:contextualSpacing/>
        <w:rPr>
          <w:rFonts w:ascii="Times New Roman" w:hAnsi="Times New Roman"/>
          <w:sz w:val="24"/>
          <w:szCs w:val="23"/>
        </w:rPr>
      </w:pPr>
      <w:r>
        <w:rPr>
          <w:rFonts w:ascii="Times New Roman" w:hAnsi="Times New Roman"/>
          <w:sz w:val="24"/>
          <w:szCs w:val="23"/>
        </w:rPr>
        <w:t xml:space="preserve">Não podemos deixar de mencionar que as exigências à admissão de recursos excepcionais – requisitos de admissibilidade – são elementos importantes para que estes meios de impugnação não se tornem uma outra Apelação, o que acarretaria, certamente, o esvaziamento do papel paradigmático tanto do STF quanto do STJ. No entanto, o excesso de restrições impostas por meio de óbices jurisprudenciais, além de ser ilegítimo por resultar na limitação à devida prestação jurisdicional, torna-se mais grave ainda, visto que </w:t>
      </w:r>
      <w:r w:rsidRPr="005876AF">
        <w:rPr>
          <w:rFonts w:ascii="Times New Roman" w:hAnsi="Times New Roman"/>
          <w:sz w:val="24"/>
          <w:szCs w:val="23"/>
        </w:rPr>
        <w:t>é pensado simplesmente com o</w:t>
      </w:r>
      <w:r>
        <w:rPr>
          <w:rFonts w:ascii="Times New Roman" w:hAnsi="Times New Roman"/>
          <w:sz w:val="24"/>
          <w:szCs w:val="23"/>
        </w:rPr>
        <w:t xml:space="preserve"> </w:t>
      </w:r>
      <w:r w:rsidRPr="005876AF">
        <w:rPr>
          <w:rFonts w:ascii="Times New Roman" w:hAnsi="Times New Roman"/>
          <w:sz w:val="24"/>
          <w:szCs w:val="23"/>
        </w:rPr>
        <w:t>objetivo de não julgar recursos, dada a sobrecarga de feitos</w:t>
      </w:r>
      <w:r>
        <w:rPr>
          <w:rFonts w:ascii="Times New Roman" w:hAnsi="Times New Roman"/>
          <w:sz w:val="24"/>
          <w:szCs w:val="23"/>
        </w:rPr>
        <w:t xml:space="preserve">. </w:t>
      </w:r>
    </w:p>
    <w:p w:rsidR="00D549BC" w:rsidRDefault="00D549BC" w:rsidP="001B0C96">
      <w:pPr>
        <w:spacing w:after="240"/>
        <w:contextualSpacing/>
        <w:rPr>
          <w:rFonts w:ascii="Times New Roman" w:hAnsi="Times New Roman"/>
          <w:sz w:val="24"/>
          <w:szCs w:val="23"/>
        </w:rPr>
      </w:pPr>
      <w:r w:rsidRPr="00FF7292">
        <w:rPr>
          <w:rFonts w:ascii="Times New Roman" w:hAnsi="Times New Roman"/>
          <w:sz w:val="24"/>
          <w:szCs w:val="23"/>
        </w:rPr>
        <w:t>Assim</w:t>
      </w:r>
      <w:r>
        <w:rPr>
          <w:rFonts w:ascii="Times New Roman" w:hAnsi="Times New Roman"/>
          <w:sz w:val="24"/>
          <w:szCs w:val="23"/>
        </w:rPr>
        <w:t>,</w:t>
      </w:r>
      <w:r w:rsidRPr="00FF7292">
        <w:rPr>
          <w:rFonts w:ascii="Times New Roman" w:hAnsi="Times New Roman"/>
          <w:sz w:val="24"/>
          <w:szCs w:val="23"/>
        </w:rPr>
        <w:t xml:space="preserve"> proliferaram orientações formalistas</w:t>
      </w:r>
      <w:r>
        <w:rPr>
          <w:rFonts w:ascii="Times New Roman" w:hAnsi="Times New Roman"/>
          <w:sz w:val="24"/>
          <w:szCs w:val="23"/>
        </w:rPr>
        <w:t xml:space="preserve"> de ambos os lados, tanto por parte do STF quanto do STJ, as quais serão analisadas, ainda que brevemente, com o intuito de demonstrarmos o comportamento das citadas Cortes Superiores diante da sobrecarga de trabalhos.</w:t>
      </w:r>
    </w:p>
    <w:p w:rsidR="00D549BC" w:rsidRDefault="00D549BC" w:rsidP="001B0C96">
      <w:pPr>
        <w:spacing w:after="240"/>
        <w:contextualSpacing/>
        <w:rPr>
          <w:rFonts w:ascii="Times New Roman" w:hAnsi="Times New Roman"/>
          <w:sz w:val="24"/>
          <w:szCs w:val="23"/>
        </w:rPr>
      </w:pPr>
    </w:p>
    <w:p w:rsidR="00D549BC" w:rsidRDefault="00D549BC" w:rsidP="001B0C96">
      <w:pPr>
        <w:spacing w:after="240"/>
        <w:contextualSpacing/>
        <w:rPr>
          <w:rFonts w:ascii="Times New Roman" w:hAnsi="Times New Roman"/>
          <w:sz w:val="24"/>
          <w:szCs w:val="23"/>
        </w:rPr>
      </w:pPr>
    </w:p>
    <w:p w:rsidR="00D549BC" w:rsidRDefault="00D549BC" w:rsidP="001B0C96">
      <w:pPr>
        <w:spacing w:after="240"/>
        <w:contextualSpacing/>
        <w:rPr>
          <w:rFonts w:ascii="Times New Roman" w:hAnsi="Times New Roman"/>
          <w:sz w:val="24"/>
          <w:szCs w:val="23"/>
        </w:rPr>
      </w:pPr>
    </w:p>
    <w:p w:rsidR="00D549BC" w:rsidRDefault="00D549BC" w:rsidP="002E0B81">
      <w:pPr>
        <w:spacing w:after="240"/>
        <w:ind w:firstLine="567"/>
        <w:contextualSpacing/>
        <w:rPr>
          <w:rFonts w:ascii="Times New Roman" w:hAnsi="Times New Roman"/>
          <w:sz w:val="24"/>
          <w:szCs w:val="23"/>
        </w:rPr>
      </w:pPr>
      <w:r>
        <w:rPr>
          <w:rFonts w:ascii="Times New Roman" w:hAnsi="Times New Roman"/>
          <w:sz w:val="24"/>
          <w:szCs w:val="23"/>
        </w:rPr>
        <w:t>__________________________</w:t>
      </w:r>
    </w:p>
    <w:p w:rsidR="00D549BC" w:rsidRDefault="00D549BC" w:rsidP="002E0B81">
      <w:pPr>
        <w:spacing w:after="240" w:line="240" w:lineRule="auto"/>
        <w:ind w:firstLine="0"/>
        <w:contextualSpacing/>
        <w:rPr>
          <w:rFonts w:ascii="Times New Roman" w:hAnsi="Times New Roman"/>
          <w:sz w:val="24"/>
          <w:szCs w:val="23"/>
        </w:rPr>
      </w:pPr>
      <w:r w:rsidRPr="00E20A96">
        <w:rPr>
          <w:rFonts w:ascii="Times New Roman" w:hAnsi="Times New Roman"/>
          <w:sz w:val="20"/>
          <w:szCs w:val="20"/>
        </w:rPr>
        <w:t xml:space="preserve">tribunais. Esse, a meu ver, é o maior problema da jurisprudência defensiva. Os tribunais – e, no que respeita ao tema, especialmente os tribunais superiores – devem atuar com retidão, ao aplicar a lei. A criação de ‘entraves e pretextos’ não previstos na norma jurídica ‘para impedir a chegada e o conhecimento de recursos’ mancha a imagem daqueles tribunais que deveriam servir de guias na interpretação da própria lei” (MEDINA, JOSÉ MIGUEL. </w:t>
      </w:r>
      <w:r w:rsidRPr="00E20A96">
        <w:rPr>
          <w:rFonts w:ascii="Times New Roman" w:hAnsi="Times New Roman"/>
          <w:b/>
          <w:sz w:val="20"/>
          <w:szCs w:val="20"/>
        </w:rPr>
        <w:t>Pelo fim da jurisprudência defensiva</w:t>
      </w:r>
      <w:r w:rsidRPr="00E20A96">
        <w:rPr>
          <w:rFonts w:ascii="Times New Roman" w:hAnsi="Times New Roman"/>
          <w:sz w:val="20"/>
          <w:szCs w:val="20"/>
        </w:rPr>
        <w:t>: uma utopia? Disponível em: http://www.conjur.com.br/2013-jul-29/processo-fim-jurisprudencia-defensiva-utopia. Acesso em: 20 mar. 2015.</w:t>
      </w:r>
    </w:p>
    <w:p w:rsidR="00D549BC" w:rsidRDefault="00D549BC" w:rsidP="002E0B81">
      <w:pPr>
        <w:spacing w:after="240"/>
        <w:ind w:firstLine="0"/>
        <w:contextualSpacing/>
        <w:rPr>
          <w:rFonts w:ascii="Times New Roman" w:hAnsi="Times New Roman"/>
          <w:sz w:val="24"/>
          <w:szCs w:val="23"/>
        </w:rPr>
      </w:pPr>
      <w:r>
        <w:rPr>
          <w:rFonts w:ascii="Times New Roman" w:hAnsi="Times New Roman"/>
          <w:sz w:val="24"/>
          <w:szCs w:val="23"/>
        </w:rPr>
        <w:t xml:space="preserve">  </w:t>
      </w:r>
    </w:p>
    <w:p w:rsidR="00D549BC" w:rsidRDefault="00D549BC" w:rsidP="005876AF">
      <w:pPr>
        <w:spacing w:after="240"/>
        <w:ind w:firstLine="851"/>
        <w:contextualSpacing/>
        <w:rPr>
          <w:rFonts w:ascii="Times New Roman" w:hAnsi="Times New Roman"/>
          <w:sz w:val="24"/>
          <w:szCs w:val="23"/>
        </w:rPr>
      </w:pPr>
    </w:p>
    <w:p w:rsidR="00D549BC" w:rsidRDefault="00D549BC" w:rsidP="00F3785E">
      <w:pPr>
        <w:spacing w:after="240"/>
        <w:ind w:firstLine="0"/>
        <w:contextualSpacing/>
        <w:rPr>
          <w:rFonts w:ascii="Times New Roman" w:hAnsi="Times New Roman"/>
          <w:sz w:val="24"/>
        </w:rPr>
      </w:pPr>
      <w:r w:rsidRPr="007F6D8D">
        <w:rPr>
          <w:rFonts w:ascii="Times New Roman" w:hAnsi="Times New Roman"/>
          <w:sz w:val="24"/>
        </w:rPr>
        <w:t>4.1.1.1</w:t>
      </w:r>
      <w:r w:rsidRPr="007F6D8D">
        <w:rPr>
          <w:rFonts w:ascii="Times New Roman" w:hAnsi="Times New Roman"/>
          <w:sz w:val="24"/>
        </w:rPr>
        <w:tab/>
        <w:t>Recursos não assinados</w:t>
      </w:r>
    </w:p>
    <w:p w:rsidR="00D549BC" w:rsidRDefault="00D549BC" w:rsidP="00F3785E">
      <w:pPr>
        <w:spacing w:after="240"/>
        <w:ind w:firstLine="0"/>
        <w:contextualSpacing/>
        <w:rPr>
          <w:rFonts w:ascii="Times New Roman" w:hAnsi="Times New Roman"/>
          <w:sz w:val="24"/>
        </w:rPr>
      </w:pPr>
    </w:p>
    <w:p w:rsidR="00D549BC" w:rsidRDefault="00D549BC" w:rsidP="001B0C96">
      <w:pPr>
        <w:spacing w:after="240"/>
        <w:contextualSpacing/>
        <w:rPr>
          <w:rFonts w:ascii="Times New Roman" w:hAnsi="Times New Roman"/>
          <w:sz w:val="24"/>
          <w:szCs w:val="23"/>
        </w:rPr>
      </w:pPr>
      <w:r w:rsidRPr="00F3785E">
        <w:rPr>
          <w:rFonts w:ascii="Times New Roman" w:hAnsi="Times New Roman"/>
          <w:sz w:val="24"/>
          <w:szCs w:val="23"/>
        </w:rPr>
        <w:t>Curiosa é a questão da admissibilidade de um recurso não assinado</w:t>
      </w:r>
      <w:r>
        <w:rPr>
          <w:rFonts w:ascii="Times New Roman" w:hAnsi="Times New Roman"/>
          <w:sz w:val="24"/>
          <w:szCs w:val="23"/>
        </w:rPr>
        <w:t xml:space="preserve"> pelo advogado do recorrente</w:t>
      </w:r>
      <w:r w:rsidRPr="00F3785E">
        <w:rPr>
          <w:rFonts w:ascii="Times New Roman" w:hAnsi="Times New Roman"/>
          <w:sz w:val="24"/>
          <w:szCs w:val="23"/>
        </w:rPr>
        <w:t>. Entende o STJ</w:t>
      </w:r>
      <w:r>
        <w:rPr>
          <w:rFonts w:ascii="Times New Roman" w:hAnsi="Times New Roman"/>
          <w:sz w:val="24"/>
          <w:szCs w:val="23"/>
        </w:rPr>
        <w:t xml:space="preserve"> </w:t>
      </w:r>
      <w:r w:rsidRPr="00F3785E">
        <w:rPr>
          <w:rFonts w:ascii="Times New Roman" w:hAnsi="Times New Roman"/>
          <w:sz w:val="24"/>
          <w:szCs w:val="23"/>
        </w:rPr>
        <w:t xml:space="preserve">que, para a instância ordinária, trata-se de </w:t>
      </w:r>
      <w:r>
        <w:rPr>
          <w:rFonts w:ascii="Times New Roman" w:hAnsi="Times New Roman"/>
          <w:sz w:val="24"/>
          <w:szCs w:val="23"/>
        </w:rPr>
        <w:t>uma simples</w:t>
      </w:r>
      <w:r w:rsidRPr="00F3785E">
        <w:rPr>
          <w:rFonts w:ascii="Times New Roman" w:hAnsi="Times New Roman"/>
          <w:sz w:val="24"/>
          <w:szCs w:val="23"/>
        </w:rPr>
        <w:t xml:space="preserve"> irregularidade, passível de ser sanada: </w:t>
      </w:r>
      <w:r>
        <w:rPr>
          <w:rFonts w:ascii="Times New Roman" w:hAnsi="Times New Roman"/>
          <w:sz w:val="24"/>
          <w:szCs w:val="23"/>
        </w:rPr>
        <w:t>“</w:t>
      </w:r>
      <w:r w:rsidRPr="00F3785E">
        <w:rPr>
          <w:rFonts w:ascii="Times New Roman" w:hAnsi="Times New Roman"/>
          <w:sz w:val="24"/>
          <w:szCs w:val="23"/>
        </w:rPr>
        <w:t>A</w:t>
      </w:r>
      <w:r>
        <w:rPr>
          <w:rFonts w:ascii="Times New Roman" w:hAnsi="Times New Roman"/>
          <w:sz w:val="24"/>
          <w:szCs w:val="23"/>
        </w:rPr>
        <w:t xml:space="preserve"> </w:t>
      </w:r>
      <w:r w:rsidRPr="00F3785E">
        <w:rPr>
          <w:rFonts w:ascii="Times New Roman" w:hAnsi="Times New Roman"/>
          <w:sz w:val="24"/>
          <w:szCs w:val="23"/>
        </w:rPr>
        <w:t>jurisprudência do STJ posiciona-se no sentido de admitir recurso não assinado na instância</w:t>
      </w:r>
      <w:r>
        <w:rPr>
          <w:rFonts w:ascii="Times New Roman" w:hAnsi="Times New Roman"/>
          <w:sz w:val="24"/>
          <w:szCs w:val="23"/>
        </w:rPr>
        <w:t xml:space="preserve"> </w:t>
      </w:r>
      <w:r w:rsidRPr="00F3785E">
        <w:rPr>
          <w:rFonts w:ascii="Times New Roman" w:hAnsi="Times New Roman"/>
          <w:sz w:val="24"/>
          <w:szCs w:val="23"/>
        </w:rPr>
        <w:t>ordinária, se a parte, intima</w:t>
      </w:r>
      <w:r>
        <w:rPr>
          <w:rFonts w:ascii="Times New Roman" w:hAnsi="Times New Roman"/>
          <w:sz w:val="24"/>
          <w:szCs w:val="23"/>
        </w:rPr>
        <w:t>da, sana a falta de assinatura”.</w:t>
      </w:r>
      <w:r>
        <w:rPr>
          <w:rStyle w:val="FootnoteReference"/>
          <w:rFonts w:ascii="Times New Roman" w:hAnsi="Times New Roman"/>
          <w:sz w:val="24"/>
          <w:szCs w:val="23"/>
        </w:rPr>
        <w:footnoteReference w:id="156"/>
      </w:r>
      <w:r w:rsidRPr="00F3785E">
        <w:rPr>
          <w:rFonts w:ascii="Times New Roman" w:hAnsi="Times New Roman"/>
          <w:sz w:val="24"/>
          <w:szCs w:val="23"/>
        </w:rPr>
        <w:t xml:space="preserve"> </w:t>
      </w:r>
      <w:r>
        <w:rPr>
          <w:rFonts w:ascii="Times New Roman" w:hAnsi="Times New Roman"/>
          <w:sz w:val="24"/>
          <w:szCs w:val="23"/>
        </w:rPr>
        <w:t>Por outro lado</w:t>
      </w:r>
      <w:r w:rsidRPr="00F3785E">
        <w:rPr>
          <w:rFonts w:ascii="Times New Roman" w:hAnsi="Times New Roman"/>
          <w:sz w:val="24"/>
          <w:szCs w:val="23"/>
        </w:rPr>
        <w:t>, quando se trata da via</w:t>
      </w:r>
      <w:r>
        <w:rPr>
          <w:rFonts w:ascii="Times New Roman" w:hAnsi="Times New Roman"/>
          <w:sz w:val="24"/>
          <w:szCs w:val="23"/>
        </w:rPr>
        <w:t xml:space="preserve"> </w:t>
      </w:r>
      <w:r w:rsidRPr="00F3785E">
        <w:rPr>
          <w:rFonts w:ascii="Times New Roman" w:hAnsi="Times New Roman"/>
          <w:sz w:val="24"/>
          <w:szCs w:val="23"/>
        </w:rPr>
        <w:t>extraordinária, a mesma Corte é enfática: “O recurso não assinado na via excepcional é</w:t>
      </w:r>
      <w:r>
        <w:rPr>
          <w:rFonts w:ascii="Times New Roman" w:hAnsi="Times New Roman"/>
          <w:sz w:val="24"/>
          <w:szCs w:val="23"/>
        </w:rPr>
        <w:t xml:space="preserve"> </w:t>
      </w:r>
      <w:r w:rsidRPr="00F3785E">
        <w:rPr>
          <w:rFonts w:ascii="Times New Roman" w:hAnsi="Times New Roman"/>
          <w:sz w:val="24"/>
          <w:szCs w:val="23"/>
        </w:rPr>
        <w:t>considerado inexistente, inviabilizando o seu conhecimento</w:t>
      </w:r>
      <w:r>
        <w:rPr>
          <w:rFonts w:ascii="Times New Roman" w:hAnsi="Times New Roman"/>
          <w:sz w:val="24"/>
          <w:szCs w:val="23"/>
        </w:rPr>
        <w:t>”.</w:t>
      </w:r>
      <w:r>
        <w:rPr>
          <w:rStyle w:val="FootnoteReference"/>
          <w:rFonts w:ascii="Times New Roman" w:hAnsi="Times New Roman"/>
          <w:sz w:val="24"/>
          <w:szCs w:val="23"/>
        </w:rPr>
        <w:footnoteReference w:id="157"/>
      </w:r>
      <w:r>
        <w:rPr>
          <w:rFonts w:ascii="Times New Roman" w:hAnsi="Times New Roman"/>
          <w:sz w:val="24"/>
          <w:szCs w:val="23"/>
        </w:rPr>
        <w:t xml:space="preserve"> </w:t>
      </w:r>
    </w:p>
    <w:p w:rsidR="00D549BC" w:rsidRDefault="00D549BC" w:rsidP="001B0C96">
      <w:pPr>
        <w:spacing w:after="240"/>
        <w:contextualSpacing/>
        <w:rPr>
          <w:rFonts w:ascii="Times New Roman" w:hAnsi="Times New Roman"/>
          <w:sz w:val="24"/>
          <w:szCs w:val="23"/>
        </w:rPr>
      </w:pPr>
      <w:r w:rsidRPr="00FB1602">
        <w:rPr>
          <w:rFonts w:ascii="Times New Roman" w:hAnsi="Times New Roman"/>
          <w:sz w:val="24"/>
          <w:szCs w:val="23"/>
        </w:rPr>
        <w:t>No âmbito do STF, a realidade não é diferente. A Corte</w:t>
      </w:r>
      <w:r>
        <w:rPr>
          <w:rFonts w:ascii="Times New Roman" w:hAnsi="Times New Roman"/>
          <w:sz w:val="24"/>
          <w:szCs w:val="23"/>
        </w:rPr>
        <w:t xml:space="preserve"> Suprema é categórica quanto a</w:t>
      </w:r>
      <w:r w:rsidRPr="00FB1602">
        <w:rPr>
          <w:rFonts w:ascii="Times New Roman" w:hAnsi="Times New Roman"/>
          <w:sz w:val="24"/>
          <w:szCs w:val="23"/>
        </w:rPr>
        <w:t xml:space="preserve"> não</w:t>
      </w:r>
      <w:r>
        <w:rPr>
          <w:rFonts w:ascii="Times New Roman" w:hAnsi="Times New Roman"/>
          <w:sz w:val="24"/>
          <w:szCs w:val="23"/>
        </w:rPr>
        <w:t xml:space="preserve"> aplicabilidade </w:t>
      </w:r>
      <w:r w:rsidRPr="00FB1602">
        <w:rPr>
          <w:rFonts w:ascii="Times New Roman" w:hAnsi="Times New Roman"/>
          <w:sz w:val="24"/>
          <w:szCs w:val="23"/>
        </w:rPr>
        <w:t>do</w:t>
      </w:r>
      <w:r>
        <w:rPr>
          <w:rFonts w:ascii="Times New Roman" w:hAnsi="Times New Roman"/>
          <w:sz w:val="24"/>
          <w:szCs w:val="23"/>
        </w:rPr>
        <w:t xml:space="preserve"> disposto no</w:t>
      </w:r>
      <w:r w:rsidRPr="00FB1602">
        <w:rPr>
          <w:rFonts w:ascii="Times New Roman" w:hAnsi="Times New Roman"/>
          <w:sz w:val="24"/>
          <w:szCs w:val="23"/>
        </w:rPr>
        <w:t xml:space="preserve"> artigo 13 do CPC</w:t>
      </w:r>
      <w:r>
        <w:rPr>
          <w:rStyle w:val="FootnoteReference"/>
          <w:rFonts w:ascii="Times New Roman" w:hAnsi="Times New Roman"/>
          <w:sz w:val="24"/>
          <w:szCs w:val="23"/>
        </w:rPr>
        <w:footnoteReference w:id="158"/>
      </w:r>
      <w:r>
        <w:rPr>
          <w:rFonts w:ascii="Times New Roman" w:hAnsi="Times New Roman"/>
          <w:sz w:val="24"/>
          <w:szCs w:val="23"/>
        </w:rPr>
        <w:t xml:space="preserve"> ao Recurso E</w:t>
      </w:r>
      <w:r w:rsidRPr="00FB1602">
        <w:rPr>
          <w:rFonts w:ascii="Times New Roman" w:hAnsi="Times New Roman"/>
          <w:sz w:val="24"/>
          <w:szCs w:val="23"/>
        </w:rPr>
        <w:t xml:space="preserve">xtraordinário: </w:t>
      </w:r>
    </w:p>
    <w:p w:rsidR="00D549BC" w:rsidRDefault="00D549BC" w:rsidP="00FB1602">
      <w:pPr>
        <w:spacing w:after="240" w:line="240" w:lineRule="auto"/>
        <w:ind w:left="2268" w:firstLine="0"/>
        <w:contextualSpacing/>
        <w:rPr>
          <w:rFonts w:ascii="Times New Roman" w:hAnsi="Times New Roman"/>
          <w:szCs w:val="23"/>
        </w:rPr>
      </w:pPr>
      <w:r w:rsidRPr="00FB1602">
        <w:rPr>
          <w:rFonts w:ascii="Times New Roman" w:hAnsi="Times New Roman"/>
          <w:szCs w:val="23"/>
        </w:rPr>
        <w:t>O Supremo Tribunal Federal possui jurisprudência pacífica no sentido de considerar inexistente o recurso não assinado pelo procurador do recorrente. Precedentes. Ademais, é firme o entendimento desta Corte de que não é aplicável ao recurso extraordinário a norma inscrita no art. 13 do CPC. Precedentes</w:t>
      </w:r>
      <w:r>
        <w:rPr>
          <w:rFonts w:ascii="Times New Roman" w:hAnsi="Times New Roman"/>
          <w:szCs w:val="23"/>
        </w:rPr>
        <w:t>.</w:t>
      </w:r>
      <w:r>
        <w:rPr>
          <w:rStyle w:val="FootnoteReference"/>
          <w:rFonts w:ascii="Times New Roman" w:hAnsi="Times New Roman"/>
          <w:szCs w:val="23"/>
        </w:rPr>
        <w:footnoteReference w:id="159"/>
      </w:r>
    </w:p>
    <w:p w:rsidR="00D549BC" w:rsidRDefault="00D549BC" w:rsidP="00B12225">
      <w:pPr>
        <w:spacing w:after="240" w:line="240" w:lineRule="auto"/>
        <w:contextualSpacing/>
        <w:rPr>
          <w:rFonts w:ascii="Times New Roman" w:hAnsi="Times New Roman"/>
          <w:szCs w:val="23"/>
        </w:rPr>
      </w:pPr>
    </w:p>
    <w:p w:rsidR="00D549BC" w:rsidRDefault="00D549BC" w:rsidP="00EE6640">
      <w:pPr>
        <w:spacing w:after="240"/>
        <w:contextualSpacing/>
        <w:rPr>
          <w:rFonts w:ascii="Times New Roman" w:hAnsi="Times New Roman"/>
          <w:sz w:val="24"/>
          <w:szCs w:val="23"/>
        </w:rPr>
      </w:pPr>
      <w:r>
        <w:rPr>
          <w:rFonts w:ascii="Times New Roman" w:hAnsi="Times New Roman"/>
          <w:sz w:val="24"/>
          <w:szCs w:val="23"/>
        </w:rPr>
        <w:t xml:space="preserve"> Percebe-se com isso que ambas as Cortes adotam interpretação bastante rigorosa quanto às formalidades dos recursos excepcionais, sendo que o STF afasta expressamente a incidência do artigo 13 do CPC, enquanto que o STJ o faz implicitamente. </w:t>
      </w:r>
    </w:p>
    <w:p w:rsidR="00D549BC" w:rsidRDefault="00D549BC" w:rsidP="00EE6640">
      <w:pPr>
        <w:spacing w:after="240"/>
        <w:contextualSpacing/>
        <w:rPr>
          <w:rFonts w:ascii="Times New Roman" w:hAnsi="Times New Roman"/>
          <w:sz w:val="24"/>
          <w:szCs w:val="23"/>
        </w:rPr>
      </w:pPr>
      <w:r>
        <w:rPr>
          <w:rFonts w:ascii="Times New Roman" w:hAnsi="Times New Roman"/>
          <w:sz w:val="24"/>
          <w:szCs w:val="23"/>
        </w:rPr>
        <w:t>Acreditamos que esse não é o melhor caminho a ser trilhado pelas instâncias extraordinárias, pois casos importantes – ou ainda, que não o sejam, mas estejam bem fundamentados e com chances de provimento – podem vir a ser rechaçados por causa da jurisprudência defensiva, a qual demanda um zelo excessivo por parte dos jurisdicionados.</w:t>
      </w:r>
    </w:p>
    <w:p w:rsidR="00D549BC" w:rsidRDefault="00D549BC" w:rsidP="00EE6640">
      <w:pPr>
        <w:spacing w:after="240"/>
        <w:contextualSpacing/>
        <w:rPr>
          <w:rFonts w:ascii="Times New Roman" w:hAnsi="Times New Roman"/>
          <w:sz w:val="24"/>
          <w:szCs w:val="23"/>
        </w:rPr>
      </w:pPr>
      <w:r>
        <w:rPr>
          <w:rFonts w:ascii="Times New Roman" w:hAnsi="Times New Roman"/>
          <w:sz w:val="24"/>
          <w:szCs w:val="23"/>
        </w:rPr>
        <w:t xml:space="preserve">Não à toa que </w:t>
      </w:r>
      <w:r w:rsidRPr="0078741F">
        <w:rPr>
          <w:rFonts w:ascii="Times New Roman" w:hAnsi="Times New Roman"/>
          <w:sz w:val="24"/>
          <w:szCs w:val="23"/>
        </w:rPr>
        <w:t>CÂNDIDO RANGEL DINAMARCO</w:t>
      </w:r>
      <w:r>
        <w:rPr>
          <w:rStyle w:val="FootnoteReference"/>
          <w:rFonts w:ascii="Times New Roman" w:hAnsi="Times New Roman"/>
          <w:sz w:val="24"/>
          <w:szCs w:val="23"/>
        </w:rPr>
        <w:footnoteReference w:id="160"/>
      </w:r>
      <w:r>
        <w:rPr>
          <w:rFonts w:ascii="Times New Roman" w:hAnsi="Times New Roman"/>
          <w:sz w:val="24"/>
          <w:szCs w:val="23"/>
        </w:rPr>
        <w:t xml:space="preserve"> tece acirradas críticas à</w:t>
      </w:r>
      <w:r w:rsidRPr="0078741F">
        <w:rPr>
          <w:rFonts w:ascii="Times New Roman" w:hAnsi="Times New Roman"/>
          <w:sz w:val="24"/>
          <w:szCs w:val="23"/>
        </w:rPr>
        <w:t xml:space="preserve"> posição assumida</w:t>
      </w:r>
      <w:r>
        <w:rPr>
          <w:rFonts w:ascii="Times New Roman" w:hAnsi="Times New Roman"/>
          <w:sz w:val="24"/>
          <w:szCs w:val="23"/>
        </w:rPr>
        <w:t xml:space="preserve"> pelas Cortes S</w:t>
      </w:r>
      <w:r w:rsidRPr="0078741F">
        <w:rPr>
          <w:rFonts w:ascii="Times New Roman" w:hAnsi="Times New Roman"/>
          <w:sz w:val="24"/>
          <w:szCs w:val="23"/>
        </w:rPr>
        <w:t xml:space="preserve">uperiores, questionando se haveria compromisso </w:t>
      </w:r>
      <w:r>
        <w:rPr>
          <w:rFonts w:ascii="Times New Roman" w:hAnsi="Times New Roman"/>
          <w:sz w:val="24"/>
          <w:szCs w:val="23"/>
        </w:rPr>
        <w:t>seu</w:t>
      </w:r>
      <w:r w:rsidRPr="0078741F">
        <w:rPr>
          <w:rFonts w:ascii="Times New Roman" w:hAnsi="Times New Roman"/>
          <w:sz w:val="24"/>
          <w:szCs w:val="23"/>
        </w:rPr>
        <w:t xml:space="preserve"> com a própria justiça</w:t>
      </w:r>
      <w:r>
        <w:rPr>
          <w:rFonts w:ascii="Times New Roman" w:hAnsi="Times New Roman"/>
          <w:sz w:val="24"/>
          <w:szCs w:val="23"/>
        </w:rPr>
        <w:t xml:space="preserve">: </w:t>
      </w:r>
    </w:p>
    <w:p w:rsidR="00D549BC" w:rsidRPr="00BC784B" w:rsidRDefault="00D549BC" w:rsidP="00BC784B">
      <w:pPr>
        <w:spacing w:after="240" w:line="240" w:lineRule="auto"/>
        <w:ind w:left="2268" w:firstLine="0"/>
        <w:contextualSpacing/>
        <w:rPr>
          <w:rFonts w:ascii="Times New Roman" w:hAnsi="Times New Roman"/>
          <w:szCs w:val="23"/>
        </w:rPr>
      </w:pPr>
      <w:r w:rsidRPr="00BC784B">
        <w:rPr>
          <w:rFonts w:ascii="Times New Roman" w:hAnsi="Times New Roman"/>
          <w:szCs w:val="23"/>
        </w:rPr>
        <w:t xml:space="preserve">Ouso até dizer que chega a ser arbitrária a postura dos que, proclamando o repúdio ao formalismo irracional em relação a outros atos do processo e chegando mesmo a admitir sua regularização mediante a assinatura inicialmente faltante, quando tratam do recurso extraordinário ou do especial vêm assumir atitude diferente. Por que esses atos mereceriam ser tratados assim, a partir de um metro formalista e discrepante das premissas tão bem aceitas em outras situações? Essa postura parece-me mais uma manifestação da ideia de que tais recursos não teriam compromisso algum com o valor do </w:t>
      </w:r>
      <w:r>
        <w:rPr>
          <w:rFonts w:ascii="Times New Roman" w:hAnsi="Times New Roman"/>
          <w:szCs w:val="23"/>
        </w:rPr>
        <w:t xml:space="preserve">justo, </w:t>
      </w:r>
      <w:r w:rsidRPr="00BC784B">
        <w:rPr>
          <w:rFonts w:ascii="Times New Roman" w:hAnsi="Times New Roman"/>
          <w:szCs w:val="23"/>
        </w:rPr>
        <w:t xml:space="preserve">servindo somente, como está em escritos de Alfredo Buzaid, à preservação da ordem jurídico-positiva do país </w:t>
      </w:r>
      <w:r>
        <w:rPr>
          <w:rFonts w:ascii="Times New Roman" w:hAnsi="Times New Roman"/>
          <w:szCs w:val="23"/>
        </w:rPr>
        <w:t>–</w:t>
      </w:r>
      <w:r w:rsidRPr="00BC784B">
        <w:rPr>
          <w:rFonts w:ascii="Times New Roman" w:hAnsi="Times New Roman"/>
          <w:szCs w:val="23"/>
        </w:rPr>
        <w:t xml:space="preserve"> e não como instrumento à disposição das partes para a busca do acesso à justiça </w:t>
      </w:r>
    </w:p>
    <w:p w:rsidR="00D549BC" w:rsidRDefault="00D549BC" w:rsidP="00C71625">
      <w:pPr>
        <w:spacing w:after="240"/>
        <w:ind w:firstLine="0"/>
        <w:contextualSpacing/>
        <w:rPr>
          <w:rFonts w:ascii="Times New Roman" w:hAnsi="Times New Roman"/>
          <w:szCs w:val="23"/>
        </w:rPr>
      </w:pPr>
      <w:r w:rsidRPr="00BC784B">
        <w:rPr>
          <w:rFonts w:ascii="Times New Roman" w:hAnsi="Times New Roman"/>
          <w:szCs w:val="23"/>
        </w:rPr>
        <w:t xml:space="preserve"> </w:t>
      </w:r>
    </w:p>
    <w:p w:rsidR="00D549BC" w:rsidRDefault="00D549BC" w:rsidP="00E95AEA">
      <w:pPr>
        <w:spacing w:after="240"/>
        <w:contextualSpacing/>
        <w:rPr>
          <w:rFonts w:ascii="Times New Roman" w:hAnsi="Times New Roman"/>
          <w:sz w:val="24"/>
          <w:szCs w:val="24"/>
        </w:rPr>
      </w:pPr>
      <w:r>
        <w:rPr>
          <w:rFonts w:ascii="Times New Roman" w:hAnsi="Times New Roman"/>
          <w:sz w:val="24"/>
          <w:szCs w:val="24"/>
        </w:rPr>
        <w:t xml:space="preserve">O Novo Código de Processo Civil, que entrará em vigor em 16 de março de 2016, visando combater a Jurisprudência Defensiva, previu expressamente, na Seção que trata dos Recursos Extraordinário e Especial, regra atinente à formalidade excessiva, vejamos: </w:t>
      </w:r>
    </w:p>
    <w:p w:rsidR="00D549BC" w:rsidRPr="003C0B2F" w:rsidRDefault="00D549BC" w:rsidP="003C0B2F">
      <w:pPr>
        <w:spacing w:after="240" w:line="240" w:lineRule="auto"/>
        <w:ind w:left="2268" w:firstLine="0"/>
        <w:contextualSpacing/>
        <w:rPr>
          <w:rFonts w:ascii="Times New Roman" w:hAnsi="Times New Roman"/>
          <w:szCs w:val="24"/>
        </w:rPr>
      </w:pPr>
      <w:r w:rsidRPr="003C0B2F">
        <w:rPr>
          <w:rFonts w:ascii="Times New Roman" w:hAnsi="Times New Roman"/>
          <w:szCs w:val="24"/>
        </w:rPr>
        <w:t>Seção II</w:t>
      </w:r>
    </w:p>
    <w:p w:rsidR="00D549BC" w:rsidRPr="003C0B2F" w:rsidRDefault="00D549BC" w:rsidP="003C0B2F">
      <w:pPr>
        <w:spacing w:after="240" w:line="240" w:lineRule="auto"/>
        <w:ind w:left="2268" w:firstLine="0"/>
        <w:contextualSpacing/>
        <w:rPr>
          <w:rFonts w:ascii="Times New Roman" w:hAnsi="Times New Roman"/>
          <w:szCs w:val="24"/>
        </w:rPr>
      </w:pPr>
      <w:r w:rsidRPr="003C0B2F">
        <w:rPr>
          <w:rFonts w:ascii="Times New Roman" w:hAnsi="Times New Roman"/>
          <w:szCs w:val="24"/>
        </w:rPr>
        <w:t>Do Recurso Extraordinário e do Recurso Especial</w:t>
      </w:r>
    </w:p>
    <w:p w:rsidR="00D549BC" w:rsidRPr="003C0B2F" w:rsidRDefault="00D549BC" w:rsidP="003C0B2F">
      <w:pPr>
        <w:spacing w:after="240" w:line="240" w:lineRule="auto"/>
        <w:ind w:left="2268" w:firstLine="0"/>
        <w:contextualSpacing/>
        <w:rPr>
          <w:rFonts w:ascii="Times New Roman" w:hAnsi="Times New Roman"/>
          <w:szCs w:val="24"/>
        </w:rPr>
      </w:pPr>
      <w:r w:rsidRPr="003C0B2F">
        <w:rPr>
          <w:rFonts w:ascii="Times New Roman" w:hAnsi="Times New Roman"/>
          <w:szCs w:val="24"/>
        </w:rPr>
        <w:t>Subseção I</w:t>
      </w:r>
    </w:p>
    <w:p w:rsidR="00D549BC" w:rsidRPr="003C0B2F" w:rsidRDefault="00D549BC" w:rsidP="003C0B2F">
      <w:pPr>
        <w:spacing w:after="240" w:line="240" w:lineRule="auto"/>
        <w:ind w:left="2268" w:firstLine="0"/>
        <w:contextualSpacing/>
        <w:rPr>
          <w:rFonts w:ascii="Times New Roman" w:hAnsi="Times New Roman"/>
          <w:szCs w:val="24"/>
        </w:rPr>
      </w:pPr>
      <w:r w:rsidRPr="003C0B2F">
        <w:rPr>
          <w:rFonts w:ascii="Times New Roman" w:hAnsi="Times New Roman"/>
          <w:szCs w:val="24"/>
        </w:rPr>
        <w:t>Disposições Gerais</w:t>
      </w:r>
    </w:p>
    <w:p w:rsidR="00D549BC" w:rsidRPr="003C0B2F" w:rsidRDefault="00D549BC" w:rsidP="003C0B2F">
      <w:pPr>
        <w:spacing w:after="240" w:line="240" w:lineRule="auto"/>
        <w:ind w:left="2268" w:firstLine="0"/>
        <w:contextualSpacing/>
        <w:rPr>
          <w:rFonts w:ascii="Times New Roman" w:hAnsi="Times New Roman"/>
          <w:szCs w:val="24"/>
        </w:rPr>
      </w:pPr>
      <w:r w:rsidRPr="003C0B2F">
        <w:rPr>
          <w:rFonts w:ascii="Times New Roman" w:hAnsi="Times New Roman"/>
          <w:szCs w:val="24"/>
        </w:rPr>
        <w:t>Art. 1.029. O recurso extraordinário e o recurso especial, nos casos previstos na Constituição Federal, serão interpostos perante o presidente ou o vice-presidente do tribunal recorrido, em petições distintas que conterão:</w:t>
      </w:r>
    </w:p>
    <w:p w:rsidR="00D549BC" w:rsidRPr="003C0B2F" w:rsidRDefault="00D549BC" w:rsidP="003C0B2F">
      <w:pPr>
        <w:spacing w:after="240" w:line="240" w:lineRule="auto"/>
        <w:ind w:left="2268" w:firstLine="0"/>
        <w:contextualSpacing/>
        <w:rPr>
          <w:rFonts w:ascii="Times New Roman" w:hAnsi="Times New Roman"/>
          <w:szCs w:val="24"/>
        </w:rPr>
      </w:pPr>
      <w:r w:rsidRPr="003C0B2F">
        <w:rPr>
          <w:rFonts w:ascii="Times New Roman" w:hAnsi="Times New Roman"/>
          <w:szCs w:val="24"/>
        </w:rPr>
        <w:t>(...)</w:t>
      </w:r>
    </w:p>
    <w:p w:rsidR="00D549BC" w:rsidRPr="003C0B2F" w:rsidRDefault="00D549BC" w:rsidP="003C0B2F">
      <w:pPr>
        <w:spacing w:after="240" w:line="240" w:lineRule="auto"/>
        <w:ind w:left="2268" w:firstLine="0"/>
        <w:contextualSpacing/>
        <w:rPr>
          <w:rFonts w:ascii="Times New Roman" w:hAnsi="Times New Roman"/>
          <w:szCs w:val="24"/>
        </w:rPr>
      </w:pPr>
      <w:r w:rsidRPr="003C0B2F">
        <w:rPr>
          <w:rFonts w:ascii="Times New Roman" w:hAnsi="Times New Roman"/>
          <w:szCs w:val="24"/>
        </w:rPr>
        <w:t xml:space="preserve">§ 3º </w:t>
      </w:r>
      <w:r w:rsidRPr="003C0B2F">
        <w:rPr>
          <w:rFonts w:ascii="Times New Roman" w:hAnsi="Times New Roman"/>
          <w:i/>
          <w:szCs w:val="24"/>
        </w:rPr>
        <w:t>O Supremo Tribunal Federal ou o Superior Tribunal de Justiça poderá desconsiderar vício formal de recurso tempestivo ou determinar sua correção, desde que não o repute grave</w:t>
      </w:r>
      <w:r>
        <w:rPr>
          <w:rFonts w:ascii="Times New Roman" w:hAnsi="Times New Roman"/>
          <w:i/>
          <w:szCs w:val="24"/>
        </w:rPr>
        <w:t>.</w:t>
      </w:r>
      <w:r>
        <w:rPr>
          <w:rStyle w:val="FootnoteReference"/>
          <w:rFonts w:ascii="Times New Roman" w:hAnsi="Times New Roman"/>
          <w:i/>
          <w:szCs w:val="24"/>
        </w:rPr>
        <w:footnoteReference w:id="161"/>
      </w:r>
    </w:p>
    <w:p w:rsidR="00D549BC" w:rsidRPr="003C0B2F" w:rsidRDefault="00D549BC" w:rsidP="003C0B2F">
      <w:pPr>
        <w:spacing w:after="240" w:line="240" w:lineRule="auto"/>
        <w:ind w:firstLine="851"/>
        <w:contextualSpacing/>
        <w:rPr>
          <w:rFonts w:ascii="Times New Roman" w:hAnsi="Times New Roman"/>
          <w:szCs w:val="24"/>
        </w:rPr>
      </w:pPr>
      <w:r w:rsidRPr="003C0B2F">
        <w:rPr>
          <w:rFonts w:ascii="Times New Roman" w:hAnsi="Times New Roman"/>
          <w:szCs w:val="24"/>
        </w:rPr>
        <w:t xml:space="preserve"> </w:t>
      </w:r>
    </w:p>
    <w:p w:rsidR="00D549BC" w:rsidRDefault="00D549BC" w:rsidP="000E73C6">
      <w:pPr>
        <w:spacing w:after="240"/>
        <w:contextualSpacing/>
        <w:rPr>
          <w:rFonts w:ascii="Times New Roman" w:hAnsi="Times New Roman"/>
          <w:sz w:val="24"/>
          <w:szCs w:val="24"/>
        </w:rPr>
      </w:pPr>
      <w:r>
        <w:rPr>
          <w:rFonts w:ascii="Times New Roman" w:hAnsi="Times New Roman"/>
          <w:sz w:val="24"/>
          <w:szCs w:val="24"/>
        </w:rPr>
        <w:t xml:space="preserve">Isso demonstra que o legislador ordinário, atento ao problema da Jurisprudência Defensiva, veio a concretizar regra processual que atende aos anseios da comunidade jurídica, principalmente dos processualistas civis. </w:t>
      </w:r>
    </w:p>
    <w:p w:rsidR="00D549BC" w:rsidRDefault="00D549BC" w:rsidP="003C0B2F">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p>
    <w:p w:rsidR="00D549BC" w:rsidRDefault="00D549BC" w:rsidP="00830450">
      <w:pPr>
        <w:spacing w:after="240"/>
        <w:ind w:firstLine="0"/>
        <w:contextualSpacing/>
        <w:rPr>
          <w:rFonts w:ascii="Times New Roman" w:hAnsi="Times New Roman"/>
          <w:sz w:val="24"/>
        </w:rPr>
      </w:pPr>
      <w:r>
        <w:rPr>
          <w:rFonts w:ascii="Times New Roman" w:hAnsi="Times New Roman"/>
          <w:sz w:val="24"/>
        </w:rPr>
        <w:t>4.1.1.2</w:t>
      </w:r>
      <w:r>
        <w:rPr>
          <w:rFonts w:ascii="Times New Roman" w:hAnsi="Times New Roman"/>
          <w:sz w:val="24"/>
        </w:rPr>
        <w:tab/>
        <w:t>Carimbos</w:t>
      </w:r>
      <w:r w:rsidRPr="007F6D8D">
        <w:rPr>
          <w:rFonts w:ascii="Times New Roman" w:hAnsi="Times New Roman"/>
          <w:sz w:val="24"/>
        </w:rPr>
        <w:t xml:space="preserve"> </w:t>
      </w:r>
      <w:r>
        <w:rPr>
          <w:rFonts w:ascii="Times New Roman" w:hAnsi="Times New Roman"/>
          <w:sz w:val="24"/>
        </w:rPr>
        <w:t xml:space="preserve">de protocolos </w:t>
      </w:r>
      <w:r w:rsidRPr="007F6D8D">
        <w:rPr>
          <w:rFonts w:ascii="Times New Roman" w:hAnsi="Times New Roman"/>
          <w:sz w:val="24"/>
        </w:rPr>
        <w:t>borrados</w:t>
      </w:r>
    </w:p>
    <w:p w:rsidR="00D549BC" w:rsidRDefault="00D549BC" w:rsidP="00830450">
      <w:pPr>
        <w:spacing w:after="240"/>
        <w:contextualSpacing/>
        <w:rPr>
          <w:rFonts w:ascii="Times New Roman" w:hAnsi="Times New Roman"/>
          <w:sz w:val="24"/>
          <w:szCs w:val="24"/>
        </w:rPr>
      </w:pPr>
    </w:p>
    <w:p w:rsidR="00D549BC" w:rsidRPr="00830450" w:rsidRDefault="00D549BC" w:rsidP="00830450">
      <w:pPr>
        <w:spacing w:after="240"/>
        <w:contextualSpacing/>
        <w:rPr>
          <w:rFonts w:ascii="Times New Roman" w:hAnsi="Times New Roman"/>
          <w:sz w:val="24"/>
        </w:rPr>
      </w:pPr>
      <w:r>
        <w:rPr>
          <w:rFonts w:ascii="Times New Roman" w:hAnsi="Times New Roman"/>
          <w:sz w:val="24"/>
          <w:szCs w:val="24"/>
        </w:rPr>
        <w:t>O segundo óbice jurisprudencial trata da questão do carimbo de protocolo ilegível na petição do recurso. Tanto a jurisprudência do STF</w:t>
      </w:r>
      <w:r>
        <w:rPr>
          <w:rStyle w:val="FootnoteReference"/>
          <w:rFonts w:ascii="Times New Roman" w:hAnsi="Times New Roman"/>
          <w:sz w:val="24"/>
          <w:szCs w:val="24"/>
        </w:rPr>
        <w:footnoteReference w:id="162"/>
      </w:r>
      <w:r>
        <w:rPr>
          <w:rFonts w:ascii="Times New Roman" w:hAnsi="Times New Roman"/>
          <w:sz w:val="24"/>
          <w:szCs w:val="24"/>
          <w:vertAlign w:val="superscript"/>
        </w:rPr>
        <w:t>-</w:t>
      </w:r>
      <w:r>
        <w:rPr>
          <w:rStyle w:val="FootnoteReference"/>
          <w:rFonts w:ascii="Times New Roman" w:hAnsi="Times New Roman"/>
          <w:sz w:val="24"/>
          <w:szCs w:val="24"/>
        </w:rPr>
        <w:footnoteReference w:id="163"/>
      </w:r>
      <w:r>
        <w:rPr>
          <w:rFonts w:ascii="Times New Roman" w:hAnsi="Times New Roman"/>
          <w:sz w:val="24"/>
          <w:szCs w:val="24"/>
        </w:rPr>
        <w:t xml:space="preserve"> quanto a</w:t>
      </w:r>
      <w:r w:rsidRPr="00CF20ED">
        <w:rPr>
          <w:rFonts w:ascii="Times New Roman" w:hAnsi="Times New Roman"/>
          <w:sz w:val="24"/>
          <w:szCs w:val="24"/>
        </w:rPr>
        <w:t xml:space="preserve"> </w:t>
      </w:r>
      <w:r>
        <w:rPr>
          <w:rFonts w:ascii="Times New Roman" w:hAnsi="Times New Roman"/>
          <w:sz w:val="24"/>
          <w:szCs w:val="24"/>
        </w:rPr>
        <w:t>d</w:t>
      </w:r>
      <w:r w:rsidRPr="00CF20ED">
        <w:rPr>
          <w:rFonts w:ascii="Times New Roman" w:hAnsi="Times New Roman"/>
          <w:sz w:val="24"/>
          <w:szCs w:val="24"/>
        </w:rPr>
        <w:t>o STJ</w:t>
      </w:r>
      <w:r>
        <w:rPr>
          <w:rStyle w:val="FootnoteReference"/>
          <w:rFonts w:ascii="Times New Roman" w:hAnsi="Times New Roman"/>
          <w:sz w:val="24"/>
          <w:szCs w:val="24"/>
        </w:rPr>
        <w:footnoteReference w:id="164"/>
      </w:r>
      <w:r>
        <w:rPr>
          <w:rFonts w:ascii="Times New Roman" w:hAnsi="Times New Roman"/>
          <w:sz w:val="24"/>
          <w:szCs w:val="24"/>
        </w:rPr>
        <w:t xml:space="preserve"> </w:t>
      </w:r>
      <w:r w:rsidRPr="00CF20ED">
        <w:rPr>
          <w:rFonts w:ascii="Times New Roman" w:hAnsi="Times New Roman"/>
          <w:sz w:val="24"/>
          <w:szCs w:val="24"/>
        </w:rPr>
        <w:t>não admitem</w:t>
      </w:r>
      <w:r>
        <w:rPr>
          <w:rFonts w:ascii="Times New Roman" w:hAnsi="Times New Roman"/>
          <w:sz w:val="24"/>
          <w:szCs w:val="24"/>
        </w:rPr>
        <w:t xml:space="preserve"> a</w:t>
      </w:r>
      <w:r w:rsidRPr="00CF20ED">
        <w:rPr>
          <w:rFonts w:ascii="Times New Roman" w:hAnsi="Times New Roman"/>
          <w:sz w:val="24"/>
          <w:szCs w:val="24"/>
        </w:rPr>
        <w:t xml:space="preserve"> juntada</w:t>
      </w:r>
      <w:r>
        <w:rPr>
          <w:rFonts w:ascii="Times New Roman" w:hAnsi="Times New Roman"/>
          <w:sz w:val="24"/>
          <w:szCs w:val="24"/>
        </w:rPr>
        <w:t>,</w:t>
      </w:r>
      <w:r w:rsidRPr="00CF20ED">
        <w:rPr>
          <w:rFonts w:ascii="Times New Roman" w:hAnsi="Times New Roman"/>
          <w:sz w:val="24"/>
          <w:szCs w:val="24"/>
        </w:rPr>
        <w:t xml:space="preserve"> posterior à interposição</w:t>
      </w:r>
      <w:r>
        <w:rPr>
          <w:rFonts w:ascii="Times New Roman" w:hAnsi="Times New Roman"/>
          <w:sz w:val="24"/>
          <w:szCs w:val="24"/>
        </w:rPr>
        <w:t xml:space="preserve"> dos respectivos recursos,</w:t>
      </w:r>
      <w:r w:rsidRPr="00CF20ED">
        <w:rPr>
          <w:rFonts w:ascii="Times New Roman" w:hAnsi="Times New Roman"/>
          <w:sz w:val="24"/>
          <w:szCs w:val="24"/>
        </w:rPr>
        <w:t xml:space="preserve"> de </w:t>
      </w:r>
      <w:r>
        <w:rPr>
          <w:rFonts w:ascii="Times New Roman" w:hAnsi="Times New Roman"/>
          <w:sz w:val="24"/>
          <w:szCs w:val="24"/>
        </w:rPr>
        <w:t>c</w:t>
      </w:r>
      <w:r w:rsidRPr="00CF20ED">
        <w:rPr>
          <w:rFonts w:ascii="Times New Roman" w:hAnsi="Times New Roman"/>
          <w:sz w:val="24"/>
          <w:szCs w:val="24"/>
        </w:rPr>
        <w:t>ertidão</w:t>
      </w:r>
      <w:r>
        <w:rPr>
          <w:rFonts w:ascii="Times New Roman" w:hAnsi="Times New Roman"/>
          <w:sz w:val="24"/>
          <w:szCs w:val="24"/>
        </w:rPr>
        <w:t xml:space="preserve"> que objetive comprovar a tempestividade do</w:t>
      </w:r>
      <w:r w:rsidRPr="00CF20ED">
        <w:rPr>
          <w:rFonts w:ascii="Times New Roman" w:hAnsi="Times New Roman"/>
          <w:sz w:val="24"/>
          <w:szCs w:val="24"/>
        </w:rPr>
        <w:t xml:space="preserve"> recurso</w:t>
      </w:r>
      <w:r>
        <w:rPr>
          <w:rFonts w:ascii="Times New Roman" w:hAnsi="Times New Roman"/>
          <w:sz w:val="24"/>
          <w:szCs w:val="24"/>
        </w:rPr>
        <w:t xml:space="preserve"> interposto</w:t>
      </w:r>
      <w:r w:rsidRPr="00CF20ED">
        <w:rPr>
          <w:rFonts w:ascii="Times New Roman" w:hAnsi="Times New Roman"/>
          <w:sz w:val="24"/>
          <w:szCs w:val="24"/>
        </w:rPr>
        <w:t>, q</w:t>
      </w:r>
      <w:r>
        <w:rPr>
          <w:rFonts w:ascii="Times New Roman" w:hAnsi="Times New Roman"/>
          <w:sz w:val="24"/>
          <w:szCs w:val="24"/>
        </w:rPr>
        <w:t>uando ilegível o carimbo</w:t>
      </w:r>
      <w:r w:rsidRPr="00CF20ED">
        <w:rPr>
          <w:rFonts w:ascii="Times New Roman" w:hAnsi="Times New Roman"/>
          <w:sz w:val="24"/>
          <w:szCs w:val="24"/>
        </w:rPr>
        <w:t xml:space="preserve"> aposto</w:t>
      </w:r>
      <w:r>
        <w:rPr>
          <w:rFonts w:ascii="Times New Roman" w:hAnsi="Times New Roman"/>
          <w:sz w:val="24"/>
          <w:szCs w:val="24"/>
        </w:rPr>
        <w:t xml:space="preserve"> </w:t>
      </w:r>
      <w:r w:rsidRPr="00CF20ED">
        <w:rPr>
          <w:rFonts w:ascii="Times New Roman" w:hAnsi="Times New Roman"/>
          <w:sz w:val="24"/>
          <w:szCs w:val="24"/>
        </w:rPr>
        <w:t>pelo próprio Judiciário.</w:t>
      </w:r>
    </w:p>
    <w:p w:rsidR="00D549BC" w:rsidRDefault="00D549BC" w:rsidP="00ED14B9">
      <w:pPr>
        <w:spacing w:after="240"/>
        <w:contextualSpacing/>
        <w:rPr>
          <w:rFonts w:ascii="Times New Roman" w:hAnsi="Times New Roman"/>
          <w:sz w:val="24"/>
          <w:szCs w:val="24"/>
        </w:rPr>
      </w:pPr>
      <w:r>
        <w:rPr>
          <w:rFonts w:ascii="Times New Roman" w:hAnsi="Times New Roman"/>
          <w:sz w:val="24"/>
          <w:szCs w:val="24"/>
        </w:rPr>
        <w:t>No Superior Tribunal de Justiça, há precedente que afaste expressamente a incidência de dispositivos do CPC a fim de justificar óbice ao conhecimento de Recurso Especial: “</w:t>
      </w:r>
      <w:r w:rsidRPr="00D67650">
        <w:rPr>
          <w:rFonts w:ascii="Times New Roman" w:hAnsi="Times New Roman"/>
          <w:i/>
          <w:sz w:val="24"/>
          <w:szCs w:val="24"/>
        </w:rPr>
        <w:t>Na instância especial, revela-se inaplicável o disposto nos arts. 13 e 37 do Código de Processo Civil, o que obsta a juntada posterior de certidão que ateste sua tempestividade, tendo em vista a ocorrência da preclusão consumativa</w:t>
      </w:r>
      <w:r>
        <w:rPr>
          <w:rFonts w:ascii="Times New Roman" w:hAnsi="Times New Roman"/>
          <w:sz w:val="24"/>
          <w:szCs w:val="24"/>
        </w:rPr>
        <w:t>”.</w:t>
      </w:r>
      <w:r>
        <w:rPr>
          <w:rStyle w:val="FootnoteReference"/>
          <w:rFonts w:ascii="Times New Roman" w:hAnsi="Times New Roman"/>
          <w:sz w:val="24"/>
          <w:szCs w:val="24"/>
        </w:rPr>
        <w:footnoteReference w:id="165"/>
      </w:r>
      <w:r>
        <w:rPr>
          <w:rFonts w:ascii="Times New Roman" w:hAnsi="Times New Roman"/>
          <w:sz w:val="24"/>
          <w:szCs w:val="24"/>
        </w:rPr>
        <w:t xml:space="preserve"> </w:t>
      </w:r>
    </w:p>
    <w:p w:rsidR="00D549BC" w:rsidRDefault="00D549BC" w:rsidP="00ED14B9">
      <w:pPr>
        <w:spacing w:after="240"/>
        <w:contextualSpacing/>
        <w:rPr>
          <w:rFonts w:ascii="Times New Roman" w:hAnsi="Times New Roman"/>
          <w:sz w:val="24"/>
          <w:szCs w:val="24"/>
        </w:rPr>
      </w:pPr>
      <w:r>
        <w:rPr>
          <w:rFonts w:ascii="Times New Roman" w:hAnsi="Times New Roman"/>
          <w:sz w:val="24"/>
          <w:szCs w:val="24"/>
        </w:rPr>
        <w:t xml:space="preserve">Por outro lado, podemos perceber certa flexibilização, e às vezes até o afastamento da aplicação dessa </w:t>
      </w:r>
      <w:r w:rsidRPr="00C70FF5">
        <w:rPr>
          <w:rFonts w:ascii="Times New Roman" w:hAnsi="Times New Roman"/>
          <w:sz w:val="24"/>
          <w:szCs w:val="24"/>
        </w:rPr>
        <w:t>jurisprudência defensiva</w:t>
      </w:r>
      <w:r>
        <w:rPr>
          <w:rFonts w:ascii="Times New Roman" w:hAnsi="Times New Roman"/>
          <w:sz w:val="24"/>
          <w:szCs w:val="24"/>
        </w:rPr>
        <w:t xml:space="preserve">, </w:t>
      </w:r>
      <w:r w:rsidRPr="00C70FF5">
        <w:rPr>
          <w:rFonts w:ascii="Times New Roman" w:hAnsi="Times New Roman"/>
          <w:sz w:val="24"/>
          <w:szCs w:val="24"/>
        </w:rPr>
        <w:t xml:space="preserve">conforme se depreende </w:t>
      </w:r>
      <w:r>
        <w:rPr>
          <w:rFonts w:ascii="Times New Roman" w:hAnsi="Times New Roman"/>
          <w:sz w:val="24"/>
          <w:szCs w:val="24"/>
        </w:rPr>
        <w:t>do seguinte voto de</w:t>
      </w:r>
      <w:r w:rsidRPr="00C70FF5">
        <w:rPr>
          <w:rFonts w:ascii="Times New Roman" w:hAnsi="Times New Roman"/>
          <w:sz w:val="24"/>
          <w:szCs w:val="24"/>
        </w:rPr>
        <w:t xml:space="preserve"> relatoria do Ministro Luiz Fux</w:t>
      </w:r>
      <w:r>
        <w:rPr>
          <w:rFonts w:ascii="Times New Roman" w:hAnsi="Times New Roman"/>
          <w:sz w:val="24"/>
          <w:szCs w:val="24"/>
        </w:rPr>
        <w:t xml:space="preserve"> do STF: </w:t>
      </w:r>
    </w:p>
    <w:p w:rsidR="00D549BC" w:rsidRDefault="00D549BC" w:rsidP="00C70FF5">
      <w:pPr>
        <w:spacing w:after="240" w:line="240" w:lineRule="auto"/>
        <w:ind w:left="2268" w:firstLine="0"/>
        <w:contextualSpacing/>
        <w:rPr>
          <w:rFonts w:ascii="Times New Roman" w:hAnsi="Times New Roman"/>
          <w:szCs w:val="24"/>
        </w:rPr>
      </w:pPr>
      <w:r w:rsidRPr="00C70FF5">
        <w:rPr>
          <w:rFonts w:ascii="Times New Roman" w:hAnsi="Times New Roman"/>
          <w:szCs w:val="24"/>
        </w:rPr>
        <w:t xml:space="preserve">Nada obstante o carimbo do protocolo da petição de recurso extraordinário esteja ilegível, a sua tempestividade pode ser aferida por outros elementos acostados aos autos. O defeito do protocolo ilegível, no caso, é imputável ao órgão que recebeu a petição e não carimbou adequadamente, não podendo a parte jurisdicionada sofrer o prejuízo por um defeito o qual não deu causa. O ônus processual no caso </w:t>
      </w:r>
      <w:r>
        <w:rPr>
          <w:rFonts w:ascii="Times New Roman" w:hAnsi="Times New Roman"/>
          <w:szCs w:val="24"/>
        </w:rPr>
        <w:t xml:space="preserve">não pode ser atribuído à parte. </w:t>
      </w:r>
      <w:r w:rsidRPr="00C70FF5">
        <w:rPr>
          <w:rFonts w:ascii="Times New Roman" w:hAnsi="Times New Roman"/>
          <w:i/>
          <w:szCs w:val="24"/>
        </w:rPr>
        <w:t>Ex positis</w:t>
      </w:r>
      <w:r w:rsidRPr="00C70FF5">
        <w:rPr>
          <w:rFonts w:ascii="Times New Roman" w:hAnsi="Times New Roman"/>
          <w:szCs w:val="24"/>
        </w:rPr>
        <w:t>, dou provimento ao agravo regimental</w:t>
      </w:r>
      <w:r>
        <w:rPr>
          <w:rFonts w:ascii="Times New Roman" w:hAnsi="Times New Roman"/>
          <w:szCs w:val="24"/>
        </w:rPr>
        <w:t>.</w:t>
      </w:r>
      <w:r w:rsidRPr="00B94D3D">
        <w:rPr>
          <w:rStyle w:val="FootnoteReference"/>
          <w:rFonts w:ascii="Times New Roman" w:hAnsi="Times New Roman"/>
          <w:sz w:val="24"/>
          <w:szCs w:val="24"/>
        </w:rPr>
        <w:footnoteReference w:id="166"/>
      </w:r>
      <w:r>
        <w:rPr>
          <w:rFonts w:ascii="Times New Roman" w:hAnsi="Times New Roman"/>
          <w:szCs w:val="24"/>
        </w:rPr>
        <w:t xml:space="preserve"> </w:t>
      </w:r>
    </w:p>
    <w:p w:rsidR="00D549BC" w:rsidRDefault="00D549BC" w:rsidP="00B94D3D">
      <w:pPr>
        <w:spacing w:after="240" w:line="240" w:lineRule="auto"/>
        <w:contextualSpacing/>
        <w:rPr>
          <w:rFonts w:ascii="Times New Roman" w:hAnsi="Times New Roman"/>
          <w:szCs w:val="24"/>
        </w:rPr>
      </w:pPr>
    </w:p>
    <w:p w:rsidR="00D549BC" w:rsidRDefault="00D549BC" w:rsidP="00ED14B9">
      <w:pPr>
        <w:spacing w:after="240"/>
        <w:contextualSpacing/>
        <w:rPr>
          <w:rFonts w:ascii="Times New Roman" w:hAnsi="Times New Roman"/>
          <w:sz w:val="24"/>
          <w:szCs w:val="24"/>
        </w:rPr>
      </w:pPr>
      <w:r>
        <w:rPr>
          <w:rFonts w:ascii="Times New Roman" w:hAnsi="Times New Roman"/>
          <w:sz w:val="24"/>
          <w:szCs w:val="24"/>
        </w:rPr>
        <w:t>O problema relativo ao carimbo de protocolo ilegível, que acabou se tornando justificativa apta a obstar o não conhecimento dos recursos excepcionais, poderá ser facilmente combatido com a entrada em vigor do NCPC, sendo aplicável, mais uma vez, o disposto no artigo 1.029, § 3º.</w:t>
      </w:r>
      <w:r>
        <w:rPr>
          <w:rStyle w:val="FootnoteReference"/>
          <w:rFonts w:ascii="Times New Roman" w:hAnsi="Times New Roman"/>
          <w:sz w:val="24"/>
          <w:szCs w:val="24"/>
        </w:rPr>
        <w:footnoteReference w:id="167"/>
      </w:r>
      <w:r>
        <w:rPr>
          <w:rFonts w:ascii="Times New Roman" w:hAnsi="Times New Roman"/>
          <w:sz w:val="24"/>
          <w:szCs w:val="24"/>
        </w:rPr>
        <w:t xml:space="preserve"> </w:t>
      </w:r>
    </w:p>
    <w:p w:rsidR="00D549BC" w:rsidRDefault="00D549BC" w:rsidP="00454D95">
      <w:pPr>
        <w:spacing w:after="240"/>
        <w:ind w:firstLine="0"/>
        <w:contextualSpacing/>
        <w:rPr>
          <w:rFonts w:ascii="Times New Roman" w:hAnsi="Times New Roman"/>
          <w:sz w:val="24"/>
          <w:szCs w:val="24"/>
        </w:rPr>
      </w:pPr>
    </w:p>
    <w:p w:rsidR="00D549BC" w:rsidRDefault="00D549BC" w:rsidP="00454D95">
      <w:pPr>
        <w:spacing w:after="240"/>
        <w:ind w:firstLine="0"/>
        <w:contextualSpacing/>
        <w:rPr>
          <w:rFonts w:ascii="Times New Roman" w:hAnsi="Times New Roman"/>
          <w:sz w:val="24"/>
          <w:szCs w:val="24"/>
        </w:rPr>
      </w:pPr>
      <w:r w:rsidRPr="00454D95">
        <w:rPr>
          <w:rFonts w:ascii="Times New Roman" w:hAnsi="Times New Roman"/>
          <w:sz w:val="24"/>
          <w:szCs w:val="24"/>
        </w:rPr>
        <w:t>4.1.1.3</w:t>
      </w:r>
      <w:r w:rsidRPr="00454D95">
        <w:rPr>
          <w:rFonts w:ascii="Times New Roman" w:hAnsi="Times New Roman"/>
          <w:sz w:val="24"/>
          <w:szCs w:val="24"/>
        </w:rPr>
        <w:tab/>
        <w:t>Ausência de comprovação do feriado local ou de suspensão do prazo na origem</w:t>
      </w:r>
    </w:p>
    <w:p w:rsidR="00D549BC" w:rsidRDefault="00D549BC" w:rsidP="00454D95">
      <w:pPr>
        <w:spacing w:after="240"/>
        <w:ind w:firstLine="0"/>
        <w:contextualSpacing/>
        <w:rPr>
          <w:rFonts w:ascii="Times New Roman" w:hAnsi="Times New Roman"/>
          <w:sz w:val="24"/>
          <w:szCs w:val="24"/>
        </w:rPr>
      </w:pPr>
    </w:p>
    <w:p w:rsidR="00D549BC" w:rsidRDefault="00D549BC" w:rsidP="00A015F6">
      <w:pPr>
        <w:spacing w:after="240"/>
        <w:contextualSpacing/>
        <w:rPr>
          <w:rFonts w:ascii="Times New Roman" w:hAnsi="Times New Roman"/>
          <w:sz w:val="24"/>
          <w:szCs w:val="24"/>
        </w:rPr>
      </w:pPr>
      <w:r>
        <w:rPr>
          <w:rFonts w:ascii="Times New Roman" w:hAnsi="Times New Roman"/>
          <w:sz w:val="24"/>
          <w:szCs w:val="24"/>
        </w:rPr>
        <w:t xml:space="preserve">A tempestividade </w:t>
      </w:r>
      <w:r w:rsidRPr="00454D95">
        <w:rPr>
          <w:rFonts w:ascii="Times New Roman" w:hAnsi="Times New Roman"/>
          <w:sz w:val="24"/>
          <w:szCs w:val="24"/>
        </w:rPr>
        <w:t xml:space="preserve">é um dos </w:t>
      </w:r>
      <w:r>
        <w:rPr>
          <w:rFonts w:ascii="Times New Roman" w:hAnsi="Times New Roman"/>
          <w:sz w:val="24"/>
          <w:szCs w:val="24"/>
        </w:rPr>
        <w:t xml:space="preserve">requisitos extrínsecos de admissibilidade dos recursos em geral. No caso dos recursos excepcionais (RE e REsp), exige-se que o interessado se manifeste dentro do prazo de quinze dias corridos, a contar da publicação do acórdão que se deseja impugnar. </w:t>
      </w:r>
    </w:p>
    <w:p w:rsidR="00D549BC" w:rsidRDefault="00D549BC" w:rsidP="00A015F6">
      <w:pPr>
        <w:spacing w:after="240"/>
        <w:contextualSpacing/>
        <w:rPr>
          <w:rFonts w:ascii="Times New Roman" w:hAnsi="Times New Roman"/>
          <w:sz w:val="24"/>
          <w:szCs w:val="24"/>
        </w:rPr>
      </w:pPr>
      <w:r>
        <w:rPr>
          <w:rFonts w:ascii="Times New Roman" w:hAnsi="Times New Roman"/>
          <w:sz w:val="24"/>
          <w:szCs w:val="24"/>
        </w:rPr>
        <w:t>O NCPC dispõe no artigo 212 que “o</w:t>
      </w:r>
      <w:r w:rsidRPr="00F96B29">
        <w:rPr>
          <w:rFonts w:ascii="Times New Roman" w:hAnsi="Times New Roman"/>
          <w:sz w:val="24"/>
          <w:szCs w:val="24"/>
        </w:rPr>
        <w:t>s atos processuais serão realizados em dias úteis</w:t>
      </w:r>
      <w:r>
        <w:rPr>
          <w:rFonts w:ascii="Times New Roman" w:hAnsi="Times New Roman"/>
          <w:sz w:val="24"/>
          <w:szCs w:val="24"/>
        </w:rPr>
        <w:t>.” Assim, o prazo para interposição do RE e REsp permanece sendo aquele de quinze dias, porém não mais se contabilizará sábados e domingos.</w:t>
      </w:r>
    </w:p>
    <w:p w:rsidR="00D549BC" w:rsidRDefault="00D549BC" w:rsidP="00A015F6">
      <w:pPr>
        <w:spacing w:after="240"/>
        <w:contextualSpacing/>
        <w:rPr>
          <w:rFonts w:ascii="Times New Roman" w:hAnsi="Times New Roman"/>
          <w:sz w:val="24"/>
          <w:szCs w:val="24"/>
        </w:rPr>
      </w:pPr>
      <w:r w:rsidRPr="00F96B29">
        <w:rPr>
          <w:rFonts w:ascii="Times New Roman" w:hAnsi="Times New Roman"/>
          <w:sz w:val="24"/>
          <w:szCs w:val="24"/>
        </w:rPr>
        <w:t>No ano de 2012, revendo a j</w:t>
      </w:r>
      <w:r>
        <w:rPr>
          <w:rFonts w:ascii="Times New Roman" w:hAnsi="Times New Roman"/>
          <w:sz w:val="24"/>
          <w:szCs w:val="24"/>
        </w:rPr>
        <w:t>urisprudência dominante, o STJ</w:t>
      </w:r>
      <w:r>
        <w:rPr>
          <w:rStyle w:val="FootnoteReference"/>
          <w:rFonts w:ascii="Times New Roman" w:hAnsi="Times New Roman"/>
          <w:sz w:val="24"/>
          <w:szCs w:val="24"/>
        </w:rPr>
        <w:footnoteReference w:id="168"/>
      </w:r>
      <w:r>
        <w:rPr>
          <w:rFonts w:ascii="Times New Roman" w:hAnsi="Times New Roman"/>
          <w:sz w:val="24"/>
          <w:szCs w:val="24"/>
        </w:rPr>
        <w:t xml:space="preserve"> e o STF</w:t>
      </w:r>
      <w:r>
        <w:rPr>
          <w:rStyle w:val="FootnoteReference"/>
          <w:rFonts w:ascii="Times New Roman" w:hAnsi="Times New Roman"/>
          <w:sz w:val="24"/>
          <w:szCs w:val="24"/>
        </w:rPr>
        <w:footnoteReference w:id="169"/>
      </w:r>
      <w:r w:rsidRPr="00F96B29">
        <w:rPr>
          <w:rFonts w:ascii="Times New Roman" w:hAnsi="Times New Roman"/>
          <w:sz w:val="24"/>
          <w:szCs w:val="24"/>
        </w:rPr>
        <w:t xml:space="preserve"> passaram a admitir a comprovação posterior</w:t>
      </w:r>
      <w:r>
        <w:rPr>
          <w:rFonts w:ascii="Times New Roman" w:hAnsi="Times New Roman"/>
          <w:sz w:val="24"/>
          <w:szCs w:val="24"/>
        </w:rPr>
        <w:t xml:space="preserve"> à interposição do recurso da ocorrência de</w:t>
      </w:r>
      <w:r w:rsidRPr="00F96B29">
        <w:rPr>
          <w:rFonts w:ascii="Times New Roman" w:hAnsi="Times New Roman"/>
          <w:sz w:val="24"/>
          <w:szCs w:val="24"/>
        </w:rPr>
        <w:t xml:space="preserve"> feriado local ou de suspensã</w:t>
      </w:r>
      <w:r>
        <w:rPr>
          <w:rFonts w:ascii="Times New Roman" w:hAnsi="Times New Roman"/>
          <w:sz w:val="24"/>
          <w:szCs w:val="24"/>
        </w:rPr>
        <w:t xml:space="preserve">o do prazo no tribunal </w:t>
      </w:r>
      <w:r w:rsidRPr="00F96B29">
        <w:rPr>
          <w:rFonts w:ascii="Times New Roman" w:hAnsi="Times New Roman"/>
          <w:i/>
          <w:sz w:val="24"/>
          <w:szCs w:val="24"/>
        </w:rPr>
        <w:t>a quo</w:t>
      </w:r>
      <w:r>
        <w:rPr>
          <w:rFonts w:ascii="Times New Roman" w:hAnsi="Times New Roman"/>
          <w:sz w:val="24"/>
          <w:szCs w:val="24"/>
        </w:rPr>
        <w:t xml:space="preserve">. </w:t>
      </w:r>
    </w:p>
    <w:p w:rsidR="00D549BC" w:rsidRDefault="00D549BC" w:rsidP="00A015F6">
      <w:pPr>
        <w:spacing w:after="240"/>
        <w:contextualSpacing/>
        <w:rPr>
          <w:rFonts w:ascii="Times New Roman" w:hAnsi="Times New Roman"/>
          <w:sz w:val="24"/>
          <w:szCs w:val="24"/>
        </w:rPr>
      </w:pPr>
      <w:r>
        <w:rPr>
          <w:rFonts w:ascii="Times New Roman" w:hAnsi="Times New Roman"/>
          <w:sz w:val="24"/>
          <w:szCs w:val="24"/>
        </w:rPr>
        <w:t>Por outro lado, o</w:t>
      </w:r>
      <w:r w:rsidRPr="00080B1C">
        <w:rPr>
          <w:rFonts w:ascii="Times New Roman" w:hAnsi="Times New Roman"/>
          <w:sz w:val="24"/>
          <w:szCs w:val="24"/>
        </w:rPr>
        <w:t xml:space="preserve"> Novo Código de Processo Civil é expresso em assegurar que a prova da tempestividade será feita no momento da interposição </w:t>
      </w:r>
      <w:r>
        <w:rPr>
          <w:rFonts w:ascii="Times New Roman" w:hAnsi="Times New Roman"/>
          <w:sz w:val="24"/>
          <w:szCs w:val="24"/>
        </w:rPr>
        <w:t xml:space="preserve">do recurso </w:t>
      </w:r>
      <w:r w:rsidRPr="00080B1C">
        <w:rPr>
          <w:rFonts w:ascii="Times New Roman" w:hAnsi="Times New Roman"/>
          <w:sz w:val="24"/>
          <w:szCs w:val="24"/>
        </w:rPr>
        <w:t xml:space="preserve">(art. </w:t>
      </w:r>
      <w:r>
        <w:rPr>
          <w:rFonts w:ascii="Times New Roman" w:hAnsi="Times New Roman"/>
          <w:sz w:val="24"/>
          <w:szCs w:val="24"/>
        </w:rPr>
        <w:t>1.003, § 6º)</w:t>
      </w:r>
      <w:r>
        <w:rPr>
          <w:rStyle w:val="FootnoteReference"/>
          <w:rFonts w:ascii="Times New Roman" w:hAnsi="Times New Roman"/>
          <w:sz w:val="24"/>
          <w:szCs w:val="24"/>
        </w:rPr>
        <w:footnoteReference w:id="170"/>
      </w:r>
      <w:r>
        <w:rPr>
          <w:rFonts w:ascii="Times New Roman" w:hAnsi="Times New Roman"/>
          <w:sz w:val="24"/>
          <w:szCs w:val="24"/>
        </w:rPr>
        <w:t xml:space="preserve"> e não em momento posterior,</w:t>
      </w:r>
      <w:r w:rsidRPr="00080B1C">
        <w:rPr>
          <w:rFonts w:ascii="Times New Roman" w:hAnsi="Times New Roman"/>
          <w:sz w:val="24"/>
          <w:szCs w:val="24"/>
        </w:rPr>
        <w:t xml:space="preserve"> o que deveria ser corrigido </w:t>
      </w:r>
      <w:r>
        <w:rPr>
          <w:rFonts w:ascii="Times New Roman" w:hAnsi="Times New Roman"/>
          <w:sz w:val="24"/>
          <w:szCs w:val="24"/>
        </w:rPr>
        <w:t>a fim de</w:t>
      </w:r>
      <w:r w:rsidRPr="00080B1C">
        <w:rPr>
          <w:rFonts w:ascii="Times New Roman" w:hAnsi="Times New Roman"/>
          <w:sz w:val="24"/>
          <w:szCs w:val="24"/>
        </w:rPr>
        <w:t xml:space="preserve"> evitar qualquer retrocesso no entendimento atual dos </w:t>
      </w:r>
      <w:r>
        <w:rPr>
          <w:rFonts w:ascii="Times New Roman" w:hAnsi="Times New Roman"/>
          <w:sz w:val="24"/>
          <w:szCs w:val="24"/>
        </w:rPr>
        <w:t>T</w:t>
      </w:r>
      <w:r w:rsidRPr="00080B1C">
        <w:rPr>
          <w:rFonts w:ascii="Times New Roman" w:hAnsi="Times New Roman"/>
          <w:sz w:val="24"/>
          <w:szCs w:val="24"/>
        </w:rPr>
        <w:t xml:space="preserve">ribunais </w:t>
      </w:r>
      <w:r>
        <w:rPr>
          <w:rFonts w:ascii="Times New Roman" w:hAnsi="Times New Roman"/>
          <w:sz w:val="24"/>
          <w:szCs w:val="24"/>
        </w:rPr>
        <w:t>S</w:t>
      </w:r>
      <w:r w:rsidRPr="00080B1C">
        <w:rPr>
          <w:rFonts w:ascii="Times New Roman" w:hAnsi="Times New Roman"/>
          <w:sz w:val="24"/>
          <w:szCs w:val="24"/>
        </w:rPr>
        <w:t>uperiores.</w:t>
      </w:r>
      <w:r>
        <w:rPr>
          <w:rFonts w:ascii="Times New Roman" w:hAnsi="Times New Roman"/>
          <w:sz w:val="24"/>
          <w:szCs w:val="24"/>
        </w:rPr>
        <w:t xml:space="preserve"> </w:t>
      </w:r>
    </w:p>
    <w:p w:rsidR="00D549BC" w:rsidRDefault="00D549BC" w:rsidP="00F17014">
      <w:pPr>
        <w:spacing w:after="240"/>
        <w:ind w:firstLine="851"/>
        <w:contextualSpacing/>
        <w:rPr>
          <w:rFonts w:ascii="Times New Roman" w:hAnsi="Times New Roman"/>
          <w:sz w:val="24"/>
          <w:szCs w:val="24"/>
        </w:rPr>
      </w:pPr>
    </w:p>
    <w:p w:rsidR="00D549BC" w:rsidRDefault="00D549BC" w:rsidP="00DB6D2B">
      <w:pPr>
        <w:spacing w:after="240"/>
        <w:ind w:firstLine="0"/>
        <w:contextualSpacing/>
        <w:rPr>
          <w:rFonts w:ascii="Times New Roman" w:hAnsi="Times New Roman"/>
          <w:sz w:val="24"/>
          <w:szCs w:val="24"/>
        </w:rPr>
      </w:pPr>
      <w:r w:rsidRPr="00DB6D2B">
        <w:rPr>
          <w:rFonts w:ascii="Times New Roman" w:hAnsi="Times New Roman"/>
          <w:sz w:val="24"/>
          <w:szCs w:val="24"/>
        </w:rPr>
        <w:t>4.1.1.4</w:t>
      </w:r>
      <w:r w:rsidRPr="00DB6D2B">
        <w:rPr>
          <w:rFonts w:ascii="Times New Roman" w:hAnsi="Times New Roman"/>
          <w:sz w:val="24"/>
          <w:szCs w:val="24"/>
        </w:rPr>
        <w:tab/>
        <w:t>Recurso interposto por advogado irregularmente constituído</w:t>
      </w:r>
    </w:p>
    <w:p w:rsidR="00D549BC" w:rsidRDefault="00D549BC" w:rsidP="00DB6D2B">
      <w:pPr>
        <w:spacing w:after="240"/>
        <w:ind w:firstLine="851"/>
        <w:contextualSpacing/>
        <w:rPr>
          <w:rFonts w:ascii="Times New Roman" w:hAnsi="Times New Roman"/>
          <w:sz w:val="24"/>
          <w:szCs w:val="24"/>
        </w:rPr>
      </w:pPr>
    </w:p>
    <w:p w:rsidR="00D549BC" w:rsidRDefault="00D549BC" w:rsidP="00BD7A78">
      <w:pPr>
        <w:spacing w:after="240"/>
        <w:contextualSpacing/>
        <w:rPr>
          <w:rFonts w:ascii="Times New Roman" w:hAnsi="Times New Roman"/>
          <w:sz w:val="24"/>
          <w:szCs w:val="24"/>
        </w:rPr>
      </w:pPr>
      <w:r w:rsidRPr="00DB6D2B">
        <w:rPr>
          <w:rFonts w:ascii="Times New Roman" w:hAnsi="Times New Roman"/>
          <w:sz w:val="24"/>
          <w:szCs w:val="24"/>
        </w:rPr>
        <w:t>O STJ, inclu</w:t>
      </w:r>
      <w:r>
        <w:rPr>
          <w:rFonts w:ascii="Times New Roman" w:hAnsi="Times New Roman"/>
          <w:sz w:val="24"/>
          <w:szCs w:val="24"/>
        </w:rPr>
        <w:t>sive com entendimento sumulado,</w:t>
      </w:r>
      <w:r>
        <w:rPr>
          <w:rStyle w:val="FootnoteReference"/>
          <w:rFonts w:ascii="Times New Roman" w:hAnsi="Times New Roman"/>
          <w:sz w:val="24"/>
          <w:szCs w:val="24"/>
        </w:rPr>
        <w:footnoteReference w:id="171"/>
      </w:r>
      <w:r>
        <w:rPr>
          <w:rFonts w:ascii="Times New Roman" w:hAnsi="Times New Roman"/>
          <w:sz w:val="24"/>
          <w:szCs w:val="24"/>
        </w:rPr>
        <w:t xml:space="preserve"> e o STF,</w:t>
      </w:r>
      <w:r>
        <w:rPr>
          <w:rStyle w:val="FootnoteReference"/>
          <w:rFonts w:ascii="Times New Roman" w:hAnsi="Times New Roman"/>
          <w:sz w:val="24"/>
          <w:szCs w:val="24"/>
        </w:rPr>
        <w:footnoteReference w:id="172"/>
      </w:r>
      <w:r w:rsidRPr="00DB6D2B">
        <w:rPr>
          <w:rFonts w:ascii="Times New Roman" w:hAnsi="Times New Roman"/>
          <w:sz w:val="24"/>
          <w:szCs w:val="24"/>
        </w:rPr>
        <w:t xml:space="preserve"> de forma pacífica, consideram inexistente recurso interposto por advogado sem </w:t>
      </w:r>
      <w:r>
        <w:rPr>
          <w:rFonts w:ascii="Times New Roman" w:hAnsi="Times New Roman"/>
          <w:sz w:val="24"/>
          <w:szCs w:val="24"/>
        </w:rPr>
        <w:t>procuração nos autos. Ambas as C</w:t>
      </w:r>
      <w:r w:rsidRPr="00DB6D2B">
        <w:rPr>
          <w:rFonts w:ascii="Times New Roman" w:hAnsi="Times New Roman"/>
          <w:sz w:val="24"/>
          <w:szCs w:val="24"/>
        </w:rPr>
        <w:t xml:space="preserve">ortes, novamente, refutam a aplicação do artigo 13 do CPC às </w:t>
      </w:r>
      <w:r>
        <w:rPr>
          <w:rFonts w:ascii="Times New Roman" w:hAnsi="Times New Roman"/>
          <w:sz w:val="24"/>
          <w:szCs w:val="24"/>
        </w:rPr>
        <w:t xml:space="preserve">respectivas </w:t>
      </w:r>
      <w:r w:rsidRPr="00DB6D2B">
        <w:rPr>
          <w:rFonts w:ascii="Times New Roman" w:hAnsi="Times New Roman"/>
          <w:sz w:val="24"/>
          <w:szCs w:val="24"/>
        </w:rPr>
        <w:t>instâncias excepcionais.</w:t>
      </w:r>
    </w:p>
    <w:p w:rsidR="00D549BC" w:rsidRDefault="00D549BC" w:rsidP="00BD7A78">
      <w:pPr>
        <w:spacing w:after="240"/>
        <w:contextualSpacing/>
        <w:rPr>
          <w:rFonts w:ascii="Times New Roman" w:hAnsi="Times New Roman"/>
          <w:sz w:val="24"/>
          <w:szCs w:val="24"/>
        </w:rPr>
      </w:pPr>
      <w:r w:rsidRPr="006C71BA">
        <w:rPr>
          <w:rFonts w:ascii="Times New Roman" w:hAnsi="Times New Roman"/>
          <w:sz w:val="24"/>
          <w:szCs w:val="24"/>
        </w:rPr>
        <w:t>Entretanto, em boa hora, o Novo CPC,</w:t>
      </w:r>
      <w:r>
        <w:rPr>
          <w:rFonts w:ascii="Times New Roman" w:hAnsi="Times New Roman"/>
          <w:sz w:val="24"/>
          <w:szCs w:val="24"/>
        </w:rPr>
        <w:t xml:space="preserve"> </w:t>
      </w:r>
      <w:r w:rsidRPr="006C71BA">
        <w:rPr>
          <w:rFonts w:ascii="Times New Roman" w:hAnsi="Times New Roman"/>
          <w:sz w:val="24"/>
          <w:szCs w:val="24"/>
        </w:rPr>
        <w:t>no artigo 76, § 2º, é expresso qua</w:t>
      </w:r>
      <w:r>
        <w:rPr>
          <w:rFonts w:ascii="Times New Roman" w:hAnsi="Times New Roman"/>
          <w:sz w:val="24"/>
          <w:szCs w:val="24"/>
        </w:rPr>
        <w:t>nto à aplicação do art. 13 do atual CPC aos R</w:t>
      </w:r>
      <w:r w:rsidRPr="006C71BA">
        <w:rPr>
          <w:rFonts w:ascii="Times New Roman" w:hAnsi="Times New Roman"/>
          <w:sz w:val="24"/>
          <w:szCs w:val="24"/>
        </w:rPr>
        <w:t xml:space="preserve">ecursos </w:t>
      </w:r>
      <w:r>
        <w:rPr>
          <w:rFonts w:ascii="Times New Roman" w:hAnsi="Times New Roman"/>
          <w:sz w:val="24"/>
          <w:szCs w:val="24"/>
        </w:rPr>
        <w:t>E</w:t>
      </w:r>
      <w:r w:rsidRPr="006C71BA">
        <w:rPr>
          <w:rFonts w:ascii="Times New Roman" w:hAnsi="Times New Roman"/>
          <w:sz w:val="24"/>
          <w:szCs w:val="24"/>
        </w:rPr>
        <w:t xml:space="preserve">special e </w:t>
      </w:r>
      <w:r>
        <w:rPr>
          <w:rFonts w:ascii="Times New Roman" w:hAnsi="Times New Roman"/>
          <w:sz w:val="24"/>
          <w:szCs w:val="24"/>
        </w:rPr>
        <w:t>E</w:t>
      </w:r>
      <w:r w:rsidRPr="006C71BA">
        <w:rPr>
          <w:rFonts w:ascii="Times New Roman" w:hAnsi="Times New Roman"/>
          <w:sz w:val="24"/>
          <w:szCs w:val="24"/>
        </w:rPr>
        <w:t>xtraordinário</w:t>
      </w:r>
      <w:r>
        <w:rPr>
          <w:rFonts w:ascii="Times New Roman" w:hAnsi="Times New Roman"/>
          <w:sz w:val="24"/>
          <w:szCs w:val="24"/>
        </w:rPr>
        <w:t>.</w:t>
      </w:r>
      <w:r>
        <w:rPr>
          <w:rStyle w:val="FootnoteReference"/>
          <w:rFonts w:ascii="Times New Roman" w:hAnsi="Times New Roman"/>
          <w:sz w:val="24"/>
          <w:szCs w:val="24"/>
        </w:rPr>
        <w:footnoteReference w:id="173"/>
      </w:r>
      <w:r w:rsidRPr="006C71BA">
        <w:rPr>
          <w:rFonts w:ascii="Times New Roman" w:hAnsi="Times New Roman"/>
          <w:sz w:val="24"/>
          <w:szCs w:val="24"/>
        </w:rPr>
        <w:t xml:space="preserve"> Portanto, a partir da vigência do </w:t>
      </w:r>
      <w:r w:rsidRPr="00161AA2">
        <w:rPr>
          <w:rFonts w:ascii="Times New Roman" w:hAnsi="Times New Roman"/>
          <w:i/>
          <w:sz w:val="24"/>
          <w:szCs w:val="24"/>
        </w:rPr>
        <w:t>novel</w:t>
      </w:r>
      <w:r w:rsidRPr="006C71BA">
        <w:rPr>
          <w:rFonts w:ascii="Times New Roman" w:hAnsi="Times New Roman"/>
          <w:sz w:val="24"/>
          <w:szCs w:val="24"/>
        </w:rPr>
        <w:t xml:space="preserve"> Código</w:t>
      </w:r>
      <w:r>
        <w:rPr>
          <w:rFonts w:ascii="Times New Roman" w:hAnsi="Times New Roman"/>
          <w:sz w:val="24"/>
          <w:szCs w:val="24"/>
        </w:rPr>
        <w:t xml:space="preserve"> de Processo Civil</w:t>
      </w:r>
      <w:r w:rsidRPr="006C71BA">
        <w:rPr>
          <w:rFonts w:ascii="Times New Roman" w:hAnsi="Times New Roman"/>
          <w:sz w:val="24"/>
          <w:szCs w:val="24"/>
        </w:rPr>
        <w:t>, ficará explícito que, tanto na instância ordinária, quanto na extraordinária, antes de não conhecer do recurso, dev</w:t>
      </w:r>
      <w:r>
        <w:rPr>
          <w:rFonts w:ascii="Times New Roman" w:hAnsi="Times New Roman"/>
          <w:sz w:val="24"/>
          <w:szCs w:val="24"/>
        </w:rPr>
        <w:t>erá o julgador intimar a parte interessada para</w:t>
      </w:r>
      <w:r w:rsidRPr="006C71BA">
        <w:rPr>
          <w:rFonts w:ascii="Times New Roman" w:hAnsi="Times New Roman"/>
          <w:sz w:val="24"/>
          <w:szCs w:val="24"/>
        </w:rPr>
        <w:t xml:space="preserve"> sanar o vício.</w:t>
      </w:r>
    </w:p>
    <w:p w:rsidR="00D549BC" w:rsidRDefault="00D549BC" w:rsidP="00702AA2">
      <w:pPr>
        <w:spacing w:after="240"/>
        <w:ind w:firstLine="0"/>
        <w:contextualSpacing/>
        <w:rPr>
          <w:rFonts w:ascii="Times New Roman" w:hAnsi="Times New Roman"/>
          <w:sz w:val="24"/>
        </w:rPr>
      </w:pPr>
    </w:p>
    <w:p w:rsidR="00D549BC" w:rsidRDefault="00D549BC" w:rsidP="00702AA2">
      <w:pPr>
        <w:spacing w:after="240"/>
        <w:ind w:firstLine="0"/>
        <w:contextualSpacing/>
        <w:rPr>
          <w:rFonts w:ascii="Times New Roman" w:hAnsi="Times New Roman"/>
          <w:sz w:val="24"/>
        </w:rPr>
      </w:pPr>
    </w:p>
    <w:p w:rsidR="00D549BC" w:rsidRDefault="00D549BC" w:rsidP="00702AA2">
      <w:pPr>
        <w:spacing w:after="240"/>
        <w:ind w:firstLine="0"/>
        <w:contextualSpacing/>
        <w:rPr>
          <w:rFonts w:ascii="Times New Roman" w:hAnsi="Times New Roman"/>
          <w:sz w:val="24"/>
        </w:rPr>
      </w:pPr>
      <w:r w:rsidRPr="007F6D8D">
        <w:rPr>
          <w:rFonts w:ascii="Times New Roman" w:hAnsi="Times New Roman"/>
          <w:sz w:val="24"/>
        </w:rPr>
        <w:t>4.1.1.5</w:t>
      </w:r>
      <w:r w:rsidRPr="007F6D8D">
        <w:rPr>
          <w:rFonts w:ascii="Times New Roman" w:hAnsi="Times New Roman"/>
          <w:sz w:val="24"/>
        </w:rPr>
        <w:tab/>
        <w:t>Erro no preenchimento da guia de recolhimento das custas judiciárias</w:t>
      </w:r>
    </w:p>
    <w:p w:rsidR="00D549BC" w:rsidRDefault="00D549BC" w:rsidP="00702AA2">
      <w:pPr>
        <w:spacing w:after="240"/>
        <w:ind w:firstLine="0"/>
        <w:contextualSpacing/>
        <w:rPr>
          <w:rFonts w:ascii="Times New Roman" w:hAnsi="Times New Roman"/>
          <w:sz w:val="24"/>
        </w:rPr>
      </w:pPr>
    </w:p>
    <w:p w:rsidR="00D549BC" w:rsidRDefault="00D549BC" w:rsidP="002D6F1C">
      <w:pPr>
        <w:spacing w:after="240"/>
        <w:contextualSpacing/>
        <w:rPr>
          <w:rFonts w:ascii="Times New Roman" w:hAnsi="Times New Roman"/>
          <w:sz w:val="24"/>
          <w:szCs w:val="24"/>
        </w:rPr>
      </w:pPr>
      <w:r w:rsidRPr="004A026C">
        <w:rPr>
          <w:rFonts w:ascii="Times New Roman" w:hAnsi="Times New Roman"/>
          <w:sz w:val="24"/>
          <w:szCs w:val="24"/>
        </w:rPr>
        <w:t>O preparo consiste no pagamento antecipado das despesas relativas ao</w:t>
      </w:r>
      <w:r>
        <w:rPr>
          <w:rFonts w:ascii="Times New Roman" w:hAnsi="Times New Roman"/>
          <w:sz w:val="24"/>
          <w:szCs w:val="24"/>
        </w:rPr>
        <w:t xml:space="preserve"> </w:t>
      </w:r>
      <w:r w:rsidRPr="004A026C">
        <w:rPr>
          <w:rFonts w:ascii="Times New Roman" w:hAnsi="Times New Roman"/>
          <w:sz w:val="24"/>
          <w:szCs w:val="24"/>
        </w:rPr>
        <w:t>processamento do recurso</w:t>
      </w:r>
      <w:r>
        <w:rPr>
          <w:rFonts w:ascii="Times New Roman" w:hAnsi="Times New Roman"/>
          <w:sz w:val="24"/>
          <w:szCs w:val="24"/>
        </w:rPr>
        <w:t xml:space="preserve"> e deve ser</w:t>
      </w:r>
      <w:r w:rsidRPr="004A026C">
        <w:rPr>
          <w:rFonts w:ascii="Times New Roman" w:hAnsi="Times New Roman"/>
          <w:sz w:val="24"/>
          <w:szCs w:val="24"/>
        </w:rPr>
        <w:t xml:space="preserve"> demonstrado no ato de </w:t>
      </w:r>
      <w:r>
        <w:rPr>
          <w:rFonts w:ascii="Times New Roman" w:hAnsi="Times New Roman"/>
          <w:sz w:val="24"/>
          <w:szCs w:val="24"/>
        </w:rPr>
        <w:t>sua interposição</w:t>
      </w:r>
      <w:r w:rsidRPr="004A026C">
        <w:rPr>
          <w:rFonts w:ascii="Times New Roman" w:hAnsi="Times New Roman"/>
          <w:sz w:val="24"/>
          <w:szCs w:val="24"/>
        </w:rPr>
        <w:t>, salvo</w:t>
      </w:r>
      <w:r>
        <w:rPr>
          <w:rFonts w:ascii="Times New Roman" w:hAnsi="Times New Roman"/>
          <w:sz w:val="24"/>
          <w:szCs w:val="24"/>
        </w:rPr>
        <w:t xml:space="preserve"> </w:t>
      </w:r>
      <w:r w:rsidRPr="004A026C">
        <w:rPr>
          <w:rFonts w:ascii="Times New Roman" w:hAnsi="Times New Roman"/>
          <w:sz w:val="24"/>
          <w:szCs w:val="24"/>
        </w:rPr>
        <w:t xml:space="preserve">nos </w:t>
      </w:r>
      <w:r>
        <w:rPr>
          <w:rFonts w:ascii="Times New Roman" w:hAnsi="Times New Roman"/>
          <w:sz w:val="24"/>
          <w:szCs w:val="24"/>
        </w:rPr>
        <w:t xml:space="preserve">casos do benefício de Justiça Gratuita. </w:t>
      </w:r>
      <w:r w:rsidRPr="004A026C">
        <w:rPr>
          <w:rFonts w:ascii="Times New Roman" w:hAnsi="Times New Roman"/>
          <w:sz w:val="24"/>
          <w:szCs w:val="24"/>
        </w:rPr>
        <w:t>Ocorrendo o não recolhimento das despesas, isto</w:t>
      </w:r>
      <w:r>
        <w:rPr>
          <w:rFonts w:ascii="Times New Roman" w:hAnsi="Times New Roman"/>
          <w:sz w:val="24"/>
          <w:szCs w:val="24"/>
        </w:rPr>
        <w:t xml:space="preserve"> </w:t>
      </w:r>
      <w:r w:rsidRPr="004A026C">
        <w:rPr>
          <w:rFonts w:ascii="Times New Roman" w:hAnsi="Times New Roman"/>
          <w:sz w:val="24"/>
          <w:szCs w:val="24"/>
        </w:rPr>
        <w:t>implicará na aplicação de sanção de deserção.</w:t>
      </w:r>
    </w:p>
    <w:p w:rsidR="00D549BC" w:rsidRDefault="00D549BC" w:rsidP="002D6F1C">
      <w:pPr>
        <w:spacing w:after="240"/>
        <w:contextualSpacing/>
        <w:rPr>
          <w:rFonts w:ascii="Times New Roman" w:hAnsi="Times New Roman"/>
          <w:sz w:val="24"/>
          <w:szCs w:val="24"/>
        </w:rPr>
      </w:pPr>
      <w:r>
        <w:rPr>
          <w:rFonts w:ascii="Times New Roman" w:hAnsi="Times New Roman"/>
          <w:sz w:val="24"/>
          <w:szCs w:val="24"/>
        </w:rPr>
        <w:t>Se o recorrente interpuser R</w:t>
      </w:r>
      <w:r w:rsidRPr="004A026C">
        <w:rPr>
          <w:rFonts w:ascii="Times New Roman" w:hAnsi="Times New Roman"/>
          <w:sz w:val="24"/>
          <w:szCs w:val="24"/>
        </w:rPr>
        <w:t xml:space="preserve">ecurso </w:t>
      </w:r>
      <w:r>
        <w:rPr>
          <w:rFonts w:ascii="Times New Roman" w:hAnsi="Times New Roman"/>
          <w:sz w:val="24"/>
          <w:szCs w:val="24"/>
        </w:rPr>
        <w:t>E</w:t>
      </w:r>
      <w:r w:rsidRPr="004A026C">
        <w:rPr>
          <w:rFonts w:ascii="Times New Roman" w:hAnsi="Times New Roman"/>
          <w:sz w:val="24"/>
          <w:szCs w:val="24"/>
        </w:rPr>
        <w:t xml:space="preserve">special ou </w:t>
      </w:r>
      <w:r>
        <w:rPr>
          <w:rFonts w:ascii="Times New Roman" w:hAnsi="Times New Roman"/>
          <w:sz w:val="24"/>
          <w:szCs w:val="24"/>
        </w:rPr>
        <w:t>E</w:t>
      </w:r>
      <w:r w:rsidRPr="004A026C">
        <w:rPr>
          <w:rFonts w:ascii="Times New Roman" w:hAnsi="Times New Roman"/>
          <w:sz w:val="24"/>
          <w:szCs w:val="24"/>
        </w:rPr>
        <w:t>xtraordinário com a guia de recolhimento de custas preenchida de forma incompleta ou com algum erro,</w:t>
      </w:r>
      <w:r>
        <w:rPr>
          <w:rFonts w:ascii="Times New Roman" w:hAnsi="Times New Roman"/>
          <w:sz w:val="24"/>
          <w:szCs w:val="24"/>
        </w:rPr>
        <w:t xml:space="preserve"> a atual jurisprudência do STJ</w:t>
      </w:r>
      <w:r>
        <w:rPr>
          <w:rStyle w:val="FootnoteReference"/>
          <w:rFonts w:ascii="Times New Roman" w:hAnsi="Times New Roman"/>
          <w:sz w:val="24"/>
          <w:szCs w:val="24"/>
        </w:rPr>
        <w:footnoteReference w:id="174"/>
      </w:r>
      <w:r>
        <w:rPr>
          <w:rFonts w:ascii="Times New Roman" w:hAnsi="Times New Roman"/>
          <w:sz w:val="24"/>
          <w:szCs w:val="24"/>
        </w:rPr>
        <w:t xml:space="preserve"> e do STF</w:t>
      </w:r>
      <w:r>
        <w:rPr>
          <w:rStyle w:val="FootnoteReference"/>
          <w:rFonts w:ascii="Times New Roman" w:hAnsi="Times New Roman"/>
          <w:sz w:val="24"/>
          <w:szCs w:val="24"/>
        </w:rPr>
        <w:footnoteReference w:id="175"/>
      </w:r>
      <w:r w:rsidRPr="004A026C">
        <w:rPr>
          <w:rFonts w:ascii="Times New Roman" w:hAnsi="Times New Roman"/>
          <w:sz w:val="24"/>
          <w:szCs w:val="24"/>
        </w:rPr>
        <w:t xml:space="preserve"> impõe o reconhecimento da deserção, não permitindo a</w:t>
      </w:r>
      <w:r>
        <w:rPr>
          <w:rFonts w:ascii="Times New Roman" w:hAnsi="Times New Roman"/>
          <w:sz w:val="24"/>
          <w:szCs w:val="24"/>
        </w:rPr>
        <w:t xml:space="preserve"> </w:t>
      </w:r>
      <w:r w:rsidRPr="004123CB">
        <w:rPr>
          <w:rFonts w:ascii="Times New Roman" w:hAnsi="Times New Roman"/>
          <w:sz w:val="24"/>
          <w:szCs w:val="24"/>
        </w:rPr>
        <w:t>juntada posterior da guia devidamente preenchida, sob o argumento de preclusão consumativa.</w:t>
      </w:r>
    </w:p>
    <w:p w:rsidR="00D549BC" w:rsidRDefault="00D549BC" w:rsidP="00C71614">
      <w:pPr>
        <w:spacing w:after="240"/>
        <w:contextualSpacing/>
        <w:rPr>
          <w:rFonts w:ascii="Times New Roman" w:hAnsi="Times New Roman"/>
          <w:sz w:val="24"/>
          <w:szCs w:val="24"/>
        </w:rPr>
      </w:pPr>
      <w:r>
        <w:rPr>
          <w:rFonts w:ascii="Times New Roman" w:hAnsi="Times New Roman"/>
          <w:sz w:val="24"/>
          <w:szCs w:val="24"/>
        </w:rPr>
        <w:t>Todavia, o</w:t>
      </w:r>
      <w:r w:rsidRPr="004123CB">
        <w:rPr>
          <w:rFonts w:ascii="Times New Roman" w:hAnsi="Times New Roman"/>
          <w:sz w:val="24"/>
          <w:szCs w:val="24"/>
        </w:rPr>
        <w:t xml:space="preserve"> NCPC, no art. </w:t>
      </w:r>
      <w:r>
        <w:rPr>
          <w:rFonts w:ascii="Times New Roman" w:hAnsi="Times New Roman"/>
          <w:sz w:val="24"/>
          <w:szCs w:val="24"/>
        </w:rPr>
        <w:t>1.007, § 7</w:t>
      </w:r>
      <w:r w:rsidRPr="004123CB">
        <w:rPr>
          <w:rFonts w:ascii="Times New Roman" w:hAnsi="Times New Roman"/>
          <w:sz w:val="24"/>
          <w:szCs w:val="24"/>
        </w:rPr>
        <w:t>º, assegura que: “</w:t>
      </w:r>
      <w:r w:rsidRPr="004123CB">
        <w:rPr>
          <w:rFonts w:ascii="Times New Roman" w:hAnsi="Times New Roman"/>
          <w:i/>
          <w:sz w:val="24"/>
          <w:szCs w:val="24"/>
        </w:rPr>
        <w:t>O equívoco no preenchimento da guia de custas não resultará na aplicação da pena de deserção, cabendo ao relator, na hipótese de dúvida quanto ao recolhimento, intimar o recorrente para sanar o vício no prazo de 5 (cinco) dias ou solicitar informações ao órgão arrecadador</w:t>
      </w:r>
      <w:r>
        <w:rPr>
          <w:rFonts w:ascii="Times New Roman" w:hAnsi="Times New Roman"/>
          <w:i/>
          <w:sz w:val="24"/>
          <w:szCs w:val="24"/>
        </w:rPr>
        <w:t>.</w:t>
      </w:r>
      <w:r>
        <w:rPr>
          <w:rFonts w:ascii="Times New Roman" w:hAnsi="Times New Roman"/>
          <w:sz w:val="24"/>
          <w:szCs w:val="24"/>
        </w:rPr>
        <w:t>”</w:t>
      </w:r>
      <w:r>
        <w:rPr>
          <w:rStyle w:val="FootnoteReference"/>
          <w:rFonts w:ascii="Times New Roman" w:hAnsi="Times New Roman"/>
          <w:sz w:val="24"/>
          <w:szCs w:val="24"/>
        </w:rPr>
        <w:footnoteReference w:id="176"/>
      </w:r>
      <w:r>
        <w:rPr>
          <w:rFonts w:ascii="Times New Roman" w:hAnsi="Times New Roman"/>
          <w:sz w:val="24"/>
          <w:szCs w:val="24"/>
        </w:rPr>
        <w:t xml:space="preserve"> </w:t>
      </w:r>
    </w:p>
    <w:p w:rsidR="00D549BC" w:rsidRDefault="00D549BC" w:rsidP="00C71614">
      <w:pPr>
        <w:spacing w:after="240"/>
        <w:contextualSpacing/>
        <w:rPr>
          <w:rFonts w:ascii="Times New Roman" w:hAnsi="Times New Roman"/>
          <w:sz w:val="24"/>
          <w:szCs w:val="24"/>
        </w:rPr>
      </w:pPr>
      <w:r w:rsidRPr="004724D2">
        <w:rPr>
          <w:rFonts w:ascii="Times New Roman" w:hAnsi="Times New Roman"/>
          <w:sz w:val="24"/>
          <w:szCs w:val="24"/>
        </w:rPr>
        <w:t>Mais uma vez, o legislador</w:t>
      </w:r>
      <w:r>
        <w:rPr>
          <w:rFonts w:ascii="Times New Roman" w:hAnsi="Times New Roman"/>
          <w:sz w:val="24"/>
          <w:szCs w:val="24"/>
        </w:rPr>
        <w:t xml:space="preserve"> ordin</w:t>
      </w:r>
      <w:r w:rsidRPr="004724D2">
        <w:rPr>
          <w:rFonts w:ascii="Times New Roman" w:hAnsi="Times New Roman"/>
          <w:sz w:val="24"/>
          <w:szCs w:val="24"/>
        </w:rPr>
        <w:t>ário</w:t>
      </w:r>
      <w:r>
        <w:rPr>
          <w:rFonts w:ascii="Times New Roman" w:hAnsi="Times New Roman"/>
          <w:sz w:val="24"/>
          <w:szCs w:val="24"/>
        </w:rPr>
        <w:t xml:space="preserve"> buscou</w:t>
      </w:r>
      <w:r w:rsidRPr="004724D2">
        <w:rPr>
          <w:rFonts w:ascii="Times New Roman" w:hAnsi="Times New Roman"/>
          <w:sz w:val="24"/>
          <w:szCs w:val="24"/>
        </w:rPr>
        <w:t xml:space="preserve"> afastar o rigor da </w:t>
      </w:r>
      <w:r>
        <w:rPr>
          <w:rFonts w:ascii="Times New Roman" w:hAnsi="Times New Roman"/>
          <w:sz w:val="24"/>
          <w:szCs w:val="24"/>
        </w:rPr>
        <w:t>jurisprudência dos Tribunais S</w:t>
      </w:r>
      <w:r w:rsidRPr="004724D2">
        <w:rPr>
          <w:rFonts w:ascii="Times New Roman" w:hAnsi="Times New Roman"/>
          <w:sz w:val="24"/>
          <w:szCs w:val="24"/>
        </w:rPr>
        <w:t>uperiores, concedendo à parte recorrente a</w:t>
      </w:r>
      <w:r>
        <w:rPr>
          <w:rFonts w:ascii="Times New Roman" w:hAnsi="Times New Roman"/>
          <w:sz w:val="24"/>
          <w:szCs w:val="24"/>
        </w:rPr>
        <w:t xml:space="preserve"> possibilidade de sanar o vício,</w:t>
      </w:r>
      <w:r w:rsidRPr="004724D2">
        <w:rPr>
          <w:rFonts w:ascii="Times New Roman" w:hAnsi="Times New Roman"/>
          <w:sz w:val="24"/>
          <w:szCs w:val="24"/>
        </w:rPr>
        <w:t xml:space="preserve"> an</w:t>
      </w:r>
      <w:r>
        <w:rPr>
          <w:rFonts w:ascii="Times New Roman" w:hAnsi="Times New Roman"/>
          <w:sz w:val="24"/>
          <w:szCs w:val="24"/>
        </w:rPr>
        <w:t xml:space="preserve">tes de ver o recurso não conhecido. </w:t>
      </w:r>
    </w:p>
    <w:p w:rsidR="00D549BC" w:rsidRDefault="00D549BC" w:rsidP="00F17014">
      <w:pPr>
        <w:spacing w:after="240"/>
        <w:ind w:firstLine="851"/>
        <w:contextualSpacing/>
        <w:rPr>
          <w:rFonts w:ascii="Times New Roman" w:hAnsi="Times New Roman"/>
          <w:sz w:val="24"/>
          <w:szCs w:val="24"/>
        </w:rPr>
      </w:pPr>
    </w:p>
    <w:p w:rsidR="00D549BC" w:rsidRDefault="00D549BC" w:rsidP="004724D2">
      <w:pPr>
        <w:spacing w:after="240"/>
        <w:ind w:firstLine="0"/>
        <w:contextualSpacing/>
        <w:rPr>
          <w:rFonts w:ascii="Times New Roman" w:hAnsi="Times New Roman"/>
          <w:sz w:val="24"/>
          <w:szCs w:val="24"/>
        </w:rPr>
      </w:pPr>
      <w:r w:rsidRPr="004724D2">
        <w:rPr>
          <w:rFonts w:ascii="Times New Roman" w:hAnsi="Times New Roman"/>
          <w:sz w:val="24"/>
          <w:szCs w:val="24"/>
        </w:rPr>
        <w:t>4.</w:t>
      </w:r>
      <w:r>
        <w:rPr>
          <w:rFonts w:ascii="Times New Roman" w:hAnsi="Times New Roman"/>
          <w:sz w:val="24"/>
          <w:szCs w:val="24"/>
        </w:rPr>
        <w:t>1.1.6</w:t>
      </w:r>
      <w:r>
        <w:rPr>
          <w:rFonts w:ascii="Times New Roman" w:hAnsi="Times New Roman"/>
          <w:sz w:val="24"/>
          <w:szCs w:val="24"/>
        </w:rPr>
        <w:tab/>
        <w:t>Ausência de ratificação do</w:t>
      </w:r>
      <w:r w:rsidRPr="004724D2">
        <w:rPr>
          <w:rFonts w:ascii="Times New Roman" w:hAnsi="Times New Roman"/>
          <w:sz w:val="24"/>
          <w:szCs w:val="24"/>
        </w:rPr>
        <w:t xml:space="preserve"> recurso</w:t>
      </w:r>
      <w:r>
        <w:rPr>
          <w:rFonts w:ascii="Times New Roman" w:hAnsi="Times New Roman"/>
          <w:sz w:val="24"/>
          <w:szCs w:val="24"/>
        </w:rPr>
        <w:t xml:space="preserve"> excepcional</w:t>
      </w:r>
      <w:r w:rsidRPr="004724D2">
        <w:rPr>
          <w:rFonts w:ascii="Times New Roman" w:hAnsi="Times New Roman"/>
          <w:sz w:val="24"/>
          <w:szCs w:val="24"/>
        </w:rPr>
        <w:t xml:space="preserve"> interposto antes do termo inicial</w:t>
      </w:r>
    </w:p>
    <w:p w:rsidR="00D549BC" w:rsidRDefault="00D549BC" w:rsidP="004724D2">
      <w:pPr>
        <w:spacing w:after="240"/>
        <w:ind w:firstLine="0"/>
        <w:contextualSpacing/>
        <w:rPr>
          <w:rFonts w:ascii="Times New Roman" w:hAnsi="Times New Roman"/>
          <w:sz w:val="24"/>
          <w:szCs w:val="24"/>
        </w:rPr>
      </w:pPr>
    </w:p>
    <w:p w:rsidR="00D549BC" w:rsidRDefault="00D549BC" w:rsidP="00346F2F">
      <w:pPr>
        <w:spacing w:after="240"/>
        <w:contextualSpacing/>
        <w:rPr>
          <w:rFonts w:ascii="Times New Roman" w:hAnsi="Times New Roman"/>
          <w:sz w:val="24"/>
          <w:szCs w:val="24"/>
        </w:rPr>
      </w:pPr>
      <w:r w:rsidRPr="006F05CB">
        <w:rPr>
          <w:rFonts w:ascii="Times New Roman" w:hAnsi="Times New Roman"/>
          <w:sz w:val="24"/>
          <w:szCs w:val="24"/>
        </w:rPr>
        <w:t xml:space="preserve">Os </w:t>
      </w:r>
      <w:r>
        <w:rPr>
          <w:rFonts w:ascii="Times New Roman" w:hAnsi="Times New Roman"/>
          <w:sz w:val="24"/>
          <w:szCs w:val="24"/>
        </w:rPr>
        <w:t>T</w:t>
      </w:r>
      <w:r w:rsidRPr="006F05CB">
        <w:rPr>
          <w:rFonts w:ascii="Times New Roman" w:hAnsi="Times New Roman"/>
          <w:sz w:val="24"/>
          <w:szCs w:val="24"/>
        </w:rPr>
        <w:t xml:space="preserve">ribunais </w:t>
      </w:r>
      <w:r>
        <w:rPr>
          <w:rFonts w:ascii="Times New Roman" w:hAnsi="Times New Roman"/>
          <w:sz w:val="24"/>
          <w:szCs w:val="24"/>
        </w:rPr>
        <w:t>Superiores não admitem R</w:t>
      </w:r>
      <w:r w:rsidRPr="006F05CB">
        <w:rPr>
          <w:rFonts w:ascii="Times New Roman" w:hAnsi="Times New Roman"/>
          <w:sz w:val="24"/>
          <w:szCs w:val="24"/>
        </w:rPr>
        <w:t xml:space="preserve">ecurso </w:t>
      </w:r>
      <w:r>
        <w:rPr>
          <w:rFonts w:ascii="Times New Roman" w:hAnsi="Times New Roman"/>
          <w:sz w:val="24"/>
          <w:szCs w:val="24"/>
        </w:rPr>
        <w:t>E</w:t>
      </w:r>
      <w:r w:rsidRPr="006F05CB">
        <w:rPr>
          <w:rFonts w:ascii="Times New Roman" w:hAnsi="Times New Roman"/>
          <w:sz w:val="24"/>
          <w:szCs w:val="24"/>
        </w:rPr>
        <w:t xml:space="preserve">special e </w:t>
      </w:r>
      <w:r>
        <w:rPr>
          <w:rFonts w:ascii="Times New Roman" w:hAnsi="Times New Roman"/>
          <w:sz w:val="24"/>
          <w:szCs w:val="24"/>
        </w:rPr>
        <w:t>E</w:t>
      </w:r>
      <w:r w:rsidRPr="006F05CB">
        <w:rPr>
          <w:rFonts w:ascii="Times New Roman" w:hAnsi="Times New Roman"/>
          <w:sz w:val="24"/>
          <w:szCs w:val="24"/>
        </w:rPr>
        <w:t xml:space="preserve">xtraordinário, antes do julgamento </w:t>
      </w:r>
      <w:r>
        <w:rPr>
          <w:rFonts w:ascii="Times New Roman" w:hAnsi="Times New Roman"/>
          <w:sz w:val="24"/>
          <w:szCs w:val="24"/>
        </w:rPr>
        <w:t xml:space="preserve">pelo Tribunal de origem </w:t>
      </w:r>
      <w:r w:rsidRPr="006F05CB">
        <w:rPr>
          <w:rFonts w:ascii="Times New Roman" w:hAnsi="Times New Roman"/>
          <w:sz w:val="24"/>
          <w:szCs w:val="24"/>
        </w:rPr>
        <w:t xml:space="preserve">do recurso de </w:t>
      </w:r>
      <w:r>
        <w:rPr>
          <w:rFonts w:ascii="Times New Roman" w:hAnsi="Times New Roman"/>
          <w:sz w:val="24"/>
          <w:szCs w:val="24"/>
        </w:rPr>
        <w:t>E</w:t>
      </w:r>
      <w:r w:rsidRPr="006F05CB">
        <w:rPr>
          <w:rFonts w:ascii="Times New Roman" w:hAnsi="Times New Roman"/>
          <w:sz w:val="24"/>
          <w:szCs w:val="24"/>
        </w:rPr>
        <w:t xml:space="preserve">mbargos de </w:t>
      </w:r>
      <w:r>
        <w:rPr>
          <w:rFonts w:ascii="Times New Roman" w:hAnsi="Times New Roman"/>
          <w:sz w:val="24"/>
          <w:szCs w:val="24"/>
        </w:rPr>
        <w:t>D</w:t>
      </w:r>
      <w:r w:rsidRPr="006F05CB">
        <w:rPr>
          <w:rFonts w:ascii="Times New Roman" w:hAnsi="Times New Roman"/>
          <w:sz w:val="24"/>
          <w:szCs w:val="24"/>
        </w:rPr>
        <w:t>eclaração, se a parte recorrente deixar de ratificar as razões dos recursos excepcionais, após a publica</w:t>
      </w:r>
      <w:r>
        <w:rPr>
          <w:rFonts w:ascii="Times New Roman" w:hAnsi="Times New Roman"/>
          <w:sz w:val="24"/>
          <w:szCs w:val="24"/>
        </w:rPr>
        <w:t>ção do julgamento dos embargos.</w:t>
      </w:r>
      <w:r>
        <w:rPr>
          <w:rStyle w:val="FootnoteReference"/>
          <w:rFonts w:ascii="Times New Roman" w:hAnsi="Times New Roman"/>
          <w:sz w:val="24"/>
          <w:szCs w:val="24"/>
        </w:rPr>
        <w:footnoteReference w:id="177"/>
      </w:r>
      <w:r w:rsidRPr="006F05CB">
        <w:rPr>
          <w:rFonts w:ascii="Times New Roman" w:hAnsi="Times New Roman"/>
          <w:sz w:val="24"/>
          <w:szCs w:val="24"/>
        </w:rPr>
        <w:t xml:space="preserve"> O STJ, inclusiv</w:t>
      </w:r>
      <w:r>
        <w:rPr>
          <w:rFonts w:ascii="Times New Roman" w:hAnsi="Times New Roman"/>
          <w:sz w:val="24"/>
          <w:szCs w:val="24"/>
        </w:rPr>
        <w:t>e, possui entendimento sumulado a esse respeito.</w:t>
      </w:r>
      <w:r>
        <w:rPr>
          <w:rStyle w:val="FootnoteReference"/>
          <w:rFonts w:ascii="Times New Roman" w:hAnsi="Times New Roman"/>
          <w:sz w:val="24"/>
          <w:szCs w:val="24"/>
        </w:rPr>
        <w:footnoteReference w:id="178"/>
      </w:r>
    </w:p>
    <w:p w:rsidR="00D549BC" w:rsidRDefault="00D549BC" w:rsidP="00346F2F">
      <w:pPr>
        <w:spacing w:after="240"/>
        <w:contextualSpacing/>
        <w:rPr>
          <w:rFonts w:ascii="Times New Roman" w:hAnsi="Times New Roman"/>
          <w:sz w:val="24"/>
          <w:szCs w:val="24"/>
        </w:rPr>
      </w:pPr>
      <w:r>
        <w:rPr>
          <w:rFonts w:ascii="Times New Roman" w:hAnsi="Times New Roman"/>
          <w:sz w:val="24"/>
          <w:szCs w:val="24"/>
        </w:rPr>
        <w:t>Ou seja, para que o recorrente tenha o seu recurso excepcional admitido, deverá apresentar simples petição somente após a publicação do julgamento dos aclaratórios, ratificando as razões anteriormente protocoladas, pois dessa forma a manifestação dar-se-á dentro do prazo recursal, tempestivamente.</w:t>
      </w:r>
    </w:p>
    <w:p w:rsidR="00D549BC" w:rsidRDefault="00D549BC" w:rsidP="00346F2F">
      <w:pPr>
        <w:spacing w:after="240"/>
        <w:contextualSpacing/>
        <w:rPr>
          <w:rFonts w:ascii="Times New Roman" w:hAnsi="Times New Roman"/>
          <w:sz w:val="24"/>
          <w:szCs w:val="24"/>
        </w:rPr>
      </w:pPr>
      <w:r w:rsidRPr="00004949">
        <w:rPr>
          <w:rFonts w:ascii="Times New Roman" w:hAnsi="Times New Roman"/>
          <w:sz w:val="24"/>
          <w:szCs w:val="24"/>
        </w:rPr>
        <w:t xml:space="preserve">Contudo, o </w:t>
      </w:r>
      <w:r>
        <w:rPr>
          <w:rFonts w:ascii="Times New Roman" w:hAnsi="Times New Roman"/>
          <w:sz w:val="24"/>
          <w:szCs w:val="24"/>
        </w:rPr>
        <w:t xml:space="preserve">citado </w:t>
      </w:r>
      <w:r w:rsidRPr="00004949">
        <w:rPr>
          <w:rFonts w:ascii="Times New Roman" w:hAnsi="Times New Roman"/>
          <w:sz w:val="24"/>
          <w:szCs w:val="24"/>
        </w:rPr>
        <w:t xml:space="preserve">entendimento sempre recebeu </w:t>
      </w:r>
      <w:r>
        <w:rPr>
          <w:rFonts w:ascii="Times New Roman" w:hAnsi="Times New Roman"/>
          <w:sz w:val="24"/>
          <w:szCs w:val="24"/>
        </w:rPr>
        <w:t>duras</w:t>
      </w:r>
      <w:r w:rsidRPr="00004949">
        <w:rPr>
          <w:rFonts w:ascii="Times New Roman" w:hAnsi="Times New Roman"/>
          <w:sz w:val="24"/>
          <w:szCs w:val="24"/>
        </w:rPr>
        <w:t xml:space="preserve"> críticas da doutrina, já que, </w:t>
      </w:r>
      <w:r>
        <w:rPr>
          <w:rFonts w:ascii="Times New Roman" w:hAnsi="Times New Roman"/>
          <w:sz w:val="24"/>
          <w:szCs w:val="24"/>
        </w:rPr>
        <w:t>nas hipóteses de</w:t>
      </w:r>
      <w:r w:rsidRPr="00004949">
        <w:rPr>
          <w:rFonts w:ascii="Times New Roman" w:hAnsi="Times New Roman"/>
          <w:sz w:val="24"/>
          <w:szCs w:val="24"/>
        </w:rPr>
        <w:t xml:space="preserve"> os </w:t>
      </w:r>
      <w:r>
        <w:rPr>
          <w:rFonts w:ascii="Times New Roman" w:hAnsi="Times New Roman"/>
          <w:sz w:val="24"/>
          <w:szCs w:val="24"/>
        </w:rPr>
        <w:t>Embargos D</w:t>
      </w:r>
      <w:r w:rsidRPr="00004949">
        <w:rPr>
          <w:rFonts w:ascii="Times New Roman" w:hAnsi="Times New Roman"/>
          <w:sz w:val="24"/>
          <w:szCs w:val="24"/>
        </w:rPr>
        <w:t>e</w:t>
      </w:r>
      <w:r>
        <w:rPr>
          <w:rFonts w:ascii="Times New Roman" w:hAnsi="Times New Roman"/>
          <w:sz w:val="24"/>
          <w:szCs w:val="24"/>
        </w:rPr>
        <w:t xml:space="preserve">claratórios em nada modificarem </w:t>
      </w:r>
      <w:r w:rsidRPr="00004949">
        <w:rPr>
          <w:rFonts w:ascii="Times New Roman" w:hAnsi="Times New Roman"/>
          <w:sz w:val="24"/>
          <w:szCs w:val="24"/>
        </w:rPr>
        <w:t>o teor do julgamento anterior</w:t>
      </w:r>
      <w:r>
        <w:rPr>
          <w:rFonts w:ascii="Times New Roman" w:hAnsi="Times New Roman"/>
          <w:sz w:val="24"/>
          <w:szCs w:val="24"/>
        </w:rPr>
        <w:t xml:space="preserve"> ou não serem acolhidos</w:t>
      </w:r>
      <w:r w:rsidRPr="00004949">
        <w:rPr>
          <w:rFonts w:ascii="Times New Roman" w:hAnsi="Times New Roman"/>
          <w:sz w:val="24"/>
          <w:szCs w:val="24"/>
        </w:rPr>
        <w:t xml:space="preserve">, por qual </w:t>
      </w:r>
      <w:r>
        <w:rPr>
          <w:rFonts w:ascii="Times New Roman" w:hAnsi="Times New Roman"/>
          <w:sz w:val="24"/>
          <w:szCs w:val="24"/>
        </w:rPr>
        <w:t xml:space="preserve">razão </w:t>
      </w:r>
      <w:r w:rsidRPr="00004949">
        <w:rPr>
          <w:rFonts w:ascii="Times New Roman" w:hAnsi="Times New Roman"/>
          <w:sz w:val="24"/>
          <w:szCs w:val="24"/>
        </w:rPr>
        <w:t>exigir</w:t>
      </w:r>
      <w:r>
        <w:rPr>
          <w:rFonts w:ascii="Times New Roman" w:hAnsi="Times New Roman"/>
          <w:sz w:val="24"/>
          <w:szCs w:val="24"/>
        </w:rPr>
        <w:t>-se-ia</w:t>
      </w:r>
      <w:r w:rsidRPr="00004949">
        <w:rPr>
          <w:rFonts w:ascii="Times New Roman" w:hAnsi="Times New Roman"/>
          <w:sz w:val="24"/>
          <w:szCs w:val="24"/>
        </w:rPr>
        <w:t xml:space="preserve"> a </w:t>
      </w:r>
      <w:r>
        <w:rPr>
          <w:rFonts w:ascii="Times New Roman" w:hAnsi="Times New Roman"/>
          <w:sz w:val="24"/>
          <w:szCs w:val="24"/>
        </w:rPr>
        <w:t xml:space="preserve">posterior </w:t>
      </w:r>
      <w:r w:rsidRPr="00004949">
        <w:rPr>
          <w:rFonts w:ascii="Times New Roman" w:hAnsi="Times New Roman"/>
          <w:sz w:val="24"/>
          <w:szCs w:val="24"/>
        </w:rPr>
        <w:t>ratificação do recurso</w:t>
      </w:r>
      <w:r>
        <w:rPr>
          <w:rFonts w:ascii="Times New Roman" w:hAnsi="Times New Roman"/>
          <w:sz w:val="24"/>
          <w:szCs w:val="24"/>
        </w:rPr>
        <w:t xml:space="preserve"> excepcional</w:t>
      </w:r>
      <w:r w:rsidRPr="00004949">
        <w:rPr>
          <w:rFonts w:ascii="Times New Roman" w:hAnsi="Times New Roman"/>
          <w:sz w:val="24"/>
          <w:szCs w:val="24"/>
        </w:rPr>
        <w:t>?</w:t>
      </w:r>
      <w:r>
        <w:rPr>
          <w:rFonts w:ascii="Times New Roman" w:hAnsi="Times New Roman"/>
          <w:sz w:val="24"/>
          <w:szCs w:val="24"/>
        </w:rPr>
        <w:t xml:space="preserve"> </w:t>
      </w:r>
    </w:p>
    <w:p w:rsidR="00D549BC" w:rsidRDefault="00D549BC" w:rsidP="00AF00AA">
      <w:pPr>
        <w:spacing w:after="240"/>
        <w:contextualSpacing/>
        <w:rPr>
          <w:rFonts w:ascii="Times New Roman" w:hAnsi="Times New Roman"/>
          <w:sz w:val="24"/>
          <w:szCs w:val="24"/>
        </w:rPr>
      </w:pPr>
      <w:r>
        <w:rPr>
          <w:rFonts w:ascii="Times New Roman" w:hAnsi="Times New Roman"/>
          <w:sz w:val="24"/>
          <w:szCs w:val="24"/>
        </w:rPr>
        <w:t>O NCPC, ao regulamentar os Embargos de Declaração, prevê expressamente as duas principais situações em que o recorrente interpõe o recurso excepcional antes do julgamento dos aclaratórios, ou seja, “</w:t>
      </w:r>
      <w:r w:rsidRPr="00A76653">
        <w:rPr>
          <w:rFonts w:ascii="Times New Roman" w:hAnsi="Times New Roman"/>
          <w:i/>
          <w:sz w:val="24"/>
          <w:szCs w:val="24"/>
        </w:rPr>
        <w:t>intempestivamente</w:t>
      </w:r>
      <w:r>
        <w:rPr>
          <w:rFonts w:ascii="Times New Roman" w:hAnsi="Times New Roman"/>
          <w:sz w:val="24"/>
          <w:szCs w:val="24"/>
        </w:rPr>
        <w:t xml:space="preserve">”: (i) quando não há modificação da decisão recorrida; e (ii) quando há modificação da decisão embargada. </w:t>
      </w:r>
    </w:p>
    <w:p w:rsidR="00D549BC" w:rsidRDefault="00D549BC" w:rsidP="00F17014">
      <w:pPr>
        <w:spacing w:after="240"/>
        <w:ind w:firstLine="851"/>
        <w:contextualSpacing/>
        <w:rPr>
          <w:rFonts w:ascii="Times New Roman" w:hAnsi="Times New Roman"/>
          <w:sz w:val="24"/>
          <w:szCs w:val="24"/>
        </w:rPr>
      </w:pPr>
      <w:r>
        <w:rPr>
          <w:rFonts w:ascii="Times New Roman" w:hAnsi="Times New Roman"/>
          <w:sz w:val="24"/>
          <w:szCs w:val="24"/>
        </w:rPr>
        <w:t xml:space="preserve">Vejamos, então, os citados dispositivos: </w:t>
      </w:r>
    </w:p>
    <w:p w:rsidR="00D549BC" w:rsidRPr="00A76653"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CAPÍTULO V</w:t>
      </w:r>
    </w:p>
    <w:p w:rsidR="00D549BC" w:rsidRPr="00A76653"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DOS EMBARGOS DE DECLARAÇÃO</w:t>
      </w:r>
    </w:p>
    <w:p w:rsidR="00D549BC" w:rsidRPr="00A76653"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Art. 1.022.  Cabem embargos de declaração contra qualquer decisão judicial para:</w:t>
      </w:r>
    </w:p>
    <w:p w:rsidR="00D549BC" w:rsidRPr="00A76653"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I - esclarecer obscuridade ou eliminar contradição;</w:t>
      </w:r>
    </w:p>
    <w:p w:rsidR="00D549BC"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II - suprir omissão de ponto ou questão sobre o qual devia se pronunciar o juiz de ofício ou a requerimento;</w:t>
      </w:r>
    </w:p>
    <w:p w:rsidR="00D549BC" w:rsidRPr="00A76653"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III - corrigir erro material.</w:t>
      </w:r>
    </w:p>
    <w:p w:rsidR="00D549BC"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w:t>
      </w:r>
    </w:p>
    <w:p w:rsidR="00D549BC" w:rsidRPr="00A76653"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Art. 1.024.  O juiz julgará os embargos em 5 (cinco) dias.</w:t>
      </w:r>
    </w:p>
    <w:p w:rsidR="00D549BC"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w:t>
      </w:r>
    </w:p>
    <w:p w:rsidR="00D549BC"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 xml:space="preserve">§ 4º </w:t>
      </w:r>
      <w:r w:rsidRPr="00A76653">
        <w:rPr>
          <w:rFonts w:ascii="Times New Roman" w:hAnsi="Times New Roman"/>
          <w:b/>
          <w:szCs w:val="24"/>
        </w:rPr>
        <w:t>Caso o acolhimento dos embargos de declaração implique modificação da decisão embargada</w:t>
      </w:r>
      <w:r w:rsidRPr="00A76653">
        <w:rPr>
          <w:rFonts w:ascii="Times New Roman" w:hAnsi="Times New Roman"/>
          <w:szCs w:val="24"/>
        </w:rPr>
        <w:t xml:space="preserve">, </w:t>
      </w:r>
      <w:r w:rsidRPr="00A76653">
        <w:rPr>
          <w:rFonts w:ascii="Times New Roman" w:hAnsi="Times New Roman"/>
          <w:b/>
          <w:szCs w:val="24"/>
        </w:rPr>
        <w:t>o embargado que já tiver interposto outro recurso contra a decisão originária tem o direito de complementar ou alterar suas razões</w:t>
      </w:r>
      <w:r w:rsidRPr="00A76653">
        <w:rPr>
          <w:rFonts w:ascii="Times New Roman" w:hAnsi="Times New Roman"/>
          <w:szCs w:val="24"/>
        </w:rPr>
        <w:t xml:space="preserve">, </w:t>
      </w:r>
      <w:r w:rsidRPr="00A76653">
        <w:rPr>
          <w:rFonts w:ascii="Times New Roman" w:hAnsi="Times New Roman"/>
          <w:b/>
          <w:szCs w:val="24"/>
        </w:rPr>
        <w:t>nos exatos limites da modificação</w:t>
      </w:r>
      <w:r w:rsidRPr="00A76653">
        <w:rPr>
          <w:rFonts w:ascii="Times New Roman" w:hAnsi="Times New Roman"/>
          <w:szCs w:val="24"/>
        </w:rPr>
        <w:t xml:space="preserve">, no prazo de 15 (quinze) dias, </w:t>
      </w:r>
      <w:r w:rsidRPr="00A76653">
        <w:rPr>
          <w:rFonts w:ascii="Times New Roman" w:hAnsi="Times New Roman"/>
          <w:b/>
          <w:szCs w:val="24"/>
        </w:rPr>
        <w:t>contado da intimação da decisão dos embargos de declaração</w:t>
      </w:r>
      <w:r w:rsidRPr="00A76653">
        <w:rPr>
          <w:rFonts w:ascii="Times New Roman" w:hAnsi="Times New Roman"/>
          <w:szCs w:val="24"/>
        </w:rPr>
        <w:t>.</w:t>
      </w:r>
    </w:p>
    <w:p w:rsidR="00D549BC" w:rsidRPr="00A76653" w:rsidRDefault="00D549BC" w:rsidP="00A76653">
      <w:pPr>
        <w:spacing w:after="240" w:line="240" w:lineRule="auto"/>
        <w:ind w:left="2268" w:firstLine="0"/>
        <w:contextualSpacing/>
        <w:rPr>
          <w:rFonts w:ascii="Times New Roman" w:hAnsi="Times New Roman"/>
          <w:szCs w:val="24"/>
        </w:rPr>
      </w:pPr>
      <w:r w:rsidRPr="00A76653">
        <w:rPr>
          <w:rFonts w:ascii="Times New Roman" w:hAnsi="Times New Roman"/>
          <w:szCs w:val="24"/>
        </w:rPr>
        <w:t xml:space="preserve">§ 5º </w:t>
      </w:r>
      <w:r w:rsidRPr="00A76653">
        <w:rPr>
          <w:rFonts w:ascii="Times New Roman" w:hAnsi="Times New Roman"/>
          <w:b/>
          <w:szCs w:val="24"/>
        </w:rPr>
        <w:t>Se os embargos de declaração forem rejeitados ou não alterarem a conclusão do julgamento anterior</w:t>
      </w:r>
      <w:r w:rsidRPr="00A76653">
        <w:rPr>
          <w:rFonts w:ascii="Times New Roman" w:hAnsi="Times New Roman"/>
          <w:b/>
          <w:i/>
          <w:szCs w:val="24"/>
        </w:rPr>
        <w:t>, o recurso interposto pela outra parte antes da publicação do julgamento dos embargos de declaração será processado e julgado independentemente de ratificação</w:t>
      </w:r>
      <w:r w:rsidRPr="00A76653">
        <w:rPr>
          <w:rFonts w:ascii="Times New Roman" w:hAnsi="Times New Roman"/>
          <w:szCs w:val="24"/>
        </w:rPr>
        <w:t>.</w:t>
      </w:r>
    </w:p>
    <w:p w:rsidR="00D549BC" w:rsidRDefault="00D549BC" w:rsidP="00F17014">
      <w:pPr>
        <w:spacing w:after="240"/>
        <w:ind w:firstLine="851"/>
        <w:contextualSpacing/>
        <w:rPr>
          <w:rFonts w:ascii="Times New Roman" w:hAnsi="Times New Roman"/>
          <w:sz w:val="24"/>
          <w:szCs w:val="24"/>
        </w:rPr>
      </w:pPr>
    </w:p>
    <w:p w:rsidR="00D549BC" w:rsidRDefault="00D549BC" w:rsidP="00583828">
      <w:pPr>
        <w:spacing w:after="240"/>
        <w:contextualSpacing/>
        <w:rPr>
          <w:rFonts w:ascii="Times New Roman" w:hAnsi="Times New Roman"/>
          <w:sz w:val="24"/>
          <w:szCs w:val="24"/>
        </w:rPr>
      </w:pPr>
      <w:r>
        <w:rPr>
          <w:rFonts w:ascii="Times New Roman" w:hAnsi="Times New Roman"/>
          <w:sz w:val="24"/>
          <w:szCs w:val="24"/>
        </w:rPr>
        <w:t xml:space="preserve">Acertada, uma vez mais, a escolha do legislador ordinário, ao introduzir no âmbito do </w:t>
      </w:r>
      <w:r w:rsidRPr="008278C0">
        <w:rPr>
          <w:rFonts w:ascii="Times New Roman" w:hAnsi="Times New Roman"/>
          <w:i/>
          <w:sz w:val="24"/>
          <w:szCs w:val="24"/>
        </w:rPr>
        <w:t>novel</w:t>
      </w:r>
      <w:r>
        <w:rPr>
          <w:rFonts w:ascii="Times New Roman" w:hAnsi="Times New Roman"/>
          <w:sz w:val="24"/>
          <w:szCs w:val="24"/>
        </w:rPr>
        <w:t xml:space="preserve"> Código de Processo Civil situações decorrentes da prática forense que eram objeto de crítica pelos advogados.</w:t>
      </w:r>
    </w:p>
    <w:p w:rsidR="00D549BC" w:rsidRDefault="00D549BC" w:rsidP="008278C0">
      <w:pPr>
        <w:spacing w:after="240"/>
        <w:ind w:firstLine="0"/>
        <w:contextualSpacing/>
        <w:rPr>
          <w:rFonts w:ascii="Times New Roman" w:hAnsi="Times New Roman"/>
          <w:sz w:val="24"/>
          <w:szCs w:val="24"/>
        </w:rPr>
      </w:pPr>
    </w:p>
    <w:p w:rsidR="00D549BC" w:rsidRDefault="00D549BC" w:rsidP="008278C0">
      <w:pPr>
        <w:spacing w:after="240"/>
        <w:ind w:firstLine="0"/>
        <w:contextualSpacing/>
        <w:rPr>
          <w:rFonts w:ascii="Times New Roman" w:hAnsi="Times New Roman"/>
          <w:sz w:val="24"/>
          <w:szCs w:val="24"/>
        </w:rPr>
      </w:pPr>
      <w:r w:rsidRPr="008278C0">
        <w:rPr>
          <w:rFonts w:ascii="Times New Roman" w:hAnsi="Times New Roman"/>
          <w:sz w:val="24"/>
          <w:szCs w:val="24"/>
        </w:rPr>
        <w:t>4.1.1.7</w:t>
      </w:r>
      <w:r w:rsidRPr="008278C0">
        <w:rPr>
          <w:rFonts w:ascii="Times New Roman" w:hAnsi="Times New Roman"/>
          <w:sz w:val="24"/>
          <w:szCs w:val="24"/>
        </w:rPr>
        <w:tab/>
        <w:t>Impossibilidade de conversão do Recurso Especial em Recurso Extraordinário</w:t>
      </w:r>
    </w:p>
    <w:p w:rsidR="00D549BC" w:rsidRDefault="00D549BC" w:rsidP="008278C0">
      <w:pPr>
        <w:spacing w:after="240"/>
        <w:ind w:firstLine="0"/>
        <w:contextualSpacing/>
        <w:rPr>
          <w:rFonts w:ascii="Times New Roman" w:hAnsi="Times New Roman"/>
          <w:sz w:val="24"/>
          <w:szCs w:val="24"/>
        </w:rPr>
      </w:pPr>
    </w:p>
    <w:p w:rsidR="00D549BC" w:rsidRDefault="00D549BC" w:rsidP="00583828">
      <w:pPr>
        <w:spacing w:after="240"/>
        <w:contextualSpacing/>
        <w:rPr>
          <w:rFonts w:ascii="Times New Roman" w:hAnsi="Times New Roman"/>
          <w:sz w:val="24"/>
          <w:szCs w:val="24"/>
        </w:rPr>
      </w:pPr>
      <w:r w:rsidRPr="001A50DB">
        <w:rPr>
          <w:rFonts w:ascii="Times New Roman" w:hAnsi="Times New Roman"/>
          <w:sz w:val="24"/>
          <w:szCs w:val="24"/>
        </w:rPr>
        <w:t>O STJ possui firme jurisprudência</w:t>
      </w:r>
      <w:r>
        <w:rPr>
          <w:rFonts w:ascii="Times New Roman" w:hAnsi="Times New Roman"/>
          <w:sz w:val="24"/>
          <w:szCs w:val="24"/>
        </w:rPr>
        <w:t xml:space="preserve"> no sentido de não conhecer do R</w:t>
      </w:r>
      <w:r w:rsidRPr="001A50DB">
        <w:rPr>
          <w:rFonts w:ascii="Times New Roman" w:hAnsi="Times New Roman"/>
          <w:sz w:val="24"/>
          <w:szCs w:val="24"/>
        </w:rPr>
        <w:t xml:space="preserve">ecurso </w:t>
      </w:r>
      <w:r>
        <w:rPr>
          <w:rFonts w:ascii="Times New Roman" w:hAnsi="Times New Roman"/>
          <w:sz w:val="24"/>
          <w:szCs w:val="24"/>
        </w:rPr>
        <w:t>E</w:t>
      </w:r>
      <w:r w:rsidRPr="001A50DB">
        <w:rPr>
          <w:rFonts w:ascii="Times New Roman" w:hAnsi="Times New Roman"/>
          <w:sz w:val="24"/>
          <w:szCs w:val="24"/>
        </w:rPr>
        <w:t>special, quando a decisão recorrida possuir natureza</w:t>
      </w:r>
      <w:r>
        <w:rPr>
          <w:rFonts w:ascii="Times New Roman" w:hAnsi="Times New Roman"/>
          <w:sz w:val="24"/>
          <w:szCs w:val="24"/>
        </w:rPr>
        <w:t xml:space="preserve"> eminentemente</w:t>
      </w:r>
      <w:r w:rsidRPr="001A50DB">
        <w:rPr>
          <w:rFonts w:ascii="Times New Roman" w:hAnsi="Times New Roman"/>
          <w:sz w:val="24"/>
          <w:szCs w:val="24"/>
        </w:rPr>
        <w:t xml:space="preserve"> constitucional</w:t>
      </w:r>
      <w:r>
        <w:rPr>
          <w:rFonts w:ascii="Times New Roman" w:hAnsi="Times New Roman"/>
          <w:sz w:val="24"/>
          <w:szCs w:val="24"/>
        </w:rPr>
        <w:t>.</w:t>
      </w:r>
      <w:r>
        <w:rPr>
          <w:rStyle w:val="FootnoteReference"/>
          <w:rFonts w:ascii="Times New Roman" w:hAnsi="Times New Roman"/>
          <w:sz w:val="24"/>
          <w:szCs w:val="24"/>
        </w:rPr>
        <w:footnoteReference w:id="179"/>
      </w:r>
      <w:r>
        <w:rPr>
          <w:rFonts w:ascii="Times New Roman" w:hAnsi="Times New Roman"/>
          <w:sz w:val="24"/>
          <w:szCs w:val="24"/>
        </w:rPr>
        <w:t xml:space="preserve"> Igualmente</w:t>
      </w:r>
      <w:r w:rsidRPr="00D50C3A">
        <w:rPr>
          <w:rFonts w:ascii="Times New Roman" w:hAnsi="Times New Roman"/>
          <w:sz w:val="24"/>
          <w:szCs w:val="24"/>
        </w:rPr>
        <w:t xml:space="preserve">, o STF </w:t>
      </w:r>
      <w:r>
        <w:rPr>
          <w:rFonts w:ascii="Times New Roman" w:hAnsi="Times New Roman"/>
          <w:sz w:val="24"/>
          <w:szCs w:val="24"/>
        </w:rPr>
        <w:t>não conhece do R</w:t>
      </w:r>
      <w:r w:rsidRPr="00D50C3A">
        <w:rPr>
          <w:rFonts w:ascii="Times New Roman" w:hAnsi="Times New Roman"/>
          <w:sz w:val="24"/>
          <w:szCs w:val="24"/>
        </w:rPr>
        <w:t xml:space="preserve">ecurso </w:t>
      </w:r>
      <w:r>
        <w:rPr>
          <w:rFonts w:ascii="Times New Roman" w:hAnsi="Times New Roman"/>
          <w:sz w:val="24"/>
          <w:szCs w:val="24"/>
        </w:rPr>
        <w:t xml:space="preserve">Extraordinário </w:t>
      </w:r>
      <w:r w:rsidRPr="00D50C3A">
        <w:rPr>
          <w:rFonts w:ascii="Times New Roman" w:hAnsi="Times New Roman"/>
          <w:sz w:val="24"/>
          <w:szCs w:val="24"/>
        </w:rPr>
        <w:t xml:space="preserve">quando </w:t>
      </w:r>
      <w:r>
        <w:rPr>
          <w:rFonts w:ascii="Times New Roman" w:hAnsi="Times New Roman"/>
          <w:sz w:val="24"/>
          <w:szCs w:val="24"/>
        </w:rPr>
        <w:t>a questão veiculada acarreta</w:t>
      </w:r>
      <w:r w:rsidRPr="00D50C3A">
        <w:rPr>
          <w:rFonts w:ascii="Times New Roman" w:hAnsi="Times New Roman"/>
          <w:sz w:val="24"/>
          <w:szCs w:val="24"/>
        </w:rPr>
        <w:t xml:space="preserve"> violação</w:t>
      </w:r>
      <w:r>
        <w:rPr>
          <w:rFonts w:ascii="Times New Roman" w:hAnsi="Times New Roman"/>
          <w:sz w:val="24"/>
          <w:szCs w:val="24"/>
        </w:rPr>
        <w:t xml:space="preserve"> reflexa</w:t>
      </w:r>
      <w:r w:rsidRPr="00D50C3A">
        <w:rPr>
          <w:rFonts w:ascii="Times New Roman" w:hAnsi="Times New Roman"/>
          <w:sz w:val="24"/>
          <w:szCs w:val="24"/>
        </w:rPr>
        <w:t xml:space="preserve"> à </w:t>
      </w:r>
      <w:r>
        <w:rPr>
          <w:rFonts w:ascii="Times New Roman" w:hAnsi="Times New Roman"/>
          <w:sz w:val="24"/>
          <w:szCs w:val="24"/>
        </w:rPr>
        <w:t xml:space="preserve">Constituição, ou, ainda, quando se tratar de questão </w:t>
      </w:r>
      <w:r w:rsidRPr="00D50C3A">
        <w:rPr>
          <w:rFonts w:ascii="Times New Roman" w:hAnsi="Times New Roman"/>
          <w:sz w:val="24"/>
          <w:szCs w:val="24"/>
        </w:rPr>
        <w:t>infraconstitucional</w:t>
      </w:r>
      <w:r>
        <w:rPr>
          <w:rFonts w:ascii="Times New Roman" w:hAnsi="Times New Roman"/>
          <w:sz w:val="24"/>
          <w:szCs w:val="24"/>
        </w:rPr>
        <w:t>.</w:t>
      </w:r>
      <w:r>
        <w:rPr>
          <w:rStyle w:val="FootnoteReference"/>
          <w:rFonts w:ascii="Times New Roman" w:hAnsi="Times New Roman"/>
          <w:sz w:val="24"/>
          <w:szCs w:val="24"/>
        </w:rPr>
        <w:footnoteReference w:id="180"/>
      </w:r>
    </w:p>
    <w:p w:rsidR="00D549BC" w:rsidRDefault="00D549BC" w:rsidP="00583828">
      <w:pPr>
        <w:spacing w:after="240"/>
        <w:contextualSpacing/>
        <w:rPr>
          <w:rFonts w:ascii="Times New Roman" w:hAnsi="Times New Roman"/>
          <w:sz w:val="24"/>
          <w:szCs w:val="24"/>
        </w:rPr>
      </w:pPr>
      <w:r>
        <w:rPr>
          <w:rFonts w:ascii="Times New Roman" w:hAnsi="Times New Roman"/>
          <w:sz w:val="24"/>
          <w:szCs w:val="24"/>
        </w:rPr>
        <w:t>Solucionado ess</w:t>
      </w:r>
      <w:r w:rsidRPr="0008562C">
        <w:rPr>
          <w:rFonts w:ascii="Times New Roman" w:hAnsi="Times New Roman"/>
          <w:sz w:val="24"/>
          <w:szCs w:val="24"/>
        </w:rPr>
        <w:t xml:space="preserve">e </w:t>
      </w:r>
      <w:r>
        <w:rPr>
          <w:rFonts w:ascii="Times New Roman" w:hAnsi="Times New Roman"/>
          <w:sz w:val="24"/>
          <w:szCs w:val="24"/>
        </w:rPr>
        <w:t>empecilho, o NCPC prevê, no âmbito do Superior Tribunal de Justiça, que:</w:t>
      </w:r>
    </w:p>
    <w:p w:rsidR="00D549BC" w:rsidRPr="0008562C" w:rsidRDefault="00D549BC" w:rsidP="0008562C">
      <w:pPr>
        <w:spacing w:after="240" w:line="240" w:lineRule="auto"/>
        <w:ind w:left="2268" w:firstLine="0"/>
        <w:contextualSpacing/>
        <w:rPr>
          <w:rFonts w:ascii="Times New Roman" w:hAnsi="Times New Roman"/>
          <w:szCs w:val="24"/>
        </w:rPr>
      </w:pPr>
      <w:r w:rsidRPr="0008562C">
        <w:rPr>
          <w:rFonts w:ascii="Times New Roman" w:hAnsi="Times New Roman"/>
          <w:szCs w:val="24"/>
        </w:rPr>
        <w:t xml:space="preserve">Art. 1.032.  </w:t>
      </w:r>
      <w:r w:rsidRPr="0008562C">
        <w:rPr>
          <w:rFonts w:ascii="Times New Roman" w:hAnsi="Times New Roman"/>
          <w:i/>
          <w:szCs w:val="24"/>
        </w:rPr>
        <w:t>Se o relator, no Superior Tribunal de Justiça, entender que o recurso especial versa sobre questão constitucional, deverá conceder prazo de 15 (quinze) dias para que o recorrente demonstre a existência de repercussão geral e se manifeste sobre a questão constitucional</w:t>
      </w:r>
      <w:r w:rsidRPr="0008562C">
        <w:rPr>
          <w:rFonts w:ascii="Times New Roman" w:hAnsi="Times New Roman"/>
          <w:szCs w:val="24"/>
        </w:rPr>
        <w:t>.</w:t>
      </w:r>
    </w:p>
    <w:p w:rsidR="00D549BC" w:rsidRPr="0008562C" w:rsidRDefault="00D549BC" w:rsidP="0008562C">
      <w:pPr>
        <w:spacing w:after="240" w:line="240" w:lineRule="auto"/>
        <w:ind w:left="2268" w:firstLine="0"/>
        <w:contextualSpacing/>
        <w:rPr>
          <w:rFonts w:ascii="Times New Roman" w:hAnsi="Times New Roman"/>
          <w:szCs w:val="24"/>
        </w:rPr>
      </w:pPr>
    </w:p>
    <w:p w:rsidR="00D549BC" w:rsidRDefault="00D549BC" w:rsidP="0008562C">
      <w:pPr>
        <w:spacing w:after="240" w:line="240" w:lineRule="auto"/>
        <w:ind w:left="2268" w:firstLine="0"/>
        <w:contextualSpacing/>
        <w:rPr>
          <w:rFonts w:ascii="Times New Roman" w:hAnsi="Times New Roman"/>
          <w:sz w:val="24"/>
          <w:szCs w:val="24"/>
        </w:rPr>
      </w:pPr>
      <w:r w:rsidRPr="0008562C">
        <w:rPr>
          <w:rFonts w:ascii="Times New Roman" w:hAnsi="Times New Roman"/>
          <w:szCs w:val="24"/>
        </w:rPr>
        <w:t xml:space="preserve">Parágrafo único.  </w:t>
      </w:r>
      <w:r w:rsidRPr="0008562C">
        <w:rPr>
          <w:rFonts w:ascii="Times New Roman" w:hAnsi="Times New Roman"/>
          <w:i/>
          <w:szCs w:val="24"/>
        </w:rPr>
        <w:t>Cumprida a diligência de que trata o caput, o relator remeterá o recurso ao Supremo Tribunal Federal, que, em juízo de admissibilidade, poderá devolvê-lo ao Superior Tribunal de Justiça</w:t>
      </w:r>
      <w:r w:rsidRPr="0008562C">
        <w:rPr>
          <w:rFonts w:ascii="Times New Roman" w:hAnsi="Times New Roman"/>
          <w:sz w:val="24"/>
          <w:szCs w:val="24"/>
        </w:rPr>
        <w:t>.</w:t>
      </w:r>
      <w:r>
        <w:rPr>
          <w:rFonts w:ascii="Times New Roman" w:hAnsi="Times New Roman"/>
          <w:sz w:val="24"/>
          <w:szCs w:val="24"/>
        </w:rPr>
        <w:t xml:space="preserve"> </w:t>
      </w:r>
    </w:p>
    <w:p w:rsidR="00D549BC" w:rsidRDefault="00D549BC" w:rsidP="00F17014">
      <w:pPr>
        <w:spacing w:after="240"/>
        <w:ind w:firstLine="851"/>
        <w:contextualSpacing/>
        <w:rPr>
          <w:rFonts w:ascii="Times New Roman" w:hAnsi="Times New Roman"/>
          <w:sz w:val="24"/>
          <w:szCs w:val="24"/>
        </w:rPr>
      </w:pPr>
      <w:r>
        <w:rPr>
          <w:rFonts w:ascii="Times New Roman" w:hAnsi="Times New Roman"/>
          <w:sz w:val="24"/>
          <w:szCs w:val="24"/>
        </w:rPr>
        <w:t xml:space="preserve"> </w:t>
      </w:r>
    </w:p>
    <w:p w:rsidR="00D549BC" w:rsidRDefault="00D549BC" w:rsidP="00475174">
      <w:pPr>
        <w:spacing w:after="240"/>
        <w:contextualSpacing/>
        <w:rPr>
          <w:rFonts w:ascii="Times New Roman" w:hAnsi="Times New Roman"/>
          <w:sz w:val="24"/>
          <w:szCs w:val="24"/>
        </w:rPr>
      </w:pPr>
      <w:r>
        <w:rPr>
          <w:rFonts w:ascii="Times New Roman" w:hAnsi="Times New Roman"/>
          <w:sz w:val="24"/>
          <w:szCs w:val="24"/>
        </w:rPr>
        <w:t>Quanto ao problema da “violação reflexa à Constituição”, o Novo CPC, também, tratou de regulamentá-la da seguinte maneira:</w:t>
      </w:r>
    </w:p>
    <w:p w:rsidR="00D549BC" w:rsidRPr="00590DB8" w:rsidRDefault="00D549BC" w:rsidP="00475174">
      <w:pPr>
        <w:spacing w:after="240" w:line="240" w:lineRule="auto"/>
        <w:ind w:left="2268" w:firstLine="0"/>
        <w:contextualSpacing/>
        <w:rPr>
          <w:rFonts w:ascii="Times New Roman" w:hAnsi="Times New Roman"/>
          <w:sz w:val="24"/>
          <w:szCs w:val="24"/>
        </w:rPr>
      </w:pPr>
      <w:r w:rsidRPr="00590DB8">
        <w:rPr>
          <w:rFonts w:ascii="Times New Roman" w:hAnsi="Times New Roman"/>
          <w:color w:val="000000"/>
        </w:rPr>
        <w:t>Art. 1.033.</w:t>
      </w:r>
      <w:r>
        <w:rPr>
          <w:rFonts w:ascii="Arial" w:hAnsi="Arial" w:cs="Arial"/>
          <w:color w:val="000000"/>
        </w:rPr>
        <w:t xml:space="preserve">  </w:t>
      </w:r>
      <w:r w:rsidRPr="00590DB8">
        <w:rPr>
          <w:rFonts w:ascii="Times New Roman" w:hAnsi="Times New Roman"/>
          <w:i/>
          <w:color w:val="000000"/>
        </w:rPr>
        <w:t>Se o Supremo Tribunal Federal considerar como reflexa a ofensa à Constituição afirmada no recurso extraordinário, por pressupor a revisão da interpretação de lei federal ou de tratado, remetê-lo-á ao Superior Tribunal de Justiça para julgamento como recurso especial</w:t>
      </w:r>
      <w:r w:rsidRPr="00590DB8">
        <w:rPr>
          <w:rFonts w:ascii="Times New Roman" w:hAnsi="Times New Roman"/>
          <w:color w:val="000000"/>
        </w:rPr>
        <w:t>.</w:t>
      </w:r>
    </w:p>
    <w:p w:rsidR="00D549BC" w:rsidRDefault="00D549BC" w:rsidP="00F17014">
      <w:pPr>
        <w:spacing w:after="240"/>
        <w:ind w:firstLine="851"/>
        <w:contextualSpacing/>
        <w:rPr>
          <w:rFonts w:ascii="Times New Roman" w:hAnsi="Times New Roman"/>
          <w:sz w:val="24"/>
          <w:szCs w:val="24"/>
        </w:rPr>
      </w:pPr>
    </w:p>
    <w:p w:rsidR="00D549BC" w:rsidRDefault="00D549BC" w:rsidP="00A63302">
      <w:pPr>
        <w:spacing w:after="240"/>
        <w:contextualSpacing/>
        <w:rPr>
          <w:rFonts w:ascii="Times New Roman" w:hAnsi="Times New Roman"/>
          <w:sz w:val="24"/>
          <w:szCs w:val="24"/>
        </w:rPr>
      </w:pPr>
      <w:r>
        <w:rPr>
          <w:rFonts w:ascii="Times New Roman" w:hAnsi="Times New Roman"/>
          <w:sz w:val="24"/>
          <w:szCs w:val="24"/>
        </w:rPr>
        <w:t>A possibilidade de remessa do recurso excepcional de um Tribunal para outro quando a matéria impugnada não for compatível com a respectiva competência constitucional, certamente, é bem vista pela comunidade jurídica, pois resolve o problema da</w:t>
      </w:r>
      <w:r w:rsidRPr="004350DD">
        <w:rPr>
          <w:rFonts w:ascii="Times New Roman" w:hAnsi="Times New Roman"/>
          <w:sz w:val="24"/>
          <w:szCs w:val="24"/>
        </w:rPr>
        <w:t xml:space="preserve"> negativa de prestação</w:t>
      </w:r>
      <w:r>
        <w:rPr>
          <w:rFonts w:ascii="Times New Roman" w:hAnsi="Times New Roman"/>
          <w:sz w:val="24"/>
          <w:szCs w:val="24"/>
        </w:rPr>
        <w:t xml:space="preserve"> </w:t>
      </w:r>
      <w:r w:rsidRPr="004350DD">
        <w:rPr>
          <w:rFonts w:ascii="Times New Roman" w:hAnsi="Times New Roman"/>
          <w:sz w:val="24"/>
          <w:szCs w:val="24"/>
        </w:rPr>
        <w:t>jurisdicional por parte do STF e do STJ</w:t>
      </w:r>
      <w:r>
        <w:rPr>
          <w:rFonts w:ascii="Times New Roman" w:hAnsi="Times New Roman"/>
          <w:sz w:val="24"/>
          <w:szCs w:val="24"/>
        </w:rPr>
        <w:t>. Até então o recorrente</w:t>
      </w:r>
      <w:r w:rsidRPr="004F4BA5">
        <w:rPr>
          <w:rFonts w:ascii="Times New Roman" w:hAnsi="Times New Roman"/>
          <w:sz w:val="24"/>
          <w:szCs w:val="24"/>
        </w:rPr>
        <w:t xml:space="preserve"> fica</w:t>
      </w:r>
      <w:r>
        <w:rPr>
          <w:rFonts w:ascii="Times New Roman" w:hAnsi="Times New Roman"/>
          <w:sz w:val="24"/>
          <w:szCs w:val="24"/>
        </w:rPr>
        <w:t>va</w:t>
      </w:r>
      <w:r w:rsidRPr="004F4BA5">
        <w:rPr>
          <w:rFonts w:ascii="Times New Roman" w:hAnsi="Times New Roman"/>
          <w:sz w:val="24"/>
          <w:szCs w:val="24"/>
        </w:rPr>
        <w:t xml:space="preserve"> sem uma resposta final.</w:t>
      </w:r>
      <w:r>
        <w:rPr>
          <w:rFonts w:ascii="Times New Roman" w:hAnsi="Times New Roman"/>
          <w:sz w:val="24"/>
          <w:szCs w:val="24"/>
        </w:rPr>
        <w:t xml:space="preserve">  </w:t>
      </w:r>
    </w:p>
    <w:p w:rsidR="00D549BC" w:rsidRDefault="00D549BC" w:rsidP="004350DD">
      <w:pPr>
        <w:spacing w:after="240"/>
        <w:ind w:firstLine="851"/>
        <w:contextualSpacing/>
        <w:rPr>
          <w:rFonts w:ascii="Times New Roman" w:hAnsi="Times New Roman"/>
          <w:sz w:val="24"/>
          <w:szCs w:val="24"/>
        </w:rPr>
      </w:pPr>
    </w:p>
    <w:p w:rsidR="00D549BC" w:rsidRDefault="00D549BC" w:rsidP="004A3C30">
      <w:pPr>
        <w:spacing w:after="240"/>
        <w:ind w:firstLine="0"/>
        <w:contextualSpacing/>
        <w:rPr>
          <w:rFonts w:ascii="Times New Roman" w:hAnsi="Times New Roman"/>
          <w:sz w:val="24"/>
          <w:lang w:eastAsia="pt-BR"/>
        </w:rPr>
      </w:pPr>
      <w:r>
        <w:rPr>
          <w:rFonts w:ascii="Times New Roman" w:hAnsi="Times New Roman"/>
          <w:sz w:val="24"/>
          <w:lang w:eastAsia="pt-BR"/>
        </w:rPr>
        <w:t>4.1.1.8 Embargos de Declaração manejados para fins de Prequestionamento</w:t>
      </w:r>
    </w:p>
    <w:p w:rsidR="00D549BC" w:rsidRDefault="00D549BC" w:rsidP="004A3C30">
      <w:pPr>
        <w:spacing w:after="240"/>
        <w:ind w:firstLine="0"/>
        <w:contextualSpacing/>
        <w:rPr>
          <w:rFonts w:ascii="Times New Roman" w:hAnsi="Times New Roman"/>
          <w:sz w:val="24"/>
          <w:lang w:eastAsia="pt-BR"/>
        </w:rPr>
      </w:pPr>
    </w:p>
    <w:p w:rsidR="00D549BC" w:rsidRDefault="00D549BC" w:rsidP="00A63302">
      <w:pPr>
        <w:spacing w:after="240"/>
        <w:contextualSpacing/>
        <w:rPr>
          <w:rFonts w:ascii="Times New Roman" w:hAnsi="Times New Roman"/>
          <w:sz w:val="24"/>
          <w:szCs w:val="24"/>
        </w:rPr>
      </w:pPr>
      <w:r>
        <w:rPr>
          <w:rFonts w:ascii="Times New Roman" w:hAnsi="Times New Roman"/>
          <w:sz w:val="24"/>
          <w:szCs w:val="24"/>
        </w:rPr>
        <w:t xml:space="preserve">O prequestionamento é um dos pressupostos especiais de admissibilidade exigido tanto para o RE quanto para o REsp. Tal requisito resta configurado quando a matéria, quer constitucional quer infraconstitucional, </w:t>
      </w:r>
      <w:r w:rsidRPr="000A7722">
        <w:rPr>
          <w:rFonts w:ascii="Times New Roman" w:hAnsi="Times New Roman"/>
          <w:sz w:val="24"/>
          <w:szCs w:val="24"/>
        </w:rPr>
        <w:t>tenha sido</w:t>
      </w:r>
      <w:r>
        <w:rPr>
          <w:rFonts w:ascii="Times New Roman" w:hAnsi="Times New Roman"/>
          <w:sz w:val="24"/>
          <w:szCs w:val="24"/>
        </w:rPr>
        <w:t xml:space="preserve"> efetivamente</w:t>
      </w:r>
      <w:r w:rsidRPr="000A7722">
        <w:rPr>
          <w:rFonts w:ascii="Times New Roman" w:hAnsi="Times New Roman"/>
          <w:sz w:val="24"/>
          <w:szCs w:val="24"/>
        </w:rPr>
        <w:t xml:space="preserve"> debatida no acórdão impugnado</w:t>
      </w:r>
      <w:r>
        <w:rPr>
          <w:rFonts w:ascii="Times New Roman" w:hAnsi="Times New Roman"/>
          <w:sz w:val="24"/>
          <w:szCs w:val="24"/>
        </w:rPr>
        <w:t xml:space="preserve">. </w:t>
      </w:r>
    </w:p>
    <w:p w:rsidR="00D549BC" w:rsidRDefault="00D549BC" w:rsidP="00A63302">
      <w:pPr>
        <w:spacing w:after="240"/>
        <w:contextualSpacing/>
        <w:rPr>
          <w:rFonts w:ascii="Times New Roman" w:hAnsi="Times New Roman"/>
          <w:sz w:val="24"/>
          <w:szCs w:val="24"/>
        </w:rPr>
      </w:pPr>
      <w:r w:rsidRPr="00F20AC4">
        <w:rPr>
          <w:rFonts w:ascii="Times New Roman" w:hAnsi="Times New Roman"/>
          <w:sz w:val="24"/>
          <w:szCs w:val="24"/>
        </w:rPr>
        <w:t>Parece</w:t>
      </w:r>
      <w:r>
        <w:rPr>
          <w:rFonts w:ascii="Times New Roman" w:hAnsi="Times New Roman"/>
          <w:sz w:val="24"/>
          <w:szCs w:val="24"/>
        </w:rPr>
        <w:t xml:space="preserve"> juridicamente</w:t>
      </w:r>
      <w:r w:rsidRPr="00F20AC4">
        <w:rPr>
          <w:rFonts w:ascii="Times New Roman" w:hAnsi="Times New Roman"/>
          <w:sz w:val="24"/>
          <w:szCs w:val="24"/>
        </w:rPr>
        <w:t xml:space="preserve"> aceitável a </w:t>
      </w:r>
      <w:r>
        <w:rPr>
          <w:rFonts w:ascii="Times New Roman" w:hAnsi="Times New Roman"/>
          <w:sz w:val="24"/>
          <w:szCs w:val="24"/>
        </w:rPr>
        <w:t>demonstra</w:t>
      </w:r>
      <w:r w:rsidRPr="000C3190">
        <w:rPr>
          <w:rFonts w:ascii="Times New Roman" w:hAnsi="Times New Roman"/>
          <w:sz w:val="24"/>
          <w:szCs w:val="24"/>
        </w:rPr>
        <w:t>ç</w:t>
      </w:r>
      <w:r>
        <w:rPr>
          <w:rFonts w:ascii="Times New Roman" w:hAnsi="Times New Roman"/>
          <w:sz w:val="24"/>
          <w:szCs w:val="24"/>
        </w:rPr>
        <w:t>ão</w:t>
      </w:r>
      <w:r w:rsidRPr="00F20AC4">
        <w:rPr>
          <w:rFonts w:ascii="Times New Roman" w:hAnsi="Times New Roman"/>
          <w:sz w:val="24"/>
          <w:szCs w:val="24"/>
        </w:rPr>
        <w:t xml:space="preserve"> do prequestionamento, na medida em que se exige que a matéria </w:t>
      </w:r>
      <w:r>
        <w:rPr>
          <w:rFonts w:ascii="Times New Roman" w:hAnsi="Times New Roman"/>
          <w:sz w:val="24"/>
          <w:szCs w:val="24"/>
        </w:rPr>
        <w:t>levada aos T</w:t>
      </w:r>
      <w:r w:rsidRPr="00F20AC4">
        <w:rPr>
          <w:rFonts w:ascii="Times New Roman" w:hAnsi="Times New Roman"/>
          <w:sz w:val="24"/>
          <w:szCs w:val="24"/>
        </w:rPr>
        <w:t xml:space="preserve">ribunais </w:t>
      </w:r>
      <w:r>
        <w:rPr>
          <w:rFonts w:ascii="Times New Roman" w:hAnsi="Times New Roman"/>
          <w:sz w:val="24"/>
          <w:szCs w:val="24"/>
        </w:rPr>
        <w:t>S</w:t>
      </w:r>
      <w:r w:rsidRPr="00F20AC4">
        <w:rPr>
          <w:rFonts w:ascii="Times New Roman" w:hAnsi="Times New Roman"/>
          <w:sz w:val="24"/>
          <w:szCs w:val="24"/>
        </w:rPr>
        <w:t>uperiores tenha sido objeto de debate nas instâncias ordinárias. Isso porque, por expresso mandamento constitucional, competem ao STF</w:t>
      </w:r>
      <w:r>
        <w:rPr>
          <w:rFonts w:ascii="Times New Roman" w:hAnsi="Times New Roman"/>
          <w:sz w:val="24"/>
          <w:szCs w:val="24"/>
        </w:rPr>
        <w:t xml:space="preserve"> (art. 102, III da CRFB/88)</w:t>
      </w:r>
      <w:r w:rsidRPr="00F20AC4">
        <w:rPr>
          <w:rFonts w:ascii="Times New Roman" w:hAnsi="Times New Roman"/>
          <w:sz w:val="24"/>
          <w:szCs w:val="24"/>
        </w:rPr>
        <w:t xml:space="preserve"> e ao STJ</w:t>
      </w:r>
      <w:r>
        <w:rPr>
          <w:rFonts w:ascii="Times New Roman" w:hAnsi="Times New Roman"/>
          <w:sz w:val="24"/>
          <w:szCs w:val="24"/>
        </w:rPr>
        <w:t xml:space="preserve"> (art. 105, III da CRFB/88)</w:t>
      </w:r>
      <w:r w:rsidRPr="00F20AC4">
        <w:rPr>
          <w:rFonts w:ascii="Times New Roman" w:hAnsi="Times New Roman"/>
          <w:sz w:val="24"/>
          <w:szCs w:val="24"/>
        </w:rPr>
        <w:t xml:space="preserve"> darem a </w:t>
      </w:r>
      <w:r w:rsidRPr="008C08DC">
        <w:rPr>
          <w:rFonts w:ascii="Times New Roman" w:hAnsi="Times New Roman"/>
          <w:i/>
          <w:sz w:val="24"/>
          <w:szCs w:val="24"/>
        </w:rPr>
        <w:t>última palavra</w:t>
      </w:r>
      <w:r w:rsidRPr="00F20AC4">
        <w:rPr>
          <w:rFonts w:ascii="Times New Roman" w:hAnsi="Times New Roman"/>
          <w:sz w:val="24"/>
          <w:szCs w:val="24"/>
        </w:rPr>
        <w:t xml:space="preserve"> em matéria constitucional e infraconstitucional, respectivamente. </w:t>
      </w:r>
      <w:r>
        <w:rPr>
          <w:rFonts w:ascii="Times New Roman" w:hAnsi="Times New Roman"/>
          <w:sz w:val="24"/>
          <w:szCs w:val="24"/>
        </w:rPr>
        <w:t>Logo, s</w:t>
      </w:r>
      <w:r w:rsidRPr="00F20AC4">
        <w:rPr>
          <w:rFonts w:ascii="Times New Roman" w:hAnsi="Times New Roman"/>
          <w:sz w:val="24"/>
          <w:szCs w:val="24"/>
        </w:rPr>
        <w:t>e</w:t>
      </w:r>
      <w:r>
        <w:rPr>
          <w:rFonts w:ascii="Times New Roman" w:hAnsi="Times New Roman"/>
          <w:sz w:val="24"/>
          <w:szCs w:val="24"/>
        </w:rPr>
        <w:t xml:space="preserve"> a matéria não foi devidamente enfrentada na origem</w:t>
      </w:r>
      <w:r w:rsidRPr="00F20AC4">
        <w:rPr>
          <w:rFonts w:ascii="Times New Roman" w:hAnsi="Times New Roman"/>
          <w:sz w:val="24"/>
          <w:szCs w:val="24"/>
        </w:rPr>
        <w:t>, não se pode</w:t>
      </w:r>
      <w:r>
        <w:rPr>
          <w:rFonts w:ascii="Times New Roman" w:hAnsi="Times New Roman"/>
          <w:sz w:val="24"/>
          <w:szCs w:val="24"/>
        </w:rPr>
        <w:t>ria</w:t>
      </w:r>
      <w:r w:rsidRPr="00F20AC4">
        <w:rPr>
          <w:rFonts w:ascii="Times New Roman" w:hAnsi="Times New Roman"/>
          <w:sz w:val="24"/>
          <w:szCs w:val="24"/>
        </w:rPr>
        <w:t xml:space="preserve"> abrir a via excepcional.</w:t>
      </w:r>
    </w:p>
    <w:p w:rsidR="00D549BC" w:rsidRDefault="00D549BC" w:rsidP="00A63302">
      <w:pPr>
        <w:spacing w:after="240"/>
        <w:contextualSpacing/>
        <w:rPr>
          <w:rFonts w:ascii="Times New Roman" w:hAnsi="Times New Roman"/>
          <w:sz w:val="24"/>
          <w:szCs w:val="24"/>
        </w:rPr>
      </w:pPr>
      <w:r>
        <w:rPr>
          <w:rFonts w:ascii="Times New Roman" w:hAnsi="Times New Roman"/>
          <w:sz w:val="24"/>
          <w:szCs w:val="24"/>
        </w:rPr>
        <w:t xml:space="preserve">Acontece que a exigência do prequestionamento também se tornou mais uma aliada da Jurisprudência Defensiva, visto que, tanto o STF quanto o STJ vêm criando obstáculos extremamente formalistas com </w:t>
      </w:r>
      <w:r w:rsidRPr="00DC6F4F">
        <w:rPr>
          <w:rFonts w:ascii="Times New Roman" w:hAnsi="Times New Roman"/>
          <w:sz w:val="24"/>
          <w:szCs w:val="24"/>
        </w:rPr>
        <w:t xml:space="preserve">o escopo </w:t>
      </w:r>
      <w:r>
        <w:rPr>
          <w:rFonts w:ascii="Times New Roman" w:hAnsi="Times New Roman"/>
          <w:sz w:val="24"/>
          <w:szCs w:val="24"/>
        </w:rPr>
        <w:t xml:space="preserve">de inadmitir </w:t>
      </w:r>
      <w:r w:rsidRPr="00DC6F4F">
        <w:rPr>
          <w:rFonts w:ascii="Times New Roman" w:hAnsi="Times New Roman"/>
          <w:sz w:val="24"/>
          <w:szCs w:val="24"/>
        </w:rPr>
        <w:t>recursos e, por conseguinte, impedir o acesso à justiça</w:t>
      </w:r>
      <w:r>
        <w:rPr>
          <w:rFonts w:ascii="Times New Roman" w:hAnsi="Times New Roman"/>
          <w:sz w:val="24"/>
          <w:szCs w:val="24"/>
        </w:rPr>
        <w:t xml:space="preserve">. </w:t>
      </w:r>
    </w:p>
    <w:p w:rsidR="00D549BC" w:rsidRDefault="00D549BC" w:rsidP="00A63302">
      <w:pPr>
        <w:spacing w:after="240"/>
        <w:contextualSpacing/>
        <w:rPr>
          <w:rFonts w:ascii="Times New Roman" w:hAnsi="Times New Roman"/>
          <w:sz w:val="24"/>
          <w:szCs w:val="24"/>
        </w:rPr>
      </w:pPr>
      <w:r>
        <w:rPr>
          <w:rFonts w:ascii="Times New Roman" w:hAnsi="Times New Roman"/>
          <w:sz w:val="24"/>
          <w:szCs w:val="24"/>
        </w:rPr>
        <w:t>O STF, por meio da edição da súmula de jurisprudência dominante nº 356, firmou o seguinte entendimento acerca dos aclaratórios para fins de prequestionamento da questão constitucional: “</w:t>
      </w:r>
      <w:r w:rsidRPr="00E91C1F">
        <w:rPr>
          <w:rFonts w:ascii="Times New Roman" w:hAnsi="Times New Roman"/>
          <w:i/>
          <w:sz w:val="24"/>
          <w:szCs w:val="24"/>
        </w:rPr>
        <w:t>o ponto omisso da decisão, sobre o qual não foram opostos embargos declaratórios, não pode ser objeto de recurso extraordinário, por faltar o requisito do prequestionamento</w:t>
      </w:r>
      <w:r>
        <w:rPr>
          <w:rFonts w:ascii="Times New Roman" w:hAnsi="Times New Roman"/>
          <w:i/>
          <w:sz w:val="24"/>
          <w:szCs w:val="24"/>
        </w:rPr>
        <w:t>.</w:t>
      </w:r>
      <w:r>
        <w:rPr>
          <w:rFonts w:ascii="Times New Roman" w:hAnsi="Times New Roman"/>
          <w:sz w:val="24"/>
          <w:szCs w:val="24"/>
        </w:rPr>
        <w:t>”</w:t>
      </w:r>
      <w:r>
        <w:rPr>
          <w:rStyle w:val="FootnoteReference"/>
          <w:rFonts w:ascii="Times New Roman" w:hAnsi="Times New Roman"/>
          <w:sz w:val="24"/>
          <w:szCs w:val="24"/>
        </w:rPr>
        <w:footnoteReference w:id="181"/>
      </w:r>
      <w:r>
        <w:rPr>
          <w:rFonts w:ascii="Times New Roman" w:hAnsi="Times New Roman"/>
          <w:sz w:val="24"/>
          <w:szCs w:val="24"/>
        </w:rPr>
        <w:t xml:space="preserve"> </w:t>
      </w:r>
      <w:r w:rsidRPr="007B57CF">
        <w:rPr>
          <w:rFonts w:ascii="Times New Roman" w:hAnsi="Times New Roman"/>
          <w:sz w:val="24"/>
          <w:szCs w:val="24"/>
        </w:rPr>
        <w:t xml:space="preserve">Ou seja, a simples oposição de </w:t>
      </w:r>
      <w:r>
        <w:rPr>
          <w:rFonts w:ascii="Times New Roman" w:hAnsi="Times New Roman"/>
          <w:sz w:val="24"/>
          <w:szCs w:val="24"/>
        </w:rPr>
        <w:t>E</w:t>
      </w:r>
      <w:r w:rsidRPr="007B57CF">
        <w:rPr>
          <w:rFonts w:ascii="Times New Roman" w:hAnsi="Times New Roman"/>
          <w:sz w:val="24"/>
          <w:szCs w:val="24"/>
        </w:rPr>
        <w:t xml:space="preserve">mbargos de </w:t>
      </w:r>
      <w:r>
        <w:rPr>
          <w:rFonts w:ascii="Times New Roman" w:hAnsi="Times New Roman"/>
          <w:sz w:val="24"/>
          <w:szCs w:val="24"/>
        </w:rPr>
        <w:t>D</w:t>
      </w:r>
      <w:r w:rsidRPr="007B57CF">
        <w:rPr>
          <w:rFonts w:ascii="Times New Roman" w:hAnsi="Times New Roman"/>
          <w:sz w:val="24"/>
          <w:szCs w:val="24"/>
        </w:rPr>
        <w:t>eclaração é</w:t>
      </w:r>
      <w:r>
        <w:rPr>
          <w:rFonts w:ascii="Times New Roman" w:hAnsi="Times New Roman"/>
          <w:sz w:val="24"/>
          <w:szCs w:val="24"/>
        </w:rPr>
        <w:t xml:space="preserve"> </w:t>
      </w:r>
      <w:r w:rsidRPr="007B57CF">
        <w:rPr>
          <w:rFonts w:ascii="Times New Roman" w:hAnsi="Times New Roman"/>
          <w:sz w:val="24"/>
          <w:szCs w:val="24"/>
        </w:rPr>
        <w:t>suficiente para tornar a questão constitucional prequestionada</w:t>
      </w:r>
      <w:r>
        <w:rPr>
          <w:rFonts w:ascii="Times New Roman" w:hAnsi="Times New Roman"/>
          <w:sz w:val="24"/>
          <w:szCs w:val="24"/>
        </w:rPr>
        <w:t>.</w:t>
      </w:r>
      <w:r>
        <w:rPr>
          <w:rStyle w:val="FootnoteReference"/>
          <w:rFonts w:ascii="Times New Roman" w:hAnsi="Times New Roman"/>
          <w:sz w:val="24"/>
          <w:szCs w:val="24"/>
        </w:rPr>
        <w:footnoteReference w:id="182"/>
      </w:r>
    </w:p>
    <w:p w:rsidR="00D549BC" w:rsidRDefault="00D549BC" w:rsidP="00A63302">
      <w:pPr>
        <w:spacing w:after="240"/>
        <w:contextualSpacing/>
        <w:rPr>
          <w:rFonts w:ascii="Times New Roman" w:hAnsi="Times New Roman"/>
          <w:sz w:val="24"/>
          <w:szCs w:val="24"/>
        </w:rPr>
      </w:pPr>
      <w:r>
        <w:rPr>
          <w:rFonts w:ascii="Times New Roman" w:hAnsi="Times New Roman"/>
          <w:sz w:val="24"/>
          <w:szCs w:val="24"/>
        </w:rPr>
        <w:t>No entanto, ainda que a parte tenha manejado os Embargos Declaratórios para fins de prequestionamento da questão constitucional sobre a qual o acórdão impugnado não se manifestou, a Suprema Corte tem entendido que: “</w:t>
      </w:r>
      <w:r w:rsidRPr="00910497">
        <w:rPr>
          <w:rFonts w:ascii="Times New Roman" w:hAnsi="Times New Roman"/>
          <w:i/>
          <w:sz w:val="24"/>
          <w:szCs w:val="24"/>
        </w:rPr>
        <w:t>a simples oposição dos embargos de declaração, sem o efetivo debate acerca da matéria versada pelo dispositivo constitucional apontado como malferido, não supre a falta do requisito do prequestionamento, viabilizador da abertura da instância extraordinária</w:t>
      </w:r>
      <w:r>
        <w:rPr>
          <w:rFonts w:ascii="Times New Roman" w:hAnsi="Times New Roman"/>
          <w:i/>
          <w:sz w:val="24"/>
          <w:szCs w:val="24"/>
        </w:rPr>
        <w:t>.</w:t>
      </w:r>
      <w:r>
        <w:rPr>
          <w:rFonts w:ascii="Times New Roman" w:hAnsi="Times New Roman"/>
          <w:sz w:val="24"/>
          <w:szCs w:val="24"/>
        </w:rPr>
        <w:t>”</w:t>
      </w:r>
      <w:r>
        <w:rPr>
          <w:rStyle w:val="FootnoteReference"/>
          <w:rFonts w:ascii="Times New Roman" w:hAnsi="Times New Roman"/>
          <w:sz w:val="24"/>
          <w:szCs w:val="24"/>
        </w:rPr>
        <w:footnoteReference w:id="183"/>
      </w:r>
      <w:r>
        <w:rPr>
          <w:rFonts w:ascii="Times New Roman" w:hAnsi="Times New Roman"/>
          <w:sz w:val="24"/>
          <w:szCs w:val="24"/>
        </w:rPr>
        <w:t xml:space="preserve"> </w:t>
      </w:r>
    </w:p>
    <w:p w:rsidR="00D549BC" w:rsidRDefault="00D549BC" w:rsidP="00A63302">
      <w:pPr>
        <w:spacing w:after="240"/>
        <w:contextualSpacing/>
        <w:rPr>
          <w:rFonts w:ascii="Times New Roman" w:hAnsi="Times New Roman"/>
          <w:sz w:val="24"/>
          <w:szCs w:val="24"/>
        </w:rPr>
      </w:pPr>
      <w:r>
        <w:rPr>
          <w:rFonts w:ascii="Times New Roman" w:hAnsi="Times New Roman"/>
          <w:sz w:val="24"/>
          <w:szCs w:val="24"/>
        </w:rPr>
        <w:t>O artigo</w:t>
      </w:r>
      <w:r w:rsidRPr="00D317CA">
        <w:rPr>
          <w:rFonts w:ascii="Times New Roman" w:hAnsi="Times New Roman"/>
          <w:sz w:val="24"/>
          <w:szCs w:val="24"/>
        </w:rPr>
        <w:t xml:space="preserve"> </w:t>
      </w:r>
      <w:r>
        <w:rPr>
          <w:rFonts w:ascii="Times New Roman" w:hAnsi="Times New Roman"/>
          <w:sz w:val="24"/>
          <w:szCs w:val="24"/>
        </w:rPr>
        <w:t>1.025</w:t>
      </w:r>
      <w:r w:rsidRPr="00D317CA">
        <w:rPr>
          <w:rFonts w:ascii="Times New Roman" w:hAnsi="Times New Roman"/>
          <w:sz w:val="24"/>
          <w:szCs w:val="24"/>
        </w:rPr>
        <w:t xml:space="preserve"> do </w:t>
      </w:r>
      <w:r>
        <w:rPr>
          <w:rFonts w:ascii="Times New Roman" w:hAnsi="Times New Roman"/>
          <w:sz w:val="24"/>
          <w:szCs w:val="24"/>
        </w:rPr>
        <w:t>Novo CPC resolve ess</w:t>
      </w:r>
      <w:r w:rsidRPr="00D317CA">
        <w:rPr>
          <w:rFonts w:ascii="Times New Roman" w:hAnsi="Times New Roman"/>
          <w:sz w:val="24"/>
          <w:szCs w:val="24"/>
        </w:rPr>
        <w:t xml:space="preserve">e problema, </w:t>
      </w:r>
      <w:r>
        <w:rPr>
          <w:rFonts w:ascii="Times New Roman" w:hAnsi="Times New Roman"/>
          <w:sz w:val="24"/>
          <w:szCs w:val="24"/>
        </w:rPr>
        <w:t xml:space="preserve">ao dispor </w:t>
      </w:r>
      <w:r w:rsidRPr="00D317CA">
        <w:rPr>
          <w:rFonts w:ascii="Times New Roman" w:hAnsi="Times New Roman"/>
          <w:sz w:val="24"/>
          <w:szCs w:val="24"/>
        </w:rPr>
        <w:t>que</w:t>
      </w:r>
      <w:r>
        <w:rPr>
          <w:rFonts w:ascii="Times New Roman" w:hAnsi="Times New Roman"/>
          <w:sz w:val="24"/>
          <w:szCs w:val="24"/>
        </w:rPr>
        <w:t>: “</w:t>
      </w:r>
      <w:r w:rsidRPr="00D317CA">
        <w:rPr>
          <w:rFonts w:ascii="Times New Roman" w:hAnsi="Times New Roman"/>
          <w:i/>
          <w:sz w:val="24"/>
          <w:szCs w:val="24"/>
        </w:rPr>
        <w:t>consideram-se incluídos no acórdão os elementos que o embargante suscitou, para fins de pré-questionamento, ainda que os embargos de declaração sejam inadmitidos ou rejeitados, caso o tribunal superior considere existentes erro, omissão, contradição ou obscuridade</w:t>
      </w:r>
      <w:r>
        <w:rPr>
          <w:rFonts w:ascii="Times New Roman" w:hAnsi="Times New Roman"/>
          <w:i/>
          <w:sz w:val="24"/>
          <w:szCs w:val="24"/>
        </w:rPr>
        <w:t>.</w:t>
      </w:r>
      <w:r>
        <w:rPr>
          <w:rFonts w:ascii="Times New Roman" w:hAnsi="Times New Roman"/>
          <w:sz w:val="24"/>
          <w:szCs w:val="24"/>
        </w:rPr>
        <w:t>”</w:t>
      </w:r>
    </w:p>
    <w:p w:rsidR="00D549BC" w:rsidRDefault="00D549BC" w:rsidP="00B2455E">
      <w:pPr>
        <w:spacing w:after="240"/>
        <w:contextualSpacing/>
        <w:rPr>
          <w:rFonts w:ascii="Times New Roman" w:hAnsi="Times New Roman"/>
          <w:sz w:val="24"/>
          <w:szCs w:val="24"/>
        </w:rPr>
      </w:pPr>
      <w:r>
        <w:rPr>
          <w:rFonts w:ascii="Times New Roman" w:hAnsi="Times New Roman"/>
          <w:sz w:val="24"/>
          <w:szCs w:val="24"/>
        </w:rPr>
        <w:t xml:space="preserve">Dessa forma, louvável a inovação trazida pelo </w:t>
      </w:r>
      <w:r w:rsidRPr="00D317CA">
        <w:rPr>
          <w:rFonts w:ascii="Times New Roman" w:hAnsi="Times New Roman"/>
          <w:i/>
          <w:sz w:val="24"/>
          <w:szCs w:val="24"/>
        </w:rPr>
        <w:t>novel</w:t>
      </w:r>
      <w:r>
        <w:rPr>
          <w:rFonts w:ascii="Times New Roman" w:hAnsi="Times New Roman"/>
          <w:sz w:val="24"/>
          <w:szCs w:val="24"/>
        </w:rPr>
        <w:t xml:space="preserve"> Código de Processo, pois, ao </w:t>
      </w:r>
      <w:r w:rsidRPr="004F2031">
        <w:rPr>
          <w:rFonts w:ascii="Times New Roman" w:hAnsi="Times New Roman"/>
          <w:sz w:val="24"/>
          <w:szCs w:val="24"/>
        </w:rPr>
        <w:t>admit</w:t>
      </w:r>
      <w:r>
        <w:rPr>
          <w:rFonts w:ascii="Times New Roman" w:hAnsi="Times New Roman"/>
          <w:sz w:val="24"/>
          <w:szCs w:val="24"/>
        </w:rPr>
        <w:t xml:space="preserve">ir o prequestionamento implícito – seja da questão constitucional, seja da questão infraconstitucional –, acaba por rechaçar o formalismo exacerbado decorrente da </w:t>
      </w:r>
      <w:r w:rsidRPr="00B319A5">
        <w:rPr>
          <w:rFonts w:ascii="Times New Roman" w:hAnsi="Times New Roman"/>
          <w:i/>
          <w:sz w:val="24"/>
          <w:szCs w:val="24"/>
        </w:rPr>
        <w:t>Jurisprudência Defensiva</w:t>
      </w:r>
      <w:r>
        <w:rPr>
          <w:rFonts w:ascii="Times New Roman" w:hAnsi="Times New Roman"/>
          <w:sz w:val="24"/>
          <w:szCs w:val="24"/>
        </w:rPr>
        <w:t xml:space="preserve">. </w:t>
      </w:r>
    </w:p>
    <w:p w:rsidR="00D549BC" w:rsidRDefault="00D549BC" w:rsidP="00B2455E">
      <w:pPr>
        <w:spacing w:after="240"/>
        <w:contextualSpacing/>
        <w:rPr>
          <w:rFonts w:ascii="Times New Roman" w:hAnsi="Times New Roman"/>
          <w:sz w:val="24"/>
          <w:szCs w:val="24"/>
        </w:rPr>
      </w:pPr>
      <w:r>
        <w:rPr>
          <w:rFonts w:ascii="Times New Roman" w:hAnsi="Times New Roman"/>
          <w:sz w:val="24"/>
          <w:szCs w:val="24"/>
        </w:rPr>
        <w:t xml:space="preserve">Vimos, assim, alguns dos principais exemplos decorrentes da chamada Jurisprudência Defensiva, cujo objetivo precípuo é tentar, ainda que sem respaldo legal, diminuir a sobrecarga de processos nas instâncias extraordinárias. Acontece que esse tipo de jurisprudência acarreta sérias consequências jurídicas para os jurisdicionados, uma vez que o rigor em excesso restringe, ilegitimamente, o acesso à justiça. </w:t>
      </w:r>
    </w:p>
    <w:p w:rsidR="00D549BC" w:rsidRDefault="00D549BC" w:rsidP="001C34A4">
      <w:pPr>
        <w:spacing w:after="240"/>
        <w:contextualSpacing/>
        <w:rPr>
          <w:rFonts w:ascii="Times New Roman" w:hAnsi="Times New Roman"/>
          <w:sz w:val="24"/>
          <w:szCs w:val="24"/>
        </w:rPr>
      </w:pPr>
      <w:r>
        <w:rPr>
          <w:rFonts w:ascii="Times New Roman" w:hAnsi="Times New Roman"/>
          <w:sz w:val="24"/>
          <w:szCs w:val="24"/>
        </w:rPr>
        <w:t xml:space="preserve">Por outro lado, o relativo enfraquecimento vem sendo observado nos últimos anos na Jurisprudência Defensiva, em parte pelas inúmeras críticas doutrinárias, em parte pelo advento de institutos como a </w:t>
      </w:r>
      <w:r w:rsidRPr="005D08D2">
        <w:rPr>
          <w:rFonts w:ascii="Times New Roman" w:hAnsi="Times New Roman"/>
          <w:i/>
          <w:sz w:val="24"/>
          <w:szCs w:val="24"/>
        </w:rPr>
        <w:t>Repercussão Geral</w:t>
      </w:r>
      <w:r>
        <w:rPr>
          <w:rFonts w:ascii="Times New Roman" w:hAnsi="Times New Roman"/>
          <w:sz w:val="24"/>
          <w:szCs w:val="24"/>
        </w:rPr>
        <w:t xml:space="preserve"> no Supremo Tribunal Federal e os </w:t>
      </w:r>
      <w:r w:rsidRPr="005D08D2">
        <w:rPr>
          <w:rFonts w:ascii="Times New Roman" w:hAnsi="Times New Roman"/>
          <w:i/>
          <w:sz w:val="24"/>
          <w:szCs w:val="24"/>
        </w:rPr>
        <w:t>Recursos Repetitivos</w:t>
      </w:r>
      <w:r>
        <w:rPr>
          <w:rFonts w:ascii="Times New Roman" w:hAnsi="Times New Roman"/>
          <w:sz w:val="24"/>
          <w:szCs w:val="24"/>
        </w:rPr>
        <w:t xml:space="preserve"> no âmbito do Superior Tribunal de Justiça (ainda que esse último não possa ser classificado como um filtro de seleção de demandas). </w:t>
      </w:r>
    </w:p>
    <w:p w:rsidR="00D549BC" w:rsidRDefault="00D549BC" w:rsidP="001C34A4">
      <w:pPr>
        <w:spacing w:after="240"/>
        <w:contextualSpacing/>
        <w:rPr>
          <w:rFonts w:ascii="Times New Roman" w:hAnsi="Times New Roman"/>
          <w:sz w:val="24"/>
          <w:szCs w:val="24"/>
        </w:rPr>
      </w:pPr>
      <w:r>
        <w:rPr>
          <w:rFonts w:ascii="Times New Roman" w:hAnsi="Times New Roman"/>
          <w:sz w:val="24"/>
          <w:szCs w:val="24"/>
        </w:rPr>
        <w:t xml:space="preserve">Ademais, o Novo Código de Processo Civil firma, claramente, compromisso no combate ao formalismo em excesso, trazendo em seu bojo, disposições como aquela constante do artigo 1.029, § 3º: </w:t>
      </w:r>
      <w:r w:rsidRPr="006412A0">
        <w:rPr>
          <w:rFonts w:ascii="Times New Roman" w:hAnsi="Times New Roman"/>
          <w:i/>
          <w:sz w:val="24"/>
          <w:szCs w:val="24"/>
        </w:rPr>
        <w:t>O Supremo Tribunal Federal ou o Superior Tribunal de Justiça poderá desconsiderar vício formal de recurso tempestivo ou determinar sua correção, desde que não o repute grave</w:t>
      </w:r>
      <w:r>
        <w:rPr>
          <w:rFonts w:ascii="Times New Roman" w:hAnsi="Times New Roman"/>
          <w:sz w:val="24"/>
          <w:szCs w:val="24"/>
        </w:rPr>
        <w:t xml:space="preserve">. </w:t>
      </w:r>
    </w:p>
    <w:p w:rsidR="00D549BC" w:rsidRDefault="00D549BC" w:rsidP="002157DB">
      <w:pPr>
        <w:spacing w:after="240"/>
        <w:contextualSpacing/>
        <w:rPr>
          <w:rFonts w:ascii="Times New Roman" w:hAnsi="Times New Roman"/>
          <w:sz w:val="24"/>
          <w:szCs w:val="24"/>
        </w:rPr>
      </w:pPr>
      <w:r>
        <w:rPr>
          <w:rFonts w:ascii="Times New Roman" w:hAnsi="Times New Roman"/>
          <w:sz w:val="24"/>
          <w:szCs w:val="24"/>
        </w:rPr>
        <w:t xml:space="preserve">Defendemos, aqui, a utilização de filtros qualitativos, tal qual a </w:t>
      </w:r>
      <w:r w:rsidRPr="00EC6589">
        <w:rPr>
          <w:rFonts w:ascii="Times New Roman" w:hAnsi="Times New Roman"/>
          <w:i/>
          <w:sz w:val="24"/>
          <w:szCs w:val="24"/>
        </w:rPr>
        <w:t>Repercussão Geral</w:t>
      </w:r>
      <w:r>
        <w:rPr>
          <w:rFonts w:ascii="Times New Roman" w:hAnsi="Times New Roman"/>
          <w:sz w:val="24"/>
          <w:szCs w:val="24"/>
        </w:rPr>
        <w:t xml:space="preserve">, em detrimento de filtros meramente defensivos e, portanto, ilegítimos. </w:t>
      </w:r>
    </w:p>
    <w:p w:rsidR="00D549BC" w:rsidRDefault="00D549BC" w:rsidP="002157DB">
      <w:pPr>
        <w:spacing w:after="240"/>
        <w:contextualSpacing/>
        <w:rPr>
          <w:rFonts w:ascii="Times New Roman" w:hAnsi="Times New Roman"/>
          <w:sz w:val="24"/>
          <w:szCs w:val="24"/>
        </w:rPr>
      </w:pPr>
      <w:r>
        <w:rPr>
          <w:rFonts w:ascii="Times New Roman" w:hAnsi="Times New Roman"/>
          <w:sz w:val="24"/>
          <w:szCs w:val="24"/>
        </w:rPr>
        <w:t xml:space="preserve">Abordaremos, adiante, o instituto da </w:t>
      </w:r>
      <w:r w:rsidRPr="009863C4">
        <w:rPr>
          <w:rFonts w:ascii="Times New Roman" w:hAnsi="Times New Roman"/>
          <w:i/>
          <w:sz w:val="24"/>
          <w:szCs w:val="24"/>
        </w:rPr>
        <w:t xml:space="preserve">Repercussão Geral </w:t>
      </w:r>
      <w:r>
        <w:rPr>
          <w:rFonts w:ascii="Times New Roman" w:hAnsi="Times New Roman"/>
          <w:sz w:val="24"/>
          <w:szCs w:val="24"/>
        </w:rPr>
        <w:t xml:space="preserve">da questão constitucional, desde o seu surgimento até sua atual configuração, a fim de mostrarmos como a Corte Suprema se comportou diante desse filtro qualificador. Veremos também que há um movimento, ainda recente, que almeja fazer da </w:t>
      </w:r>
      <w:r w:rsidRPr="00D145C5">
        <w:rPr>
          <w:rFonts w:ascii="Times New Roman" w:hAnsi="Times New Roman"/>
          <w:i/>
          <w:sz w:val="24"/>
          <w:szCs w:val="24"/>
        </w:rPr>
        <w:t>Repercussão Geral</w:t>
      </w:r>
      <w:r>
        <w:rPr>
          <w:rFonts w:ascii="Times New Roman" w:hAnsi="Times New Roman"/>
          <w:sz w:val="24"/>
          <w:szCs w:val="24"/>
        </w:rPr>
        <w:t xml:space="preserve"> um verdadeiro filtro qualificador de seleção de demandas. </w:t>
      </w:r>
    </w:p>
    <w:p w:rsidR="00D549BC" w:rsidRDefault="00D549BC" w:rsidP="00E91C1F">
      <w:pPr>
        <w:spacing w:after="240"/>
        <w:ind w:firstLine="851"/>
        <w:contextualSpacing/>
        <w:rPr>
          <w:rFonts w:ascii="Times New Roman" w:hAnsi="Times New Roman"/>
          <w:sz w:val="24"/>
          <w:szCs w:val="24"/>
        </w:rPr>
      </w:pPr>
    </w:p>
    <w:p w:rsidR="00D549BC" w:rsidRPr="00C611CE" w:rsidRDefault="00D549BC" w:rsidP="00481F1B">
      <w:pPr>
        <w:spacing w:after="240"/>
        <w:ind w:firstLine="0"/>
        <w:contextualSpacing/>
        <w:rPr>
          <w:rFonts w:ascii="Times New Roman" w:hAnsi="Times New Roman"/>
          <w:sz w:val="24"/>
          <w:szCs w:val="24"/>
        </w:rPr>
      </w:pPr>
      <w:r w:rsidRPr="00C611CE">
        <w:rPr>
          <w:rFonts w:ascii="Times New Roman" w:hAnsi="Times New Roman"/>
          <w:sz w:val="24"/>
          <w:szCs w:val="24"/>
        </w:rPr>
        <w:t>4.2 O ADVENTO DA REPERCUSSÃO GERAL DA QUESTÃO CONSTITUCIONAL</w:t>
      </w:r>
    </w:p>
    <w:p w:rsidR="00D549BC" w:rsidRDefault="00D549BC" w:rsidP="00E91C1F">
      <w:pPr>
        <w:spacing w:after="240"/>
        <w:ind w:firstLine="851"/>
        <w:contextualSpacing/>
        <w:rPr>
          <w:rFonts w:ascii="Times New Roman" w:hAnsi="Times New Roman"/>
          <w:sz w:val="24"/>
          <w:szCs w:val="24"/>
        </w:rPr>
      </w:pPr>
    </w:p>
    <w:p w:rsidR="00D549BC" w:rsidRDefault="00D549BC" w:rsidP="00C611CE">
      <w:pPr>
        <w:spacing w:after="240"/>
        <w:contextualSpacing/>
        <w:rPr>
          <w:rFonts w:ascii="Times New Roman" w:hAnsi="Times New Roman"/>
          <w:sz w:val="24"/>
          <w:szCs w:val="24"/>
        </w:rPr>
      </w:pPr>
      <w:r>
        <w:rPr>
          <w:rFonts w:ascii="Times New Roman" w:hAnsi="Times New Roman"/>
          <w:sz w:val="24"/>
          <w:szCs w:val="24"/>
        </w:rPr>
        <w:t xml:space="preserve">A Emenda Constitucional nº 45, de 30 de dezembro de 2004, passou a condicionar a admissibilidade do Recurso Extraordinário à demonstração da </w:t>
      </w:r>
      <w:r w:rsidRPr="00F809DF">
        <w:rPr>
          <w:rFonts w:ascii="Times New Roman" w:hAnsi="Times New Roman"/>
          <w:i/>
          <w:sz w:val="24"/>
          <w:szCs w:val="24"/>
        </w:rPr>
        <w:t>Repercussão Geral</w:t>
      </w:r>
      <w:r>
        <w:rPr>
          <w:rFonts w:ascii="Times New Roman" w:hAnsi="Times New Roman"/>
          <w:sz w:val="24"/>
          <w:szCs w:val="24"/>
        </w:rPr>
        <w:t xml:space="preserve"> das questões constitucionais discutidas no caso. Assim, foi acrescido ao artigo 102, inciso III da Constituição da República de 1988, um parágrafo terceiro com o seguinte teor: “</w:t>
      </w:r>
      <w:r w:rsidRPr="00AF4DF1">
        <w:rPr>
          <w:rFonts w:ascii="Times New Roman" w:hAnsi="Times New Roman"/>
          <w:i/>
          <w:sz w:val="24"/>
          <w:szCs w:val="24"/>
        </w:rPr>
        <w:t>no recurso extraordinário o recorrente deverá demonstrar a repercussão geral das questões constitucionais discutidas no caso, nos termos da lei, a fim de que o Tribunal examine a admissão do recurso, somente podendo recusá-lo pela manifestação de dois terços de seus membros</w:t>
      </w:r>
      <w:r>
        <w:rPr>
          <w:rFonts w:ascii="Times New Roman" w:hAnsi="Times New Roman"/>
          <w:i/>
          <w:sz w:val="24"/>
          <w:szCs w:val="24"/>
        </w:rPr>
        <w:t>.</w:t>
      </w:r>
      <w:r>
        <w:rPr>
          <w:rFonts w:ascii="Times New Roman" w:hAnsi="Times New Roman"/>
          <w:sz w:val="24"/>
          <w:szCs w:val="24"/>
        </w:rPr>
        <w:t xml:space="preserve">” </w:t>
      </w:r>
    </w:p>
    <w:p w:rsidR="00D549BC" w:rsidRDefault="00D549BC" w:rsidP="006F7829">
      <w:pPr>
        <w:spacing w:after="240"/>
        <w:contextualSpacing/>
        <w:rPr>
          <w:rFonts w:ascii="Times New Roman" w:hAnsi="Times New Roman"/>
          <w:sz w:val="24"/>
          <w:szCs w:val="24"/>
        </w:rPr>
      </w:pPr>
      <w:r>
        <w:rPr>
          <w:rFonts w:ascii="Times New Roman" w:hAnsi="Times New Roman"/>
          <w:sz w:val="24"/>
          <w:szCs w:val="24"/>
        </w:rPr>
        <w:t xml:space="preserve">Saliente-se que o citado </w:t>
      </w:r>
      <w:r w:rsidRPr="00CB4D71">
        <w:rPr>
          <w:rFonts w:ascii="Times New Roman" w:hAnsi="Times New Roman"/>
          <w:sz w:val="24"/>
          <w:szCs w:val="24"/>
        </w:rPr>
        <w:t>§</w:t>
      </w:r>
      <w:r>
        <w:rPr>
          <w:rFonts w:ascii="Times New Roman" w:hAnsi="Times New Roman"/>
          <w:sz w:val="24"/>
          <w:szCs w:val="24"/>
        </w:rPr>
        <w:t xml:space="preserve"> 3º do art. 102 da Constituição</w:t>
      </w:r>
      <w:r w:rsidRPr="00CB4D71">
        <w:rPr>
          <w:rFonts w:ascii="Times New Roman" w:hAnsi="Times New Roman"/>
          <w:sz w:val="24"/>
          <w:szCs w:val="24"/>
        </w:rPr>
        <w:t xml:space="preserve"> integra a</w:t>
      </w:r>
      <w:r>
        <w:rPr>
          <w:rFonts w:ascii="Times New Roman" w:hAnsi="Times New Roman"/>
          <w:sz w:val="24"/>
          <w:szCs w:val="24"/>
        </w:rPr>
        <w:t xml:space="preserve"> </w:t>
      </w:r>
      <w:r w:rsidRPr="00CB4D71">
        <w:rPr>
          <w:rFonts w:ascii="Times New Roman" w:hAnsi="Times New Roman"/>
          <w:sz w:val="24"/>
          <w:szCs w:val="24"/>
        </w:rPr>
        <w:t>categoria das normas constitucionais de eficácia limitada, uma vez que necessitam de</w:t>
      </w:r>
      <w:r>
        <w:rPr>
          <w:rFonts w:ascii="Times New Roman" w:hAnsi="Times New Roman"/>
          <w:sz w:val="24"/>
          <w:szCs w:val="24"/>
        </w:rPr>
        <w:t xml:space="preserve"> </w:t>
      </w:r>
      <w:r w:rsidRPr="00CB4D71">
        <w:rPr>
          <w:rFonts w:ascii="Times New Roman" w:hAnsi="Times New Roman"/>
          <w:sz w:val="24"/>
          <w:szCs w:val="24"/>
        </w:rPr>
        <w:t>atividade legislativa posterior e infraconstitucional que complemente seus efeitos</w:t>
      </w:r>
      <w:r>
        <w:rPr>
          <w:rFonts w:ascii="Times New Roman" w:hAnsi="Times New Roman"/>
          <w:sz w:val="24"/>
          <w:szCs w:val="24"/>
        </w:rPr>
        <w:t xml:space="preserve"> jurídicos</w:t>
      </w:r>
      <w:r w:rsidRPr="00CB4D71">
        <w:rPr>
          <w:rFonts w:ascii="Times New Roman" w:hAnsi="Times New Roman"/>
          <w:sz w:val="24"/>
          <w:szCs w:val="24"/>
        </w:rPr>
        <w:t>, não sendo</w:t>
      </w:r>
      <w:r>
        <w:rPr>
          <w:rFonts w:ascii="Times New Roman" w:hAnsi="Times New Roman"/>
          <w:sz w:val="24"/>
          <w:szCs w:val="24"/>
        </w:rPr>
        <w:t xml:space="preserve"> aplicáveis até a edição do respectivo ato legislativo.</w:t>
      </w:r>
    </w:p>
    <w:p w:rsidR="00D549BC" w:rsidRDefault="00D549BC" w:rsidP="00E91C1F">
      <w:pPr>
        <w:spacing w:after="240"/>
        <w:ind w:firstLine="851"/>
        <w:contextualSpacing/>
        <w:rPr>
          <w:rFonts w:ascii="Times New Roman" w:hAnsi="Times New Roman"/>
          <w:sz w:val="24"/>
          <w:szCs w:val="24"/>
        </w:rPr>
      </w:pPr>
      <w:r>
        <w:rPr>
          <w:rFonts w:ascii="Times New Roman" w:hAnsi="Times New Roman"/>
          <w:sz w:val="24"/>
          <w:szCs w:val="24"/>
        </w:rPr>
        <w:t xml:space="preserve">O artigo 7º da EC nº 45/2004 dispunha que: </w:t>
      </w:r>
    </w:p>
    <w:p w:rsidR="00D549BC" w:rsidRPr="00183CE2" w:rsidRDefault="00D549BC" w:rsidP="00525AB8">
      <w:pPr>
        <w:spacing w:after="240" w:line="240" w:lineRule="auto"/>
        <w:ind w:left="2268" w:firstLine="0"/>
        <w:contextualSpacing/>
        <w:rPr>
          <w:rFonts w:ascii="Times New Roman" w:hAnsi="Times New Roman"/>
          <w:szCs w:val="24"/>
        </w:rPr>
      </w:pPr>
      <w:r w:rsidRPr="00183CE2">
        <w:rPr>
          <w:rFonts w:ascii="Times New Roman" w:hAnsi="Times New Roman"/>
          <w:szCs w:val="24"/>
        </w:rPr>
        <w:t>Art. 7º O Congresso Nacional instalará, imediatamente após a promulgação desta Emenda Constitucional, comissão especial mista, destinada a elaborar, em cento e oitenta dias, os projetos de lei necessários à regulamentação da matéria nela tratada, bem como promover alterações na legislação federal objetivando tornar mais amplo o acesso à Justiça e mais célere a prestação jurisdicional.</w:t>
      </w:r>
    </w:p>
    <w:p w:rsidR="00D549BC" w:rsidRDefault="00D549BC" w:rsidP="00AD2179">
      <w:pPr>
        <w:spacing w:after="240"/>
        <w:ind w:firstLine="0"/>
        <w:contextualSpacing/>
        <w:rPr>
          <w:rFonts w:ascii="Times New Roman" w:hAnsi="Times New Roman"/>
          <w:sz w:val="24"/>
          <w:szCs w:val="24"/>
        </w:rPr>
      </w:pPr>
    </w:p>
    <w:p w:rsidR="00D549BC" w:rsidRDefault="00D549BC" w:rsidP="00525AB8">
      <w:pPr>
        <w:spacing w:after="240"/>
        <w:ind w:firstLine="851"/>
        <w:contextualSpacing/>
        <w:rPr>
          <w:rFonts w:ascii="Times New Roman" w:hAnsi="Times New Roman"/>
          <w:sz w:val="24"/>
          <w:szCs w:val="24"/>
        </w:rPr>
      </w:pPr>
      <w:r>
        <w:rPr>
          <w:rFonts w:ascii="Times New Roman" w:hAnsi="Times New Roman"/>
          <w:sz w:val="24"/>
          <w:szCs w:val="24"/>
        </w:rPr>
        <w:t xml:space="preserve">Com efeito, o Congresso Nacional, em 19 de dezembro de 2006, editou a Lei 11.418, que acrescentou ao atual Código de Processo Civil os artigos 543-A e 543-B, os quais dispõem sobre o processamento e reconhecimento da </w:t>
      </w:r>
      <w:r w:rsidRPr="006346FC">
        <w:rPr>
          <w:rFonts w:ascii="Times New Roman" w:hAnsi="Times New Roman"/>
          <w:i/>
          <w:sz w:val="24"/>
          <w:szCs w:val="24"/>
        </w:rPr>
        <w:t>Repercussão Geral</w:t>
      </w:r>
      <w:r>
        <w:rPr>
          <w:rFonts w:ascii="Times New Roman" w:hAnsi="Times New Roman"/>
          <w:sz w:val="24"/>
          <w:szCs w:val="24"/>
        </w:rPr>
        <w:t xml:space="preserve"> no Recurso Extraordinário. </w:t>
      </w:r>
    </w:p>
    <w:p w:rsidR="00D549BC" w:rsidRDefault="00D549BC" w:rsidP="00525AB8">
      <w:pPr>
        <w:spacing w:after="240"/>
        <w:ind w:firstLine="851"/>
        <w:contextualSpacing/>
        <w:rPr>
          <w:rFonts w:ascii="Times New Roman" w:hAnsi="Times New Roman"/>
          <w:sz w:val="24"/>
          <w:szCs w:val="24"/>
        </w:rPr>
      </w:pPr>
    </w:p>
    <w:p w:rsidR="00D549BC" w:rsidRPr="00074F56" w:rsidRDefault="00D549BC" w:rsidP="00114C99">
      <w:pPr>
        <w:spacing w:after="240"/>
        <w:ind w:firstLine="0"/>
        <w:contextualSpacing/>
        <w:rPr>
          <w:rFonts w:ascii="Times New Roman" w:hAnsi="Times New Roman"/>
          <w:b/>
          <w:sz w:val="24"/>
        </w:rPr>
      </w:pPr>
      <w:r w:rsidRPr="00074F56">
        <w:rPr>
          <w:rFonts w:ascii="Times New Roman" w:hAnsi="Times New Roman"/>
          <w:b/>
          <w:sz w:val="24"/>
        </w:rPr>
        <w:t>4.2.1</w:t>
      </w:r>
      <w:r w:rsidRPr="00074F56">
        <w:rPr>
          <w:rFonts w:ascii="Times New Roman" w:hAnsi="Times New Roman"/>
          <w:b/>
          <w:sz w:val="24"/>
        </w:rPr>
        <w:tab/>
        <w:t>A Repercussão Geral e a Lei 11.418, de 19 de dezembro de 2006</w:t>
      </w:r>
    </w:p>
    <w:p w:rsidR="00D549BC" w:rsidRDefault="00D549BC" w:rsidP="00114C99">
      <w:pPr>
        <w:spacing w:after="240"/>
        <w:ind w:firstLine="0"/>
        <w:contextualSpacing/>
        <w:rPr>
          <w:rFonts w:ascii="Times New Roman" w:hAnsi="Times New Roman"/>
          <w:sz w:val="24"/>
        </w:rPr>
      </w:pPr>
    </w:p>
    <w:p w:rsidR="00D549BC" w:rsidRPr="00114C99" w:rsidRDefault="00D549BC" w:rsidP="002E1ADF">
      <w:pPr>
        <w:spacing w:after="240"/>
        <w:contextualSpacing/>
        <w:rPr>
          <w:rFonts w:ascii="Times New Roman" w:hAnsi="Times New Roman"/>
          <w:sz w:val="28"/>
          <w:szCs w:val="24"/>
        </w:rPr>
      </w:pPr>
      <w:r>
        <w:rPr>
          <w:rFonts w:ascii="Times New Roman" w:hAnsi="Times New Roman"/>
          <w:sz w:val="24"/>
        </w:rPr>
        <w:t>O artigo 543-A do CPC dispõe que: “</w:t>
      </w:r>
      <w:r w:rsidRPr="00114C99">
        <w:rPr>
          <w:rFonts w:ascii="Times New Roman" w:hAnsi="Times New Roman"/>
          <w:i/>
          <w:sz w:val="24"/>
        </w:rPr>
        <w:t>o Supremo Tribunal Federal, em decisão irrecorrível, não conhecerá do recurso extraordinário, quando a questão constitucional nele versada não oferecer repercussão geral, nos termos deste artigo</w:t>
      </w:r>
      <w:r>
        <w:rPr>
          <w:rFonts w:ascii="Times New Roman" w:hAnsi="Times New Roman"/>
          <w:sz w:val="24"/>
        </w:rPr>
        <w:t xml:space="preserve">”. A definição legal do que se considera para efeitos da Repercussão Geral veio inserida no § 1º do art. 543-A do CPC, vejamos: </w:t>
      </w:r>
      <w:r w:rsidRPr="000E6297">
        <w:rPr>
          <w:rFonts w:ascii="Times New Roman" w:hAnsi="Times New Roman"/>
          <w:sz w:val="24"/>
          <w:szCs w:val="24"/>
        </w:rPr>
        <w:t>“</w:t>
      </w:r>
      <w:r w:rsidRPr="000E6297">
        <w:rPr>
          <w:rFonts w:ascii="Times New Roman" w:hAnsi="Times New Roman"/>
          <w:b/>
          <w:i/>
          <w:sz w:val="24"/>
          <w:szCs w:val="24"/>
        </w:rPr>
        <w:t>§ 1º</w:t>
      </w:r>
      <w:r w:rsidRPr="000E6297">
        <w:rPr>
          <w:rFonts w:ascii="Times New Roman" w:hAnsi="Times New Roman"/>
          <w:sz w:val="24"/>
          <w:szCs w:val="24"/>
        </w:rPr>
        <w:t xml:space="preserve"> </w:t>
      </w:r>
      <w:r w:rsidRPr="000E6297">
        <w:rPr>
          <w:rFonts w:ascii="Times New Roman" w:hAnsi="Times New Roman"/>
          <w:b/>
          <w:i/>
          <w:sz w:val="24"/>
          <w:szCs w:val="24"/>
        </w:rPr>
        <w:t>Para efeito da repercussão geral, será considerada a existência, ou não, de questões relevantes do ponto de vista econômico, político, social ou jurídico, que ultrapassem os interesses subjetivos da causa</w:t>
      </w:r>
      <w:r>
        <w:rPr>
          <w:rFonts w:ascii="Times New Roman" w:hAnsi="Times New Roman"/>
          <w:i/>
          <w:sz w:val="24"/>
          <w:szCs w:val="24"/>
        </w:rPr>
        <w:t>.</w:t>
      </w:r>
      <w:r w:rsidRPr="000E6297">
        <w:rPr>
          <w:rFonts w:ascii="Times New Roman" w:hAnsi="Times New Roman"/>
          <w:i/>
          <w:sz w:val="24"/>
          <w:szCs w:val="24"/>
        </w:rPr>
        <w:t>”</w:t>
      </w:r>
      <w:r>
        <w:rPr>
          <w:rFonts w:ascii="Times New Roman" w:hAnsi="Times New Roman"/>
          <w:sz w:val="24"/>
        </w:rPr>
        <w:t xml:space="preserve"> </w:t>
      </w:r>
    </w:p>
    <w:p w:rsidR="00D549BC" w:rsidRDefault="00D549BC" w:rsidP="002E1ADF">
      <w:pPr>
        <w:spacing w:after="240"/>
        <w:contextualSpacing/>
        <w:rPr>
          <w:rFonts w:ascii="Times New Roman" w:hAnsi="Times New Roman"/>
          <w:sz w:val="24"/>
          <w:szCs w:val="24"/>
        </w:rPr>
      </w:pPr>
      <w:r>
        <w:rPr>
          <w:rFonts w:ascii="Times New Roman" w:hAnsi="Times New Roman"/>
          <w:sz w:val="24"/>
          <w:szCs w:val="24"/>
        </w:rPr>
        <w:t xml:space="preserve">   O parágrafo seguinte, do art. 543-A do CPC, estabelece que “</w:t>
      </w:r>
      <w:r w:rsidRPr="00FD5F22">
        <w:rPr>
          <w:rFonts w:ascii="Times New Roman" w:hAnsi="Times New Roman"/>
          <w:i/>
          <w:sz w:val="24"/>
          <w:szCs w:val="24"/>
        </w:rPr>
        <w:t>o recorrente deverá demonstrar, em preliminar do recurso, para apreciação exclusiva do Supremo Tribunal Federal, a existência da repercussão geral</w:t>
      </w:r>
      <w:r>
        <w:rPr>
          <w:rFonts w:ascii="Times New Roman" w:hAnsi="Times New Roman"/>
          <w:sz w:val="24"/>
          <w:szCs w:val="24"/>
        </w:rPr>
        <w:t xml:space="preserve">.” </w:t>
      </w:r>
    </w:p>
    <w:p w:rsidR="00D549BC" w:rsidRDefault="00D549BC" w:rsidP="00077AC1">
      <w:pPr>
        <w:spacing w:after="240"/>
        <w:contextualSpacing/>
        <w:rPr>
          <w:rFonts w:ascii="Times New Roman" w:hAnsi="Times New Roman"/>
          <w:sz w:val="24"/>
          <w:szCs w:val="24"/>
        </w:rPr>
      </w:pPr>
      <w:r w:rsidRPr="00CF6F6B">
        <w:rPr>
          <w:rFonts w:ascii="Times New Roman" w:hAnsi="Times New Roman"/>
          <w:sz w:val="24"/>
          <w:szCs w:val="24"/>
        </w:rPr>
        <w:t xml:space="preserve">A partir do momento em que existe a alegação de </w:t>
      </w:r>
      <w:r>
        <w:rPr>
          <w:rFonts w:ascii="Times New Roman" w:hAnsi="Times New Roman"/>
          <w:sz w:val="24"/>
          <w:szCs w:val="24"/>
        </w:rPr>
        <w:t>R</w:t>
      </w:r>
      <w:r w:rsidRPr="00CF6F6B">
        <w:rPr>
          <w:rFonts w:ascii="Times New Roman" w:hAnsi="Times New Roman"/>
          <w:sz w:val="24"/>
          <w:szCs w:val="24"/>
        </w:rPr>
        <w:t>epe</w:t>
      </w:r>
      <w:r>
        <w:rPr>
          <w:rFonts w:ascii="Times New Roman" w:hAnsi="Times New Roman"/>
          <w:sz w:val="24"/>
          <w:szCs w:val="24"/>
        </w:rPr>
        <w:t>rcussão G</w:t>
      </w:r>
      <w:r w:rsidRPr="00CF6F6B">
        <w:rPr>
          <w:rFonts w:ascii="Times New Roman" w:hAnsi="Times New Roman"/>
          <w:sz w:val="24"/>
          <w:szCs w:val="24"/>
        </w:rPr>
        <w:t>eral</w:t>
      </w:r>
      <w:r>
        <w:rPr>
          <w:rFonts w:ascii="Times New Roman" w:hAnsi="Times New Roman"/>
          <w:sz w:val="24"/>
          <w:szCs w:val="24"/>
        </w:rPr>
        <w:t xml:space="preserve"> </w:t>
      </w:r>
      <w:r w:rsidRPr="00CF6F6B">
        <w:rPr>
          <w:rFonts w:ascii="Times New Roman" w:hAnsi="Times New Roman"/>
          <w:sz w:val="24"/>
          <w:szCs w:val="24"/>
        </w:rPr>
        <w:t>da questão constitucional – com a sua devida fundamentação, na medida em que o artigo</w:t>
      </w:r>
      <w:r>
        <w:rPr>
          <w:rFonts w:ascii="Times New Roman" w:hAnsi="Times New Roman"/>
          <w:sz w:val="24"/>
          <w:szCs w:val="24"/>
        </w:rPr>
        <w:t xml:space="preserve"> </w:t>
      </w:r>
      <w:r w:rsidRPr="00CF6F6B">
        <w:rPr>
          <w:rFonts w:ascii="Times New Roman" w:hAnsi="Times New Roman"/>
          <w:sz w:val="24"/>
          <w:szCs w:val="24"/>
        </w:rPr>
        <w:t>543-A, § 2º do CPC</w:t>
      </w:r>
      <w:r>
        <w:rPr>
          <w:rFonts w:ascii="Times New Roman" w:hAnsi="Times New Roman"/>
          <w:sz w:val="24"/>
          <w:szCs w:val="24"/>
        </w:rPr>
        <w:t xml:space="preserve"> </w:t>
      </w:r>
      <w:r w:rsidRPr="00CF6F6B">
        <w:rPr>
          <w:rFonts w:ascii="Times New Roman" w:hAnsi="Times New Roman"/>
          <w:sz w:val="24"/>
          <w:szCs w:val="24"/>
        </w:rPr>
        <w:t>exige que ela seja demonstrada –</w:t>
      </w:r>
      <w:r>
        <w:rPr>
          <w:rFonts w:ascii="Times New Roman" w:hAnsi="Times New Roman"/>
          <w:sz w:val="24"/>
          <w:szCs w:val="24"/>
        </w:rPr>
        <w:t>,</w:t>
      </w:r>
      <w:r w:rsidRPr="00CF6F6B">
        <w:rPr>
          <w:rFonts w:ascii="Times New Roman" w:hAnsi="Times New Roman"/>
          <w:sz w:val="24"/>
          <w:szCs w:val="24"/>
        </w:rPr>
        <w:t xml:space="preserve"> somente o</w:t>
      </w:r>
      <w:r>
        <w:rPr>
          <w:rFonts w:ascii="Times New Roman" w:hAnsi="Times New Roman"/>
          <w:sz w:val="24"/>
          <w:szCs w:val="24"/>
        </w:rPr>
        <w:t xml:space="preserve"> </w:t>
      </w:r>
      <w:r w:rsidRPr="00CF6F6B">
        <w:rPr>
          <w:rFonts w:ascii="Times New Roman" w:hAnsi="Times New Roman"/>
          <w:sz w:val="24"/>
          <w:szCs w:val="24"/>
        </w:rPr>
        <w:t xml:space="preserve">Excelso Pretório poderá analisar se esse requisito de admissibilidade </w:t>
      </w:r>
      <w:r>
        <w:rPr>
          <w:rFonts w:ascii="Times New Roman" w:hAnsi="Times New Roman"/>
          <w:sz w:val="24"/>
          <w:szCs w:val="24"/>
        </w:rPr>
        <w:t>do R</w:t>
      </w:r>
      <w:r w:rsidRPr="00CF6F6B">
        <w:rPr>
          <w:rFonts w:ascii="Times New Roman" w:hAnsi="Times New Roman"/>
          <w:sz w:val="24"/>
          <w:szCs w:val="24"/>
        </w:rPr>
        <w:t>ecurso</w:t>
      </w:r>
      <w:r>
        <w:rPr>
          <w:rFonts w:ascii="Times New Roman" w:hAnsi="Times New Roman"/>
          <w:sz w:val="24"/>
          <w:szCs w:val="24"/>
        </w:rPr>
        <w:t xml:space="preserve"> E</w:t>
      </w:r>
      <w:r w:rsidRPr="00CF6F6B">
        <w:rPr>
          <w:rFonts w:ascii="Times New Roman" w:hAnsi="Times New Roman"/>
          <w:sz w:val="24"/>
          <w:szCs w:val="24"/>
        </w:rPr>
        <w:t>xtraordinário se faz ou não presente</w:t>
      </w:r>
      <w:r>
        <w:rPr>
          <w:rFonts w:ascii="Times New Roman" w:hAnsi="Times New Roman"/>
          <w:sz w:val="24"/>
          <w:szCs w:val="24"/>
        </w:rPr>
        <w:t>.</w:t>
      </w:r>
    </w:p>
    <w:p w:rsidR="00D549BC" w:rsidRDefault="00D549BC" w:rsidP="00A35401">
      <w:pPr>
        <w:spacing w:after="240"/>
        <w:contextualSpacing/>
        <w:rPr>
          <w:rFonts w:ascii="Times New Roman" w:hAnsi="Times New Roman"/>
          <w:sz w:val="24"/>
          <w:szCs w:val="24"/>
        </w:rPr>
      </w:pPr>
      <w:r>
        <w:rPr>
          <w:rFonts w:ascii="Times New Roman" w:hAnsi="Times New Roman"/>
          <w:sz w:val="24"/>
          <w:szCs w:val="24"/>
        </w:rPr>
        <w:t>A e</w:t>
      </w:r>
      <w:r w:rsidRPr="00CF6F6B">
        <w:rPr>
          <w:rFonts w:ascii="Times New Roman" w:hAnsi="Times New Roman"/>
          <w:sz w:val="24"/>
          <w:szCs w:val="24"/>
        </w:rPr>
        <w:t xml:space="preserve">ventual inobservância do preceito </w:t>
      </w:r>
      <w:r>
        <w:rPr>
          <w:rFonts w:ascii="Times New Roman" w:hAnsi="Times New Roman"/>
          <w:sz w:val="24"/>
          <w:szCs w:val="24"/>
        </w:rPr>
        <w:t>autori</w:t>
      </w:r>
      <w:r w:rsidRPr="00CF6F6B">
        <w:rPr>
          <w:rFonts w:ascii="Times New Roman" w:hAnsi="Times New Roman"/>
          <w:sz w:val="24"/>
          <w:szCs w:val="24"/>
        </w:rPr>
        <w:t>zaria a apresentação de</w:t>
      </w:r>
      <w:r>
        <w:rPr>
          <w:rFonts w:ascii="Times New Roman" w:hAnsi="Times New Roman"/>
          <w:sz w:val="24"/>
          <w:szCs w:val="24"/>
        </w:rPr>
        <w:t xml:space="preserve"> R</w:t>
      </w:r>
      <w:r w:rsidRPr="00CF6F6B">
        <w:rPr>
          <w:rFonts w:ascii="Times New Roman" w:hAnsi="Times New Roman"/>
          <w:sz w:val="24"/>
          <w:szCs w:val="24"/>
        </w:rPr>
        <w:t>eclamação</w:t>
      </w:r>
      <w:r>
        <w:rPr>
          <w:rFonts w:ascii="Times New Roman" w:hAnsi="Times New Roman"/>
          <w:sz w:val="24"/>
          <w:szCs w:val="24"/>
        </w:rPr>
        <w:t xml:space="preserve"> Constitucional ao STF</w:t>
      </w:r>
      <w:r w:rsidRPr="00CF6F6B">
        <w:rPr>
          <w:rFonts w:ascii="Times New Roman" w:hAnsi="Times New Roman"/>
          <w:sz w:val="24"/>
          <w:szCs w:val="24"/>
        </w:rPr>
        <w:t xml:space="preserve">, para preservação de sua competência, nos termos do artigo 102, inciso I, </w:t>
      </w:r>
      <w:r w:rsidRPr="00CF6F6B">
        <w:rPr>
          <w:rFonts w:ascii="Times New Roman" w:hAnsi="Times New Roman"/>
          <w:i/>
          <w:sz w:val="24"/>
          <w:szCs w:val="24"/>
        </w:rPr>
        <w:t>l</w:t>
      </w:r>
      <w:r w:rsidRPr="00CF6F6B">
        <w:rPr>
          <w:rFonts w:ascii="Times New Roman" w:hAnsi="Times New Roman"/>
          <w:sz w:val="24"/>
          <w:szCs w:val="24"/>
        </w:rPr>
        <w:t>, da C</w:t>
      </w:r>
      <w:r>
        <w:rPr>
          <w:rFonts w:ascii="Times New Roman" w:hAnsi="Times New Roman"/>
          <w:sz w:val="24"/>
          <w:szCs w:val="24"/>
        </w:rPr>
        <w:t>R</w:t>
      </w:r>
      <w:r w:rsidRPr="00CF6F6B">
        <w:rPr>
          <w:rFonts w:ascii="Times New Roman" w:hAnsi="Times New Roman"/>
          <w:sz w:val="24"/>
          <w:szCs w:val="24"/>
        </w:rPr>
        <w:t>F</w:t>
      </w:r>
      <w:r>
        <w:rPr>
          <w:rFonts w:ascii="Times New Roman" w:hAnsi="Times New Roman"/>
          <w:sz w:val="24"/>
          <w:szCs w:val="24"/>
        </w:rPr>
        <w:t xml:space="preserve">B/88. Dessa forma, invocar a </w:t>
      </w:r>
      <w:r w:rsidRPr="00FD5F22">
        <w:rPr>
          <w:rFonts w:ascii="Times New Roman" w:hAnsi="Times New Roman"/>
          <w:sz w:val="24"/>
          <w:szCs w:val="24"/>
        </w:rPr>
        <w:t>Repercussão Geral das questões constitucionais</w:t>
      </w:r>
      <w:r>
        <w:rPr>
          <w:rFonts w:ascii="Times New Roman" w:hAnsi="Times New Roman"/>
          <w:sz w:val="24"/>
          <w:szCs w:val="24"/>
        </w:rPr>
        <w:t xml:space="preserve"> </w:t>
      </w:r>
      <w:r w:rsidRPr="00FD5F22">
        <w:rPr>
          <w:rFonts w:ascii="Times New Roman" w:hAnsi="Times New Roman"/>
          <w:sz w:val="24"/>
          <w:szCs w:val="24"/>
        </w:rPr>
        <w:t>que</w:t>
      </w:r>
      <w:r>
        <w:rPr>
          <w:rFonts w:ascii="Times New Roman" w:hAnsi="Times New Roman"/>
          <w:sz w:val="24"/>
          <w:szCs w:val="24"/>
        </w:rPr>
        <w:t xml:space="preserve"> fundamentam a interposição do R</w:t>
      </w:r>
      <w:r w:rsidRPr="00FD5F22">
        <w:rPr>
          <w:rFonts w:ascii="Times New Roman" w:hAnsi="Times New Roman"/>
          <w:sz w:val="24"/>
          <w:szCs w:val="24"/>
        </w:rPr>
        <w:t xml:space="preserve">ecurso </w:t>
      </w:r>
      <w:r>
        <w:rPr>
          <w:rFonts w:ascii="Times New Roman" w:hAnsi="Times New Roman"/>
          <w:sz w:val="24"/>
          <w:szCs w:val="24"/>
        </w:rPr>
        <w:t>E</w:t>
      </w:r>
      <w:r w:rsidRPr="00FD5F22">
        <w:rPr>
          <w:rFonts w:ascii="Times New Roman" w:hAnsi="Times New Roman"/>
          <w:sz w:val="24"/>
          <w:szCs w:val="24"/>
        </w:rPr>
        <w:t>xtraordinário tornou-se um ônus do</w:t>
      </w:r>
      <w:r>
        <w:rPr>
          <w:rFonts w:ascii="Times New Roman" w:hAnsi="Times New Roman"/>
          <w:sz w:val="24"/>
          <w:szCs w:val="24"/>
        </w:rPr>
        <w:t xml:space="preserve"> recorrente, tal qual afirmara</w:t>
      </w:r>
      <w:r w:rsidRPr="00FD5F22">
        <w:rPr>
          <w:rFonts w:ascii="Times New Roman" w:hAnsi="Times New Roman"/>
          <w:sz w:val="24"/>
          <w:szCs w:val="24"/>
        </w:rPr>
        <w:t xml:space="preserve"> o S</w:t>
      </w:r>
      <w:r>
        <w:rPr>
          <w:rFonts w:ascii="Times New Roman" w:hAnsi="Times New Roman"/>
          <w:sz w:val="24"/>
          <w:szCs w:val="24"/>
        </w:rPr>
        <w:t>T</w:t>
      </w:r>
      <w:r w:rsidRPr="00FD5F22">
        <w:rPr>
          <w:rFonts w:ascii="Times New Roman" w:hAnsi="Times New Roman"/>
          <w:sz w:val="24"/>
          <w:szCs w:val="24"/>
        </w:rPr>
        <w:t>F, no julgamento da Questão de</w:t>
      </w:r>
      <w:r>
        <w:rPr>
          <w:rFonts w:ascii="Times New Roman" w:hAnsi="Times New Roman"/>
          <w:sz w:val="24"/>
          <w:szCs w:val="24"/>
        </w:rPr>
        <w:t xml:space="preserve"> </w:t>
      </w:r>
      <w:r w:rsidRPr="00FD5F22">
        <w:rPr>
          <w:rFonts w:ascii="Times New Roman" w:hAnsi="Times New Roman"/>
          <w:sz w:val="24"/>
          <w:szCs w:val="24"/>
        </w:rPr>
        <w:t>Ordem no Ag</w:t>
      </w:r>
      <w:r>
        <w:rPr>
          <w:rFonts w:ascii="Times New Roman" w:hAnsi="Times New Roman"/>
          <w:sz w:val="24"/>
          <w:szCs w:val="24"/>
        </w:rPr>
        <w:t>ravo de Instrumento nº 664.567</w:t>
      </w:r>
      <w:r w:rsidRPr="00FD5F22">
        <w:rPr>
          <w:rFonts w:ascii="Times New Roman" w:hAnsi="Times New Roman"/>
          <w:sz w:val="24"/>
          <w:szCs w:val="24"/>
        </w:rPr>
        <w:t>/RS. Naquela oportunidade, o Plenário</w:t>
      </w:r>
      <w:r>
        <w:rPr>
          <w:rFonts w:ascii="Times New Roman" w:hAnsi="Times New Roman"/>
          <w:sz w:val="24"/>
          <w:szCs w:val="24"/>
        </w:rPr>
        <w:t xml:space="preserve"> </w:t>
      </w:r>
      <w:r w:rsidRPr="00FD5F22">
        <w:rPr>
          <w:rFonts w:ascii="Times New Roman" w:hAnsi="Times New Roman"/>
          <w:sz w:val="24"/>
          <w:szCs w:val="24"/>
        </w:rPr>
        <w:t>deixou consignado, por unanimidade, tratar-se de “</w:t>
      </w:r>
      <w:r w:rsidRPr="002E6A34">
        <w:rPr>
          <w:rFonts w:ascii="Times New Roman" w:hAnsi="Times New Roman"/>
          <w:i/>
          <w:sz w:val="24"/>
          <w:szCs w:val="24"/>
        </w:rPr>
        <w:t>requisito formal, ônus do recorrente, que, se dele não se desincumbir, impede a análise efetiva da repercussão geral</w:t>
      </w:r>
      <w:r>
        <w:rPr>
          <w:rFonts w:ascii="Times New Roman" w:hAnsi="Times New Roman"/>
          <w:i/>
          <w:sz w:val="24"/>
          <w:szCs w:val="24"/>
        </w:rPr>
        <w:t>.</w:t>
      </w:r>
      <w:r>
        <w:rPr>
          <w:rFonts w:ascii="Times New Roman" w:hAnsi="Times New Roman"/>
          <w:sz w:val="24"/>
          <w:szCs w:val="24"/>
        </w:rPr>
        <w:t>”</w:t>
      </w:r>
      <w:r>
        <w:rPr>
          <w:rStyle w:val="FootnoteReference"/>
          <w:rFonts w:ascii="Times New Roman" w:hAnsi="Times New Roman"/>
          <w:sz w:val="24"/>
          <w:szCs w:val="24"/>
        </w:rPr>
        <w:footnoteReference w:id="184"/>
      </w:r>
    </w:p>
    <w:p w:rsidR="00D549BC" w:rsidRDefault="00D549BC" w:rsidP="00A108B0">
      <w:pPr>
        <w:spacing w:after="240"/>
        <w:contextualSpacing/>
        <w:rPr>
          <w:rFonts w:ascii="Times New Roman" w:hAnsi="Times New Roman"/>
          <w:sz w:val="24"/>
          <w:szCs w:val="24"/>
        </w:rPr>
      </w:pPr>
      <w:r>
        <w:rPr>
          <w:rFonts w:ascii="Times New Roman" w:hAnsi="Times New Roman"/>
          <w:sz w:val="24"/>
          <w:szCs w:val="24"/>
        </w:rPr>
        <w:t xml:space="preserve">No julgamento do AI 664.567/RS, ficou estabelecido ainda que, embora se tenha fixado um prazo de 60 dias de </w:t>
      </w:r>
      <w:r w:rsidRPr="00C216D3">
        <w:rPr>
          <w:rFonts w:ascii="Times New Roman" w:hAnsi="Times New Roman"/>
          <w:i/>
          <w:sz w:val="24"/>
          <w:szCs w:val="24"/>
        </w:rPr>
        <w:t>vacatio legis</w:t>
      </w:r>
      <w:r>
        <w:rPr>
          <w:rFonts w:ascii="Times New Roman" w:hAnsi="Times New Roman"/>
          <w:sz w:val="24"/>
          <w:szCs w:val="24"/>
        </w:rPr>
        <w:t xml:space="preserve"> para a entrada em vigor da Lei 11.418, de 19 de dezembro de 2006,</w:t>
      </w:r>
      <w:r>
        <w:rPr>
          <w:rStyle w:val="FootnoteReference"/>
          <w:rFonts w:ascii="Times New Roman" w:hAnsi="Times New Roman"/>
          <w:sz w:val="24"/>
          <w:szCs w:val="24"/>
        </w:rPr>
        <w:footnoteReference w:id="185"/>
      </w:r>
      <w:r>
        <w:rPr>
          <w:rFonts w:ascii="Times New Roman" w:hAnsi="Times New Roman"/>
          <w:sz w:val="24"/>
          <w:szCs w:val="24"/>
        </w:rPr>
        <w:t xml:space="preserve"> a demonstração da existência de Repercussão Geral apenas é obrigatória a partir da Emenda Regimental nº 21, de 30 de abril de 2007, que passou a regulamentar a matéria. Logo, todos os REs interpostos após a entrada em vigor da Emenda Regimental nº 21 de 2007 são obrigados a demonstrarem a preliminar de Repercussão Geral.</w:t>
      </w:r>
    </w:p>
    <w:p w:rsidR="00D549BC" w:rsidRDefault="00D549BC" w:rsidP="00FD5F22">
      <w:pPr>
        <w:spacing w:after="240"/>
        <w:ind w:firstLine="851"/>
        <w:contextualSpacing/>
        <w:rPr>
          <w:rFonts w:ascii="Times New Roman" w:hAnsi="Times New Roman"/>
          <w:sz w:val="24"/>
          <w:szCs w:val="24"/>
        </w:rPr>
      </w:pPr>
    </w:p>
    <w:p w:rsidR="00D549BC" w:rsidRDefault="00D549BC" w:rsidP="002867B0">
      <w:pPr>
        <w:spacing w:after="240"/>
        <w:ind w:firstLine="0"/>
        <w:contextualSpacing/>
        <w:rPr>
          <w:rFonts w:ascii="Times New Roman" w:hAnsi="Times New Roman"/>
          <w:sz w:val="24"/>
          <w:szCs w:val="24"/>
        </w:rPr>
      </w:pPr>
      <w:r>
        <w:rPr>
          <w:rFonts w:ascii="Times New Roman" w:hAnsi="Times New Roman"/>
          <w:sz w:val="24"/>
          <w:szCs w:val="24"/>
        </w:rPr>
        <w:t>4.2.1.1 Repercussão Geral presumida: art. 543-A, § 3º do CPC</w:t>
      </w:r>
    </w:p>
    <w:p w:rsidR="00D549BC" w:rsidRDefault="00D549BC" w:rsidP="002867B0">
      <w:pPr>
        <w:spacing w:after="240"/>
        <w:ind w:firstLine="0"/>
        <w:contextualSpacing/>
        <w:rPr>
          <w:rFonts w:ascii="Times New Roman" w:hAnsi="Times New Roman"/>
          <w:sz w:val="24"/>
          <w:szCs w:val="24"/>
        </w:rPr>
      </w:pPr>
    </w:p>
    <w:p w:rsidR="00D549BC" w:rsidRDefault="00D549BC" w:rsidP="00A108B0">
      <w:pPr>
        <w:spacing w:after="240"/>
        <w:contextualSpacing/>
        <w:rPr>
          <w:rFonts w:ascii="Times New Roman" w:hAnsi="Times New Roman"/>
          <w:sz w:val="24"/>
          <w:szCs w:val="24"/>
        </w:rPr>
      </w:pPr>
      <w:r w:rsidRPr="007B23D2">
        <w:rPr>
          <w:rFonts w:ascii="Times New Roman" w:hAnsi="Times New Roman"/>
          <w:sz w:val="24"/>
          <w:szCs w:val="24"/>
        </w:rPr>
        <w:t>A única possib</w:t>
      </w:r>
      <w:r>
        <w:rPr>
          <w:rFonts w:ascii="Times New Roman" w:hAnsi="Times New Roman"/>
          <w:sz w:val="24"/>
          <w:szCs w:val="24"/>
        </w:rPr>
        <w:t>ilidade de não demonstração da R</w:t>
      </w:r>
      <w:r w:rsidRPr="007B23D2">
        <w:rPr>
          <w:rFonts w:ascii="Times New Roman" w:hAnsi="Times New Roman"/>
          <w:sz w:val="24"/>
          <w:szCs w:val="24"/>
        </w:rPr>
        <w:t xml:space="preserve">epercussão </w:t>
      </w:r>
      <w:r>
        <w:rPr>
          <w:rFonts w:ascii="Times New Roman" w:hAnsi="Times New Roman"/>
          <w:sz w:val="24"/>
          <w:szCs w:val="24"/>
        </w:rPr>
        <w:t>G</w:t>
      </w:r>
      <w:r w:rsidRPr="007B23D2">
        <w:rPr>
          <w:rFonts w:ascii="Times New Roman" w:hAnsi="Times New Roman"/>
          <w:sz w:val="24"/>
          <w:szCs w:val="24"/>
        </w:rPr>
        <w:t>eral é quando esta</w:t>
      </w:r>
      <w:r>
        <w:rPr>
          <w:rFonts w:ascii="Times New Roman" w:hAnsi="Times New Roman"/>
          <w:sz w:val="24"/>
          <w:szCs w:val="24"/>
        </w:rPr>
        <w:t xml:space="preserve"> for presumida. Presumir</w:t>
      </w:r>
      <w:r w:rsidRPr="007B23D2">
        <w:rPr>
          <w:rFonts w:ascii="Times New Roman" w:hAnsi="Times New Roman"/>
          <w:sz w:val="24"/>
          <w:szCs w:val="24"/>
        </w:rPr>
        <w:t xml:space="preserve">-se-á </w:t>
      </w:r>
      <w:r>
        <w:rPr>
          <w:rFonts w:ascii="Times New Roman" w:hAnsi="Times New Roman"/>
          <w:sz w:val="24"/>
          <w:szCs w:val="24"/>
        </w:rPr>
        <w:t xml:space="preserve">a Repercussão Geral </w:t>
      </w:r>
      <w:r w:rsidRPr="007B23D2">
        <w:rPr>
          <w:rFonts w:ascii="Times New Roman" w:hAnsi="Times New Roman"/>
          <w:sz w:val="24"/>
          <w:szCs w:val="24"/>
        </w:rPr>
        <w:t>quan</w:t>
      </w:r>
      <w:r>
        <w:rPr>
          <w:rFonts w:ascii="Times New Roman" w:hAnsi="Times New Roman"/>
          <w:sz w:val="24"/>
          <w:szCs w:val="24"/>
        </w:rPr>
        <w:t>do uma decisão for contrária a s</w:t>
      </w:r>
      <w:r w:rsidRPr="007B23D2">
        <w:rPr>
          <w:rFonts w:ascii="Times New Roman" w:hAnsi="Times New Roman"/>
          <w:sz w:val="24"/>
          <w:szCs w:val="24"/>
        </w:rPr>
        <w:t>úmula</w:t>
      </w:r>
      <w:r>
        <w:rPr>
          <w:rFonts w:ascii="Times New Roman" w:hAnsi="Times New Roman"/>
          <w:sz w:val="24"/>
          <w:szCs w:val="24"/>
        </w:rPr>
        <w:t xml:space="preserve"> não vinculante (súmula simples) </w:t>
      </w:r>
      <w:r w:rsidRPr="007B23D2">
        <w:rPr>
          <w:rFonts w:ascii="Times New Roman" w:hAnsi="Times New Roman"/>
          <w:sz w:val="24"/>
          <w:szCs w:val="24"/>
        </w:rPr>
        <w:t xml:space="preserve">ou </w:t>
      </w:r>
      <w:r>
        <w:rPr>
          <w:rFonts w:ascii="Times New Roman" w:hAnsi="Times New Roman"/>
          <w:sz w:val="24"/>
          <w:szCs w:val="24"/>
        </w:rPr>
        <w:t xml:space="preserve">a </w:t>
      </w:r>
      <w:r w:rsidRPr="007B23D2">
        <w:rPr>
          <w:rFonts w:ascii="Times New Roman" w:hAnsi="Times New Roman"/>
          <w:sz w:val="24"/>
          <w:szCs w:val="24"/>
        </w:rPr>
        <w:t>juri</w:t>
      </w:r>
      <w:r>
        <w:rPr>
          <w:rFonts w:ascii="Times New Roman" w:hAnsi="Times New Roman"/>
          <w:sz w:val="24"/>
          <w:szCs w:val="24"/>
        </w:rPr>
        <w:t>sprudência dominante (não sumulada) do STF</w:t>
      </w:r>
      <w:r w:rsidRPr="007B23D2">
        <w:rPr>
          <w:rFonts w:ascii="Times New Roman" w:hAnsi="Times New Roman"/>
          <w:sz w:val="24"/>
          <w:szCs w:val="24"/>
        </w:rPr>
        <w:t>, co</w:t>
      </w:r>
      <w:r>
        <w:rPr>
          <w:rFonts w:ascii="Times New Roman" w:hAnsi="Times New Roman"/>
          <w:sz w:val="24"/>
          <w:szCs w:val="24"/>
        </w:rPr>
        <w:t>nforme disciplinado no §</w:t>
      </w:r>
      <w:r w:rsidRPr="007B23D2">
        <w:rPr>
          <w:rFonts w:ascii="Times New Roman" w:hAnsi="Times New Roman"/>
          <w:sz w:val="24"/>
          <w:szCs w:val="24"/>
        </w:rPr>
        <w:t xml:space="preserve"> 3º do</w:t>
      </w:r>
      <w:r>
        <w:rPr>
          <w:rFonts w:ascii="Times New Roman" w:hAnsi="Times New Roman"/>
          <w:sz w:val="24"/>
          <w:szCs w:val="24"/>
        </w:rPr>
        <w:t xml:space="preserve"> artigo 543-A do CPC:</w:t>
      </w:r>
      <w:r w:rsidRPr="007B23D2">
        <w:rPr>
          <w:rFonts w:ascii="Times New Roman" w:hAnsi="Times New Roman"/>
          <w:sz w:val="24"/>
          <w:szCs w:val="24"/>
        </w:rPr>
        <w:t xml:space="preserve"> </w:t>
      </w:r>
      <w:r>
        <w:rPr>
          <w:rFonts w:ascii="Times New Roman" w:hAnsi="Times New Roman"/>
          <w:sz w:val="24"/>
          <w:szCs w:val="24"/>
        </w:rPr>
        <w:t>“</w:t>
      </w:r>
      <w:r w:rsidRPr="007B23D2">
        <w:rPr>
          <w:rFonts w:ascii="Times New Roman" w:hAnsi="Times New Roman"/>
          <w:i/>
          <w:sz w:val="24"/>
          <w:szCs w:val="24"/>
        </w:rPr>
        <w:t>haverá repercussão geral sempre que o recurso impugnar decisão contrária a súmula ou jurisprudência dominante do Tribunal</w:t>
      </w:r>
      <w:r w:rsidRPr="007B23D2">
        <w:rPr>
          <w:rFonts w:ascii="Times New Roman" w:hAnsi="Times New Roman"/>
          <w:sz w:val="24"/>
          <w:szCs w:val="24"/>
        </w:rPr>
        <w:t>”.</w:t>
      </w:r>
      <w:r>
        <w:rPr>
          <w:rFonts w:ascii="Times New Roman" w:hAnsi="Times New Roman"/>
          <w:sz w:val="24"/>
          <w:szCs w:val="24"/>
        </w:rPr>
        <w:t xml:space="preserve"> </w:t>
      </w:r>
    </w:p>
    <w:p w:rsidR="00D549BC" w:rsidRDefault="00D549BC" w:rsidP="00A108B0">
      <w:pPr>
        <w:spacing w:after="240"/>
        <w:contextualSpacing/>
        <w:rPr>
          <w:rFonts w:ascii="Times New Roman" w:hAnsi="Times New Roman"/>
          <w:sz w:val="24"/>
          <w:szCs w:val="24"/>
        </w:rPr>
      </w:pPr>
      <w:r>
        <w:rPr>
          <w:rFonts w:ascii="Times New Roman" w:hAnsi="Times New Roman"/>
          <w:sz w:val="24"/>
          <w:szCs w:val="24"/>
        </w:rPr>
        <w:t xml:space="preserve">Essa presunção absoluta da Repercussão Geral gera algumas dúvidas de ordem prática, a saber: (i) a primeira </w:t>
      </w:r>
      <w:r w:rsidRPr="00F07956">
        <w:rPr>
          <w:rFonts w:ascii="Times New Roman" w:hAnsi="Times New Roman"/>
          <w:sz w:val="24"/>
          <w:szCs w:val="24"/>
        </w:rPr>
        <w:t>se refere</w:t>
      </w:r>
      <w:r>
        <w:rPr>
          <w:rFonts w:ascii="Times New Roman" w:hAnsi="Times New Roman"/>
          <w:sz w:val="24"/>
          <w:szCs w:val="24"/>
        </w:rPr>
        <w:t xml:space="preserve"> a necessidade ou não de</w:t>
      </w:r>
      <w:r w:rsidRPr="00F07956">
        <w:rPr>
          <w:rFonts w:ascii="Times New Roman" w:hAnsi="Times New Roman"/>
          <w:sz w:val="24"/>
          <w:szCs w:val="24"/>
        </w:rPr>
        <w:t xml:space="preserve"> manifestação de </w:t>
      </w:r>
      <w:r>
        <w:rPr>
          <w:rFonts w:ascii="Times New Roman" w:hAnsi="Times New Roman"/>
          <w:sz w:val="24"/>
          <w:szCs w:val="24"/>
        </w:rPr>
        <w:t>dois terços</w:t>
      </w:r>
      <w:r w:rsidRPr="00F07956">
        <w:rPr>
          <w:rFonts w:ascii="Times New Roman" w:hAnsi="Times New Roman"/>
          <w:sz w:val="24"/>
          <w:szCs w:val="24"/>
        </w:rPr>
        <w:t xml:space="preserve"> dos</w:t>
      </w:r>
      <w:r>
        <w:rPr>
          <w:rFonts w:ascii="Times New Roman" w:hAnsi="Times New Roman"/>
          <w:sz w:val="24"/>
          <w:szCs w:val="24"/>
        </w:rPr>
        <w:t xml:space="preserve"> membros do S</w:t>
      </w:r>
      <w:r w:rsidRPr="00F07956">
        <w:rPr>
          <w:rFonts w:ascii="Times New Roman" w:hAnsi="Times New Roman"/>
          <w:sz w:val="24"/>
          <w:szCs w:val="24"/>
        </w:rPr>
        <w:t>TF</w:t>
      </w:r>
      <w:r>
        <w:rPr>
          <w:rFonts w:ascii="Times New Roman" w:hAnsi="Times New Roman"/>
          <w:sz w:val="24"/>
          <w:szCs w:val="24"/>
        </w:rPr>
        <w:t xml:space="preserve"> para a rejeição da presunção; (ii) a segunda </w:t>
      </w:r>
      <w:r w:rsidRPr="00F07956">
        <w:rPr>
          <w:rFonts w:ascii="Times New Roman" w:hAnsi="Times New Roman"/>
          <w:sz w:val="24"/>
          <w:szCs w:val="24"/>
        </w:rPr>
        <w:t>seria a possibilidade de</w:t>
      </w:r>
      <w:r>
        <w:rPr>
          <w:rFonts w:ascii="Times New Roman" w:hAnsi="Times New Roman"/>
          <w:sz w:val="24"/>
          <w:szCs w:val="24"/>
        </w:rPr>
        <w:t>, uma</w:t>
      </w:r>
      <w:r w:rsidRPr="00F07956">
        <w:rPr>
          <w:rFonts w:ascii="Times New Roman" w:hAnsi="Times New Roman"/>
          <w:sz w:val="24"/>
          <w:szCs w:val="24"/>
        </w:rPr>
        <w:t xml:space="preserve"> vez</w:t>
      </w:r>
      <w:r>
        <w:rPr>
          <w:rFonts w:ascii="Times New Roman" w:hAnsi="Times New Roman"/>
          <w:sz w:val="24"/>
          <w:szCs w:val="24"/>
        </w:rPr>
        <w:t xml:space="preserve"> </w:t>
      </w:r>
      <w:r w:rsidRPr="00F07956">
        <w:rPr>
          <w:rFonts w:ascii="Times New Roman" w:hAnsi="Times New Roman"/>
          <w:sz w:val="24"/>
          <w:szCs w:val="24"/>
        </w:rPr>
        <w:t>rejeitada a repercussão presumida</w:t>
      </w:r>
      <w:r>
        <w:rPr>
          <w:rFonts w:ascii="Times New Roman" w:hAnsi="Times New Roman"/>
          <w:sz w:val="24"/>
          <w:szCs w:val="24"/>
        </w:rPr>
        <w:t>, aplicar-se o entendimento sedimentado</w:t>
      </w:r>
      <w:r w:rsidRPr="00F07956">
        <w:rPr>
          <w:rFonts w:ascii="Times New Roman" w:hAnsi="Times New Roman"/>
          <w:sz w:val="24"/>
          <w:szCs w:val="24"/>
        </w:rPr>
        <w:t xml:space="preserve"> a outros processos</w:t>
      </w:r>
      <w:r>
        <w:rPr>
          <w:rFonts w:ascii="Times New Roman" w:hAnsi="Times New Roman"/>
          <w:sz w:val="24"/>
          <w:szCs w:val="24"/>
        </w:rPr>
        <w:t xml:space="preserve"> </w:t>
      </w:r>
      <w:r w:rsidRPr="00F07956">
        <w:rPr>
          <w:rFonts w:ascii="Times New Roman" w:hAnsi="Times New Roman"/>
          <w:sz w:val="24"/>
          <w:szCs w:val="24"/>
        </w:rPr>
        <w:t>semelhantes</w:t>
      </w:r>
      <w:r>
        <w:rPr>
          <w:rFonts w:ascii="Times New Roman" w:hAnsi="Times New Roman"/>
          <w:sz w:val="24"/>
          <w:szCs w:val="24"/>
        </w:rPr>
        <w:t xml:space="preserve"> na forma do § 5º do art. 543-A do CPC.</w:t>
      </w:r>
      <w:r>
        <w:rPr>
          <w:rStyle w:val="FootnoteReference"/>
          <w:rFonts w:ascii="Times New Roman" w:hAnsi="Times New Roman"/>
          <w:sz w:val="24"/>
          <w:szCs w:val="24"/>
        </w:rPr>
        <w:footnoteReference w:id="186"/>
      </w:r>
      <w:r>
        <w:rPr>
          <w:rFonts w:ascii="Times New Roman" w:hAnsi="Times New Roman"/>
          <w:sz w:val="24"/>
          <w:szCs w:val="24"/>
        </w:rPr>
        <w:t xml:space="preserve"> </w:t>
      </w:r>
    </w:p>
    <w:p w:rsidR="00D549BC" w:rsidRDefault="00D549BC" w:rsidP="00A108B0">
      <w:pPr>
        <w:spacing w:after="240"/>
        <w:contextualSpacing/>
        <w:rPr>
          <w:rFonts w:ascii="Times New Roman" w:hAnsi="Times New Roman"/>
          <w:sz w:val="24"/>
          <w:szCs w:val="24"/>
        </w:rPr>
      </w:pPr>
      <w:r w:rsidRPr="00214DC9">
        <w:rPr>
          <w:rFonts w:ascii="Times New Roman" w:hAnsi="Times New Roman"/>
          <w:sz w:val="24"/>
          <w:szCs w:val="24"/>
        </w:rPr>
        <w:t>Com relação a</w:t>
      </w:r>
      <w:r>
        <w:rPr>
          <w:rFonts w:ascii="Times New Roman" w:hAnsi="Times New Roman"/>
          <w:sz w:val="24"/>
          <w:szCs w:val="24"/>
        </w:rPr>
        <w:t>o</w:t>
      </w:r>
      <w:r w:rsidRPr="00214DC9">
        <w:rPr>
          <w:rFonts w:ascii="Times New Roman" w:hAnsi="Times New Roman"/>
          <w:sz w:val="24"/>
          <w:szCs w:val="24"/>
        </w:rPr>
        <w:t xml:space="preserve"> </w:t>
      </w:r>
      <w:r w:rsidRPr="009043CE">
        <w:rPr>
          <w:rFonts w:ascii="Times New Roman" w:hAnsi="Times New Roman"/>
          <w:i/>
          <w:sz w:val="24"/>
          <w:szCs w:val="24"/>
        </w:rPr>
        <w:t>quorum</w:t>
      </w:r>
      <w:r w:rsidRPr="00214DC9">
        <w:rPr>
          <w:rFonts w:ascii="Times New Roman" w:hAnsi="Times New Roman"/>
          <w:sz w:val="24"/>
          <w:szCs w:val="24"/>
        </w:rPr>
        <w:t xml:space="preserve"> de</w:t>
      </w:r>
      <w:r>
        <w:rPr>
          <w:rFonts w:ascii="Times New Roman" w:hAnsi="Times New Roman"/>
          <w:sz w:val="24"/>
          <w:szCs w:val="24"/>
        </w:rPr>
        <w:t xml:space="preserve"> dois terços para</w:t>
      </w:r>
      <w:r w:rsidRPr="00214DC9">
        <w:rPr>
          <w:rFonts w:ascii="Times New Roman" w:hAnsi="Times New Roman"/>
          <w:sz w:val="24"/>
          <w:szCs w:val="24"/>
        </w:rPr>
        <w:t xml:space="preserve"> </w:t>
      </w:r>
      <w:r>
        <w:rPr>
          <w:rFonts w:ascii="Times New Roman" w:hAnsi="Times New Roman"/>
          <w:sz w:val="24"/>
          <w:szCs w:val="24"/>
        </w:rPr>
        <w:t>a recusa</w:t>
      </w:r>
      <w:r w:rsidRPr="00214DC9">
        <w:rPr>
          <w:rFonts w:ascii="Times New Roman" w:hAnsi="Times New Roman"/>
          <w:sz w:val="24"/>
          <w:szCs w:val="24"/>
        </w:rPr>
        <w:t xml:space="preserve"> </w:t>
      </w:r>
      <w:r>
        <w:rPr>
          <w:rFonts w:ascii="Times New Roman" w:hAnsi="Times New Roman"/>
          <w:sz w:val="24"/>
          <w:szCs w:val="24"/>
        </w:rPr>
        <w:t>da presunção de</w:t>
      </w:r>
      <w:r w:rsidRPr="00214DC9">
        <w:rPr>
          <w:rFonts w:ascii="Times New Roman" w:hAnsi="Times New Roman"/>
          <w:sz w:val="24"/>
          <w:szCs w:val="24"/>
        </w:rPr>
        <w:t xml:space="preserve"> repercussão, </w:t>
      </w:r>
      <w:r w:rsidRPr="00214DC9">
        <w:rPr>
          <w:rFonts w:ascii="Times New Roman" w:hAnsi="Times New Roman"/>
          <w:i/>
          <w:sz w:val="24"/>
          <w:szCs w:val="24"/>
        </w:rPr>
        <w:t>a priori</w:t>
      </w:r>
      <w:r w:rsidRPr="00214DC9">
        <w:rPr>
          <w:rFonts w:ascii="Times New Roman" w:hAnsi="Times New Roman"/>
          <w:sz w:val="24"/>
          <w:szCs w:val="24"/>
        </w:rPr>
        <w:t>, como se trata de presunção legislativa,</w:t>
      </w:r>
      <w:r>
        <w:rPr>
          <w:rFonts w:ascii="Times New Roman" w:hAnsi="Times New Roman"/>
          <w:sz w:val="24"/>
          <w:szCs w:val="24"/>
        </w:rPr>
        <w:t xml:space="preserve"> </w:t>
      </w:r>
      <w:r w:rsidRPr="00214DC9">
        <w:rPr>
          <w:rFonts w:ascii="Times New Roman" w:hAnsi="Times New Roman"/>
          <w:sz w:val="24"/>
          <w:szCs w:val="24"/>
        </w:rPr>
        <w:t>parece não po</w:t>
      </w:r>
      <w:r>
        <w:rPr>
          <w:rFonts w:ascii="Times New Roman" w:hAnsi="Times New Roman"/>
          <w:sz w:val="24"/>
          <w:szCs w:val="24"/>
        </w:rPr>
        <w:t xml:space="preserve">der ser rejeitada, ainda que atingido o placar de oito votos contrários à presunção. Entretanto, </w:t>
      </w:r>
      <w:r w:rsidRPr="00214DC9">
        <w:rPr>
          <w:rFonts w:ascii="Times New Roman" w:hAnsi="Times New Roman"/>
          <w:sz w:val="24"/>
          <w:szCs w:val="24"/>
        </w:rPr>
        <w:t xml:space="preserve">a </w:t>
      </w:r>
      <w:r>
        <w:rPr>
          <w:rFonts w:ascii="Times New Roman" w:hAnsi="Times New Roman"/>
          <w:sz w:val="24"/>
          <w:szCs w:val="24"/>
        </w:rPr>
        <w:t>presunção de repercussão geral poderá ser afastada, caso fique evidente que</w:t>
      </w:r>
      <w:r w:rsidRPr="00214DC9">
        <w:rPr>
          <w:rFonts w:ascii="Times New Roman" w:hAnsi="Times New Roman"/>
          <w:sz w:val="24"/>
          <w:szCs w:val="24"/>
        </w:rPr>
        <w:t xml:space="preserve"> a súmula </w:t>
      </w:r>
      <w:r>
        <w:rPr>
          <w:rFonts w:ascii="Times New Roman" w:hAnsi="Times New Roman"/>
          <w:sz w:val="24"/>
          <w:szCs w:val="24"/>
        </w:rPr>
        <w:t xml:space="preserve">suscitada pelo recorrente não tem afinidade </w:t>
      </w:r>
      <w:r w:rsidRPr="00214DC9">
        <w:rPr>
          <w:rFonts w:ascii="Times New Roman" w:hAnsi="Times New Roman"/>
          <w:sz w:val="24"/>
          <w:szCs w:val="24"/>
        </w:rPr>
        <w:t>com a</w:t>
      </w:r>
      <w:r>
        <w:rPr>
          <w:rFonts w:ascii="Times New Roman" w:hAnsi="Times New Roman"/>
          <w:sz w:val="24"/>
          <w:szCs w:val="24"/>
        </w:rPr>
        <w:t xml:space="preserve"> questão constitucional</w:t>
      </w:r>
      <w:r w:rsidRPr="00214DC9">
        <w:rPr>
          <w:rFonts w:ascii="Times New Roman" w:hAnsi="Times New Roman"/>
          <w:sz w:val="24"/>
          <w:szCs w:val="24"/>
        </w:rPr>
        <w:t xml:space="preserve"> </w:t>
      </w:r>
      <w:r>
        <w:rPr>
          <w:rFonts w:ascii="Times New Roman" w:hAnsi="Times New Roman"/>
          <w:sz w:val="24"/>
          <w:szCs w:val="24"/>
        </w:rPr>
        <w:t>questionada no R</w:t>
      </w:r>
      <w:r w:rsidRPr="00214DC9">
        <w:rPr>
          <w:rFonts w:ascii="Times New Roman" w:hAnsi="Times New Roman"/>
          <w:sz w:val="24"/>
          <w:szCs w:val="24"/>
        </w:rPr>
        <w:t xml:space="preserve">ecurso </w:t>
      </w:r>
      <w:r>
        <w:rPr>
          <w:rFonts w:ascii="Times New Roman" w:hAnsi="Times New Roman"/>
          <w:sz w:val="24"/>
          <w:szCs w:val="24"/>
        </w:rPr>
        <w:t>E</w:t>
      </w:r>
      <w:r w:rsidRPr="00214DC9">
        <w:rPr>
          <w:rFonts w:ascii="Times New Roman" w:hAnsi="Times New Roman"/>
          <w:sz w:val="24"/>
          <w:szCs w:val="24"/>
        </w:rPr>
        <w:t>xtraordinário</w:t>
      </w:r>
      <w:r>
        <w:rPr>
          <w:rFonts w:ascii="Times New Roman" w:hAnsi="Times New Roman"/>
          <w:sz w:val="24"/>
          <w:szCs w:val="24"/>
        </w:rPr>
        <w:t>,</w:t>
      </w:r>
      <w:r w:rsidRPr="00214DC9">
        <w:rPr>
          <w:rFonts w:ascii="Times New Roman" w:hAnsi="Times New Roman"/>
          <w:sz w:val="24"/>
          <w:szCs w:val="24"/>
        </w:rPr>
        <w:t xml:space="preserve"> ou</w:t>
      </w:r>
      <w:r>
        <w:rPr>
          <w:rFonts w:ascii="Times New Roman" w:hAnsi="Times New Roman"/>
          <w:sz w:val="24"/>
          <w:szCs w:val="24"/>
        </w:rPr>
        <w:t xml:space="preserve"> que </w:t>
      </w:r>
      <w:r w:rsidRPr="00214DC9">
        <w:rPr>
          <w:rFonts w:ascii="Times New Roman" w:hAnsi="Times New Roman"/>
          <w:sz w:val="24"/>
          <w:szCs w:val="24"/>
        </w:rPr>
        <w:t>a jur</w:t>
      </w:r>
      <w:r>
        <w:rPr>
          <w:rFonts w:ascii="Times New Roman" w:hAnsi="Times New Roman"/>
          <w:sz w:val="24"/>
          <w:szCs w:val="24"/>
        </w:rPr>
        <w:t>isprudência invocada não seja aplicável.</w:t>
      </w:r>
      <w:r>
        <w:rPr>
          <w:rStyle w:val="FootnoteReference"/>
          <w:rFonts w:ascii="Times New Roman" w:hAnsi="Times New Roman"/>
          <w:sz w:val="24"/>
          <w:szCs w:val="24"/>
        </w:rPr>
        <w:footnoteReference w:id="187"/>
      </w:r>
      <w:r>
        <w:rPr>
          <w:rFonts w:ascii="Times New Roman" w:hAnsi="Times New Roman"/>
          <w:sz w:val="24"/>
          <w:szCs w:val="24"/>
        </w:rPr>
        <w:t xml:space="preserve"> </w:t>
      </w:r>
    </w:p>
    <w:p w:rsidR="00D549BC" w:rsidRDefault="00D549BC" w:rsidP="00987281">
      <w:pPr>
        <w:spacing w:after="240"/>
        <w:contextualSpacing/>
        <w:rPr>
          <w:rFonts w:ascii="Times New Roman" w:hAnsi="Times New Roman"/>
          <w:sz w:val="24"/>
          <w:szCs w:val="24"/>
        </w:rPr>
      </w:pPr>
      <w:r>
        <w:rPr>
          <w:rFonts w:ascii="Times New Roman" w:hAnsi="Times New Roman"/>
          <w:sz w:val="24"/>
          <w:szCs w:val="24"/>
        </w:rPr>
        <w:t>Dessa forma, nesses dois</w:t>
      </w:r>
      <w:r w:rsidRPr="00214DC9">
        <w:rPr>
          <w:rFonts w:ascii="Times New Roman" w:hAnsi="Times New Roman"/>
          <w:sz w:val="24"/>
          <w:szCs w:val="24"/>
        </w:rPr>
        <w:t xml:space="preserve"> casos</w:t>
      </w:r>
      <w:r>
        <w:rPr>
          <w:rFonts w:ascii="Times New Roman" w:hAnsi="Times New Roman"/>
          <w:sz w:val="24"/>
          <w:szCs w:val="24"/>
        </w:rPr>
        <w:t xml:space="preserve"> (súmula ou jurisprudência não aplicáveis ao RE)</w:t>
      </w:r>
      <w:r w:rsidRPr="00214DC9">
        <w:rPr>
          <w:rFonts w:ascii="Times New Roman" w:hAnsi="Times New Roman"/>
          <w:sz w:val="24"/>
          <w:szCs w:val="24"/>
        </w:rPr>
        <w:t>, mesmo com a</w:t>
      </w:r>
      <w:r>
        <w:rPr>
          <w:rFonts w:ascii="Times New Roman" w:hAnsi="Times New Roman"/>
          <w:sz w:val="24"/>
          <w:szCs w:val="24"/>
        </w:rPr>
        <w:t xml:space="preserve"> alegação de</w:t>
      </w:r>
      <w:r w:rsidRPr="00214DC9">
        <w:rPr>
          <w:rFonts w:ascii="Times New Roman" w:hAnsi="Times New Roman"/>
          <w:sz w:val="24"/>
          <w:szCs w:val="24"/>
        </w:rPr>
        <w:t xml:space="preserve"> presunção, não </w:t>
      </w:r>
      <w:r>
        <w:rPr>
          <w:rFonts w:ascii="Times New Roman" w:hAnsi="Times New Roman"/>
          <w:sz w:val="24"/>
          <w:szCs w:val="24"/>
        </w:rPr>
        <w:t>haveria fundamento</w:t>
      </w:r>
      <w:r w:rsidRPr="00214DC9">
        <w:rPr>
          <w:rFonts w:ascii="Times New Roman" w:hAnsi="Times New Roman"/>
          <w:sz w:val="24"/>
          <w:szCs w:val="24"/>
        </w:rPr>
        <w:t xml:space="preserve"> para se admitir o apelo</w:t>
      </w:r>
      <w:r>
        <w:rPr>
          <w:rFonts w:ascii="Times New Roman" w:hAnsi="Times New Roman"/>
          <w:sz w:val="24"/>
          <w:szCs w:val="24"/>
        </w:rPr>
        <w:t xml:space="preserve"> excepcional</w:t>
      </w:r>
      <w:r w:rsidRPr="00214DC9">
        <w:rPr>
          <w:rFonts w:ascii="Times New Roman" w:hAnsi="Times New Roman"/>
          <w:sz w:val="24"/>
          <w:szCs w:val="24"/>
        </w:rPr>
        <w:t xml:space="preserve"> </w:t>
      </w:r>
      <w:r>
        <w:rPr>
          <w:rFonts w:ascii="Times New Roman" w:hAnsi="Times New Roman"/>
          <w:sz w:val="24"/>
          <w:szCs w:val="24"/>
        </w:rPr>
        <w:t>porque é clara a inexistência do pressuposto de R</w:t>
      </w:r>
      <w:r w:rsidRPr="00214DC9">
        <w:rPr>
          <w:rFonts w:ascii="Times New Roman" w:hAnsi="Times New Roman"/>
          <w:sz w:val="24"/>
          <w:szCs w:val="24"/>
        </w:rPr>
        <w:t xml:space="preserve">epercussão </w:t>
      </w:r>
      <w:r>
        <w:rPr>
          <w:rFonts w:ascii="Times New Roman" w:hAnsi="Times New Roman"/>
          <w:sz w:val="24"/>
          <w:szCs w:val="24"/>
        </w:rPr>
        <w:t>G</w:t>
      </w:r>
      <w:r w:rsidRPr="00214DC9">
        <w:rPr>
          <w:rFonts w:ascii="Times New Roman" w:hAnsi="Times New Roman"/>
          <w:sz w:val="24"/>
          <w:szCs w:val="24"/>
        </w:rPr>
        <w:t>eral</w:t>
      </w:r>
      <w:r>
        <w:rPr>
          <w:rFonts w:ascii="Times New Roman" w:hAnsi="Times New Roman"/>
          <w:sz w:val="24"/>
          <w:szCs w:val="24"/>
        </w:rPr>
        <w:t xml:space="preserve">, devendo-se, por conseguinte, ser observado o </w:t>
      </w:r>
      <w:r w:rsidRPr="00603A87">
        <w:rPr>
          <w:rFonts w:ascii="Times New Roman" w:hAnsi="Times New Roman"/>
          <w:i/>
          <w:sz w:val="24"/>
          <w:szCs w:val="24"/>
        </w:rPr>
        <w:t>quorum</w:t>
      </w:r>
      <w:r>
        <w:rPr>
          <w:rFonts w:ascii="Times New Roman" w:hAnsi="Times New Roman"/>
          <w:sz w:val="24"/>
          <w:szCs w:val="24"/>
        </w:rPr>
        <w:t xml:space="preserve"> previsto no art</w:t>
      </w:r>
      <w:r w:rsidRPr="00214DC9">
        <w:rPr>
          <w:rFonts w:ascii="Times New Roman" w:hAnsi="Times New Roman"/>
          <w:sz w:val="24"/>
          <w:szCs w:val="24"/>
        </w:rPr>
        <w:t>.</w:t>
      </w:r>
      <w:r>
        <w:rPr>
          <w:rFonts w:ascii="Times New Roman" w:hAnsi="Times New Roman"/>
          <w:sz w:val="24"/>
          <w:szCs w:val="24"/>
        </w:rPr>
        <w:t xml:space="preserve"> 102, § 3º da Constituição da República de 1988.  </w:t>
      </w:r>
    </w:p>
    <w:p w:rsidR="00D549BC" w:rsidRDefault="00D549BC" w:rsidP="00987281">
      <w:pPr>
        <w:spacing w:after="240"/>
        <w:contextualSpacing/>
        <w:rPr>
          <w:rFonts w:ascii="Times New Roman" w:hAnsi="Times New Roman"/>
          <w:sz w:val="24"/>
          <w:szCs w:val="24"/>
        </w:rPr>
      </w:pPr>
      <w:r>
        <w:rPr>
          <w:rFonts w:ascii="Times New Roman" w:hAnsi="Times New Roman"/>
          <w:sz w:val="24"/>
          <w:szCs w:val="24"/>
        </w:rPr>
        <w:t xml:space="preserve">O segundo ponto diz respeito à aplicação da decisão que rejeitou a presunção de Repercussão Geral a outros casos semelhantes, ou seja, </w:t>
      </w:r>
      <w:r w:rsidRPr="00A0742F">
        <w:rPr>
          <w:rFonts w:ascii="Times New Roman" w:hAnsi="Times New Roman"/>
          <w:sz w:val="24"/>
          <w:szCs w:val="24"/>
        </w:rPr>
        <w:t>o Supremo reconhecendo não</w:t>
      </w:r>
      <w:r>
        <w:rPr>
          <w:rFonts w:ascii="Times New Roman" w:hAnsi="Times New Roman"/>
          <w:sz w:val="24"/>
          <w:szCs w:val="24"/>
        </w:rPr>
        <w:t xml:space="preserve"> </w:t>
      </w:r>
      <w:r w:rsidRPr="00A0742F">
        <w:rPr>
          <w:rFonts w:ascii="Times New Roman" w:hAnsi="Times New Roman"/>
          <w:sz w:val="24"/>
          <w:szCs w:val="24"/>
        </w:rPr>
        <w:t>haver a presunção</w:t>
      </w:r>
      <w:r>
        <w:rPr>
          <w:rFonts w:ascii="Times New Roman" w:hAnsi="Times New Roman"/>
          <w:sz w:val="24"/>
          <w:szCs w:val="24"/>
        </w:rPr>
        <w:t xml:space="preserve"> da Repercussão Geral estendido esse</w:t>
      </w:r>
      <w:r w:rsidRPr="00A0742F">
        <w:rPr>
          <w:rFonts w:ascii="Times New Roman" w:hAnsi="Times New Roman"/>
          <w:sz w:val="24"/>
          <w:szCs w:val="24"/>
        </w:rPr>
        <w:t xml:space="preserve"> </w:t>
      </w:r>
      <w:r>
        <w:rPr>
          <w:rFonts w:ascii="Times New Roman" w:hAnsi="Times New Roman"/>
          <w:sz w:val="24"/>
          <w:szCs w:val="24"/>
        </w:rPr>
        <w:t>entendimento</w:t>
      </w:r>
      <w:r w:rsidRPr="00A0742F">
        <w:rPr>
          <w:rFonts w:ascii="Times New Roman" w:hAnsi="Times New Roman"/>
          <w:sz w:val="24"/>
          <w:szCs w:val="24"/>
        </w:rPr>
        <w:t xml:space="preserve"> a outros pro</w:t>
      </w:r>
      <w:r>
        <w:rPr>
          <w:rFonts w:ascii="Times New Roman" w:hAnsi="Times New Roman"/>
          <w:sz w:val="24"/>
          <w:szCs w:val="24"/>
        </w:rPr>
        <w:t xml:space="preserve">cessos. </w:t>
      </w:r>
    </w:p>
    <w:p w:rsidR="00D549BC" w:rsidRDefault="00D549BC" w:rsidP="004A4583">
      <w:pPr>
        <w:spacing w:after="240"/>
        <w:contextualSpacing/>
        <w:rPr>
          <w:rFonts w:ascii="Times New Roman" w:hAnsi="Times New Roman"/>
          <w:sz w:val="24"/>
          <w:szCs w:val="24"/>
        </w:rPr>
      </w:pPr>
      <w:r>
        <w:rPr>
          <w:rFonts w:ascii="Times New Roman" w:hAnsi="Times New Roman"/>
          <w:sz w:val="24"/>
          <w:szCs w:val="24"/>
        </w:rPr>
        <w:t xml:space="preserve">Cabe ressaltar que estamos diante de duas situações distintas: (i) uma trata da rejeição de presunção da Repercussão Geral; (ii) a outra relacionada está com a negativa de existência da Repercussão Geral. </w:t>
      </w:r>
    </w:p>
    <w:p w:rsidR="00D549BC" w:rsidRDefault="00D549BC" w:rsidP="004A4583">
      <w:pPr>
        <w:spacing w:after="240"/>
        <w:contextualSpacing/>
        <w:rPr>
          <w:rFonts w:ascii="Times New Roman" w:hAnsi="Times New Roman"/>
          <w:sz w:val="24"/>
          <w:szCs w:val="24"/>
        </w:rPr>
      </w:pPr>
      <w:r>
        <w:rPr>
          <w:rFonts w:ascii="Times New Roman" w:hAnsi="Times New Roman"/>
          <w:sz w:val="24"/>
          <w:szCs w:val="24"/>
        </w:rPr>
        <w:t xml:space="preserve"> O STF entendeu, no julgamento do RE 563.965/RN, que não há presunção de inexistência de Repercussão Geral quando o acórdão recorrido tiver aplicado jurisprudência do próprio Supremo.</w:t>
      </w:r>
      <w:r>
        <w:rPr>
          <w:rStyle w:val="FootnoteReference"/>
          <w:rFonts w:ascii="Times New Roman" w:hAnsi="Times New Roman"/>
          <w:sz w:val="24"/>
          <w:szCs w:val="24"/>
        </w:rPr>
        <w:footnoteReference w:id="188"/>
      </w:r>
      <w:r>
        <w:rPr>
          <w:rFonts w:ascii="Times New Roman" w:hAnsi="Times New Roman"/>
          <w:sz w:val="24"/>
          <w:szCs w:val="24"/>
        </w:rPr>
        <w:t xml:space="preserve"> Ou seja, é possível que o STF analise a preliminar de Repercussão Geral ainda que a decisão recorrida tenha aplicado jurisprudência dominante.</w:t>
      </w:r>
    </w:p>
    <w:p w:rsidR="00D549BC" w:rsidRDefault="00D549BC" w:rsidP="004A4583">
      <w:pPr>
        <w:tabs>
          <w:tab w:val="left" w:pos="851"/>
        </w:tabs>
        <w:spacing w:after="240"/>
        <w:contextualSpacing/>
        <w:rPr>
          <w:rFonts w:ascii="Times New Roman" w:hAnsi="Times New Roman"/>
          <w:sz w:val="24"/>
          <w:szCs w:val="24"/>
        </w:rPr>
      </w:pPr>
      <w:r>
        <w:rPr>
          <w:rFonts w:ascii="Times New Roman" w:hAnsi="Times New Roman"/>
          <w:sz w:val="24"/>
          <w:szCs w:val="24"/>
        </w:rPr>
        <w:t xml:space="preserve">A Ministra Relatora, Cármen Lúcia, havia sustentado que, se a lei presume a existência de Repercussão Geral, sempre que a decisão recorrida contrariar entendimento dominante do Plenário do STF, o contrário também deveria prevalecer, isto é, quando a decisão impugnada estiver em consonância com súmula ou jurisprudência dominante no STF, </w:t>
      </w:r>
      <w:r w:rsidRPr="005C2C4B">
        <w:rPr>
          <w:rFonts w:ascii="Times New Roman" w:hAnsi="Times New Roman"/>
          <w:i/>
          <w:sz w:val="24"/>
          <w:szCs w:val="24"/>
        </w:rPr>
        <w:t>dever</w:t>
      </w:r>
      <w:r>
        <w:rPr>
          <w:rFonts w:ascii="Times New Roman" w:hAnsi="Times New Roman"/>
          <w:i/>
          <w:sz w:val="24"/>
          <w:szCs w:val="24"/>
        </w:rPr>
        <w:t>-se-</w:t>
      </w:r>
      <w:r w:rsidRPr="005C2C4B">
        <w:rPr>
          <w:rFonts w:ascii="Times New Roman" w:hAnsi="Times New Roman"/>
          <w:i/>
          <w:sz w:val="24"/>
          <w:szCs w:val="24"/>
        </w:rPr>
        <w:t>ia presumir a inexistência de Repercussão Geral</w:t>
      </w:r>
      <w:r>
        <w:rPr>
          <w:rFonts w:ascii="Times New Roman" w:hAnsi="Times New Roman"/>
          <w:sz w:val="24"/>
          <w:szCs w:val="24"/>
        </w:rPr>
        <w:t xml:space="preserve">. </w:t>
      </w:r>
    </w:p>
    <w:p w:rsidR="00D549BC" w:rsidRDefault="00D549BC" w:rsidP="00122945">
      <w:pPr>
        <w:tabs>
          <w:tab w:val="left" w:pos="709"/>
        </w:tabs>
        <w:spacing w:after="240"/>
        <w:contextualSpacing/>
        <w:rPr>
          <w:rFonts w:ascii="Times New Roman" w:hAnsi="Times New Roman"/>
          <w:sz w:val="24"/>
          <w:szCs w:val="24"/>
        </w:rPr>
      </w:pPr>
      <w:r w:rsidRPr="005D1FD2">
        <w:rPr>
          <w:rFonts w:ascii="Times New Roman" w:hAnsi="Times New Roman"/>
          <w:sz w:val="24"/>
          <w:szCs w:val="24"/>
        </w:rPr>
        <w:t>Em posição contrária, entendeu a Ministra Ellen Grac</w:t>
      </w:r>
      <w:r>
        <w:rPr>
          <w:rFonts w:ascii="Times New Roman" w:hAnsi="Times New Roman"/>
          <w:sz w:val="24"/>
          <w:szCs w:val="24"/>
        </w:rPr>
        <w:t>i</w:t>
      </w:r>
      <w:r w:rsidRPr="005D1FD2">
        <w:rPr>
          <w:rFonts w:ascii="Times New Roman" w:hAnsi="Times New Roman"/>
          <w:sz w:val="24"/>
          <w:szCs w:val="24"/>
        </w:rPr>
        <w:t>e, seguida pela maioria</w:t>
      </w:r>
      <w:r>
        <w:rPr>
          <w:rFonts w:ascii="Times New Roman" w:hAnsi="Times New Roman"/>
          <w:sz w:val="24"/>
          <w:szCs w:val="24"/>
        </w:rPr>
        <w:t xml:space="preserve"> </w:t>
      </w:r>
      <w:r w:rsidRPr="005D1FD2">
        <w:rPr>
          <w:rFonts w:ascii="Times New Roman" w:hAnsi="Times New Roman"/>
          <w:sz w:val="24"/>
          <w:szCs w:val="24"/>
        </w:rPr>
        <w:t>dos membros, que a lei somente permite a presunção de admissibilidade ou não da</w:t>
      </w:r>
      <w:r>
        <w:rPr>
          <w:rFonts w:ascii="Times New Roman" w:hAnsi="Times New Roman"/>
          <w:sz w:val="24"/>
          <w:szCs w:val="24"/>
        </w:rPr>
        <w:t xml:space="preserve"> Repercussão G</w:t>
      </w:r>
      <w:r w:rsidRPr="005D1FD2">
        <w:rPr>
          <w:rFonts w:ascii="Times New Roman" w:hAnsi="Times New Roman"/>
          <w:sz w:val="24"/>
          <w:szCs w:val="24"/>
        </w:rPr>
        <w:t xml:space="preserve">eral, </w:t>
      </w:r>
      <w:r w:rsidRPr="005C2C4B">
        <w:rPr>
          <w:rFonts w:ascii="Times New Roman" w:hAnsi="Times New Roman"/>
          <w:i/>
          <w:sz w:val="24"/>
          <w:szCs w:val="24"/>
        </w:rPr>
        <w:t>não permitindo a presunção de sua inexistência</w:t>
      </w:r>
      <w:r>
        <w:rPr>
          <w:rFonts w:ascii="Times New Roman" w:hAnsi="Times New Roman"/>
          <w:sz w:val="24"/>
          <w:szCs w:val="24"/>
        </w:rPr>
        <w:t>. Se</w:t>
      </w:r>
      <w:r w:rsidRPr="005D1FD2">
        <w:rPr>
          <w:rFonts w:ascii="Times New Roman" w:hAnsi="Times New Roman"/>
          <w:sz w:val="24"/>
          <w:szCs w:val="24"/>
        </w:rPr>
        <w:t xml:space="preserve"> os</w:t>
      </w:r>
      <w:r>
        <w:rPr>
          <w:rFonts w:ascii="Times New Roman" w:hAnsi="Times New Roman"/>
          <w:sz w:val="24"/>
          <w:szCs w:val="24"/>
        </w:rPr>
        <w:t xml:space="preserve"> M</w:t>
      </w:r>
      <w:r w:rsidRPr="005D1FD2">
        <w:rPr>
          <w:rFonts w:ascii="Times New Roman" w:hAnsi="Times New Roman"/>
          <w:sz w:val="24"/>
          <w:szCs w:val="24"/>
        </w:rPr>
        <w:t>inistros</w:t>
      </w:r>
      <w:r>
        <w:rPr>
          <w:rFonts w:ascii="Times New Roman" w:hAnsi="Times New Roman"/>
          <w:sz w:val="24"/>
          <w:szCs w:val="24"/>
        </w:rPr>
        <w:t xml:space="preserve"> </w:t>
      </w:r>
      <w:r w:rsidRPr="005D1FD2">
        <w:rPr>
          <w:rFonts w:ascii="Times New Roman" w:hAnsi="Times New Roman"/>
          <w:sz w:val="24"/>
          <w:szCs w:val="24"/>
        </w:rPr>
        <w:t>entendessem</w:t>
      </w:r>
      <w:r>
        <w:rPr>
          <w:rFonts w:ascii="Times New Roman" w:hAnsi="Times New Roman"/>
          <w:sz w:val="24"/>
          <w:szCs w:val="24"/>
        </w:rPr>
        <w:t xml:space="preserve"> que não haveria R</w:t>
      </w:r>
      <w:r w:rsidRPr="005D1FD2">
        <w:rPr>
          <w:rFonts w:ascii="Times New Roman" w:hAnsi="Times New Roman"/>
          <w:sz w:val="24"/>
          <w:szCs w:val="24"/>
        </w:rPr>
        <w:t xml:space="preserve">epercussão </w:t>
      </w:r>
      <w:r>
        <w:rPr>
          <w:rFonts w:ascii="Times New Roman" w:hAnsi="Times New Roman"/>
          <w:sz w:val="24"/>
          <w:szCs w:val="24"/>
        </w:rPr>
        <w:t>G</w:t>
      </w:r>
      <w:r w:rsidRPr="005D1FD2">
        <w:rPr>
          <w:rFonts w:ascii="Times New Roman" w:hAnsi="Times New Roman"/>
          <w:sz w:val="24"/>
          <w:szCs w:val="24"/>
        </w:rPr>
        <w:t xml:space="preserve">eral, a </w:t>
      </w:r>
      <w:r>
        <w:rPr>
          <w:rFonts w:ascii="Times New Roman" w:hAnsi="Times New Roman"/>
          <w:sz w:val="24"/>
          <w:szCs w:val="24"/>
        </w:rPr>
        <w:t>matéria deveria ser rejeitada pelo voto de</w:t>
      </w:r>
      <w:r w:rsidRPr="005D1FD2">
        <w:rPr>
          <w:rFonts w:ascii="Times New Roman" w:hAnsi="Times New Roman"/>
          <w:sz w:val="24"/>
          <w:szCs w:val="24"/>
        </w:rPr>
        <w:t xml:space="preserve"> dois</w:t>
      </w:r>
      <w:r>
        <w:rPr>
          <w:rFonts w:ascii="Times New Roman" w:hAnsi="Times New Roman"/>
          <w:sz w:val="24"/>
          <w:szCs w:val="24"/>
        </w:rPr>
        <w:t xml:space="preserve"> terços, não sendo possível a</w:t>
      </w:r>
      <w:r w:rsidRPr="005D1FD2">
        <w:rPr>
          <w:rFonts w:ascii="Times New Roman" w:hAnsi="Times New Roman"/>
          <w:sz w:val="24"/>
          <w:szCs w:val="24"/>
        </w:rPr>
        <w:t xml:space="preserve"> decisão que rejeitou a presunção da</w:t>
      </w:r>
      <w:r>
        <w:rPr>
          <w:rFonts w:ascii="Times New Roman" w:hAnsi="Times New Roman"/>
          <w:sz w:val="24"/>
          <w:szCs w:val="24"/>
        </w:rPr>
        <w:t xml:space="preserve"> R</w:t>
      </w:r>
      <w:r w:rsidRPr="005D1FD2">
        <w:rPr>
          <w:rFonts w:ascii="Times New Roman" w:hAnsi="Times New Roman"/>
          <w:sz w:val="24"/>
          <w:szCs w:val="24"/>
        </w:rPr>
        <w:t xml:space="preserve">epercussão </w:t>
      </w:r>
      <w:r>
        <w:rPr>
          <w:rFonts w:ascii="Times New Roman" w:hAnsi="Times New Roman"/>
          <w:sz w:val="24"/>
          <w:szCs w:val="24"/>
        </w:rPr>
        <w:t>G</w:t>
      </w:r>
      <w:r w:rsidRPr="005D1FD2">
        <w:rPr>
          <w:rFonts w:ascii="Times New Roman" w:hAnsi="Times New Roman"/>
          <w:sz w:val="24"/>
          <w:szCs w:val="24"/>
        </w:rPr>
        <w:t>eral ser aplicada a outros processos semelhantes, sob pena de se estar</w:t>
      </w:r>
      <w:r>
        <w:rPr>
          <w:rFonts w:ascii="Times New Roman" w:hAnsi="Times New Roman"/>
          <w:sz w:val="24"/>
          <w:szCs w:val="24"/>
        </w:rPr>
        <w:t xml:space="preserve"> considerando que a falta de R</w:t>
      </w:r>
      <w:r w:rsidRPr="005D1FD2">
        <w:rPr>
          <w:rFonts w:ascii="Times New Roman" w:hAnsi="Times New Roman"/>
          <w:sz w:val="24"/>
          <w:szCs w:val="24"/>
        </w:rPr>
        <w:t xml:space="preserve">epercussão </w:t>
      </w:r>
      <w:r>
        <w:rPr>
          <w:rFonts w:ascii="Times New Roman" w:hAnsi="Times New Roman"/>
          <w:sz w:val="24"/>
          <w:szCs w:val="24"/>
        </w:rPr>
        <w:t>G</w:t>
      </w:r>
      <w:r w:rsidRPr="005D1FD2">
        <w:rPr>
          <w:rFonts w:ascii="Times New Roman" w:hAnsi="Times New Roman"/>
          <w:sz w:val="24"/>
          <w:szCs w:val="24"/>
        </w:rPr>
        <w:t>eral possa</w:t>
      </w:r>
      <w:r>
        <w:rPr>
          <w:rFonts w:ascii="Times New Roman" w:hAnsi="Times New Roman"/>
          <w:sz w:val="24"/>
          <w:szCs w:val="24"/>
        </w:rPr>
        <w:t xml:space="preserve"> também</w:t>
      </w:r>
      <w:r w:rsidRPr="005D1FD2">
        <w:rPr>
          <w:rFonts w:ascii="Times New Roman" w:hAnsi="Times New Roman"/>
          <w:sz w:val="24"/>
          <w:szCs w:val="24"/>
        </w:rPr>
        <w:t xml:space="preserve"> ser presumida, quando</w:t>
      </w:r>
      <w:r>
        <w:rPr>
          <w:rFonts w:ascii="Times New Roman" w:hAnsi="Times New Roman"/>
          <w:sz w:val="24"/>
          <w:szCs w:val="24"/>
        </w:rPr>
        <w:t>,</w:t>
      </w:r>
      <w:r w:rsidRPr="005D1FD2">
        <w:rPr>
          <w:rFonts w:ascii="Times New Roman" w:hAnsi="Times New Roman"/>
          <w:sz w:val="24"/>
          <w:szCs w:val="24"/>
        </w:rPr>
        <w:t xml:space="preserve"> </w:t>
      </w:r>
      <w:r>
        <w:rPr>
          <w:rFonts w:ascii="Times New Roman" w:hAnsi="Times New Roman"/>
          <w:sz w:val="24"/>
          <w:szCs w:val="24"/>
        </w:rPr>
        <w:t xml:space="preserve">na verdade, exige-se </w:t>
      </w:r>
      <w:r w:rsidRPr="005D1FD2">
        <w:rPr>
          <w:rFonts w:ascii="Times New Roman" w:hAnsi="Times New Roman"/>
          <w:sz w:val="24"/>
          <w:szCs w:val="24"/>
        </w:rPr>
        <w:t>recusa</w:t>
      </w:r>
      <w:r>
        <w:rPr>
          <w:rFonts w:ascii="Times New Roman" w:hAnsi="Times New Roman"/>
          <w:sz w:val="24"/>
          <w:szCs w:val="24"/>
        </w:rPr>
        <w:t xml:space="preserve"> expressa, conforme o mandamento constitucional – art. 102, § 3º da CRFB/88</w:t>
      </w:r>
      <w:r w:rsidRPr="005D1FD2">
        <w:rPr>
          <w:rFonts w:ascii="Times New Roman" w:hAnsi="Times New Roman"/>
          <w:sz w:val="24"/>
          <w:szCs w:val="24"/>
        </w:rPr>
        <w:t>.</w:t>
      </w:r>
    </w:p>
    <w:p w:rsidR="00D549BC" w:rsidRDefault="00D549BC" w:rsidP="005D1FD2">
      <w:pPr>
        <w:spacing w:after="240"/>
        <w:ind w:firstLine="851"/>
        <w:contextualSpacing/>
        <w:rPr>
          <w:rFonts w:ascii="Times New Roman" w:hAnsi="Times New Roman"/>
          <w:sz w:val="24"/>
          <w:szCs w:val="24"/>
        </w:rPr>
      </w:pPr>
      <w:r>
        <w:rPr>
          <w:rFonts w:ascii="Times New Roman" w:hAnsi="Times New Roman"/>
          <w:sz w:val="24"/>
          <w:szCs w:val="24"/>
        </w:rPr>
        <w:t xml:space="preserve">A ex-Ministra Ellen Gracie manifestou-se nos seguintes termos: </w:t>
      </w:r>
    </w:p>
    <w:p w:rsidR="00D549BC" w:rsidRPr="00B034D0" w:rsidRDefault="00D549BC" w:rsidP="00B034D0">
      <w:pPr>
        <w:spacing w:after="240" w:line="240" w:lineRule="auto"/>
        <w:ind w:left="2268" w:firstLine="0"/>
        <w:contextualSpacing/>
        <w:rPr>
          <w:rFonts w:ascii="Times New Roman" w:hAnsi="Times New Roman"/>
          <w:szCs w:val="24"/>
        </w:rPr>
      </w:pPr>
      <w:r w:rsidRPr="00B034D0">
        <w:rPr>
          <w:rFonts w:ascii="Times New Roman" w:hAnsi="Times New Roman"/>
          <w:szCs w:val="24"/>
        </w:rPr>
        <w:t>O disposto no § 3º do art. 102, da Constituição Federal, ao exigir, para a recusa do recurso extraordinário por ausência de repercussão geral, 2/3 dos votos dos membros desta Casa, não permite que se presuma a inexistência do novo pressuposto e sim o contrário. Não é por outra razão que nos casos que temos decidido em Plenário Virtual, há maior número de questões constitucionais com repercussão geral do que sem. E a lei processual civil, no dispositivo legal antes transcrito</w:t>
      </w:r>
      <w:r>
        <w:rPr>
          <w:rFonts w:ascii="Times New Roman" w:hAnsi="Times New Roman"/>
          <w:szCs w:val="24"/>
        </w:rPr>
        <w:t xml:space="preserve"> [§ 3º do art. 543-A do CPC]</w:t>
      </w:r>
      <w:r w:rsidRPr="00B034D0">
        <w:rPr>
          <w:rFonts w:ascii="Times New Roman" w:hAnsi="Times New Roman"/>
          <w:szCs w:val="24"/>
        </w:rPr>
        <w:t xml:space="preserve">, traz presunção da existência do pressuposto de admissibilidade e não da inexistência. </w:t>
      </w:r>
    </w:p>
    <w:p w:rsidR="00D549BC" w:rsidRPr="00B034D0" w:rsidRDefault="00D549BC" w:rsidP="00B034D0">
      <w:pPr>
        <w:spacing w:after="240" w:line="240" w:lineRule="auto"/>
        <w:ind w:left="2268" w:firstLine="0"/>
        <w:contextualSpacing/>
        <w:rPr>
          <w:rFonts w:ascii="Times New Roman" w:hAnsi="Times New Roman"/>
          <w:szCs w:val="24"/>
        </w:rPr>
      </w:pPr>
      <w:r w:rsidRPr="00B034D0">
        <w:rPr>
          <w:rFonts w:ascii="Times New Roman" w:hAnsi="Times New Roman"/>
          <w:szCs w:val="24"/>
        </w:rPr>
        <w:t xml:space="preserve">Os recursos extraordinários indicados na manifestação da eminente Relatoria não merecem seguimento. Disso não discordo. Não, porém, pela ausência de repercussão geral, e sim porque contrariam jurisprudência consolidada nesta Corte, caracterizando-se como manifestamente improcedentes e subsumindo-se no disposto no caput do art. 557 do CPC.  </w:t>
      </w:r>
    </w:p>
    <w:p w:rsidR="00D549BC" w:rsidRDefault="00D549BC" w:rsidP="00FD5F22">
      <w:pPr>
        <w:spacing w:after="240"/>
        <w:ind w:firstLine="851"/>
        <w:contextualSpacing/>
        <w:rPr>
          <w:rFonts w:ascii="Times New Roman" w:hAnsi="Times New Roman"/>
          <w:sz w:val="24"/>
          <w:szCs w:val="24"/>
        </w:rPr>
      </w:pPr>
    </w:p>
    <w:p w:rsidR="00D549BC" w:rsidRDefault="00D549BC" w:rsidP="004D019B">
      <w:pPr>
        <w:spacing w:after="240"/>
        <w:contextualSpacing/>
        <w:rPr>
          <w:rFonts w:ascii="Times New Roman" w:hAnsi="Times New Roman"/>
          <w:sz w:val="24"/>
          <w:szCs w:val="24"/>
        </w:rPr>
      </w:pPr>
      <w:r>
        <w:rPr>
          <w:rFonts w:ascii="Times New Roman" w:hAnsi="Times New Roman"/>
          <w:sz w:val="24"/>
          <w:szCs w:val="24"/>
        </w:rPr>
        <w:t xml:space="preserve">No caso em questão (RE 563.965/RN), o Supremo </w:t>
      </w:r>
      <w:r w:rsidRPr="004C6ADC">
        <w:rPr>
          <w:rFonts w:ascii="Times New Roman" w:hAnsi="Times New Roman"/>
          <w:i/>
          <w:sz w:val="24"/>
          <w:szCs w:val="24"/>
        </w:rPr>
        <w:t xml:space="preserve">reconheceu a existência da Repercussão Geral da Questão Constitucional </w:t>
      </w:r>
      <w:r>
        <w:rPr>
          <w:rFonts w:ascii="Times New Roman" w:hAnsi="Times New Roman"/>
          <w:sz w:val="24"/>
          <w:szCs w:val="24"/>
        </w:rPr>
        <w:t xml:space="preserve">nele tratada, porém afastou a presunção alegada pelo recorrente e, no mérito, não proveu o recurso por ter o acórdão recorrido aplicado entendimento já pacificado na Corte. Por conseguinte, não seria aplicável à espécie o disposto no § 5º do art. 543-A do CPC. </w:t>
      </w:r>
    </w:p>
    <w:p w:rsidR="00D549BC" w:rsidRDefault="00D549BC" w:rsidP="004D019B">
      <w:pPr>
        <w:spacing w:after="240"/>
        <w:contextualSpacing/>
        <w:rPr>
          <w:rFonts w:ascii="Times New Roman" w:hAnsi="Times New Roman"/>
          <w:sz w:val="24"/>
          <w:szCs w:val="24"/>
        </w:rPr>
      </w:pPr>
      <w:r>
        <w:rPr>
          <w:rFonts w:ascii="Times New Roman" w:hAnsi="Times New Roman"/>
          <w:sz w:val="24"/>
          <w:szCs w:val="24"/>
        </w:rPr>
        <w:t xml:space="preserve">Certamente, caso o STF houvesse rejeitado a presunção de Repercussão Geral no Recurso Extraordinário, assim como não reconhecida a Repercussão Geral da matéria pelo </w:t>
      </w:r>
      <w:r w:rsidRPr="00AC5DB5">
        <w:rPr>
          <w:rFonts w:ascii="Times New Roman" w:hAnsi="Times New Roman"/>
          <w:i/>
          <w:sz w:val="24"/>
          <w:szCs w:val="24"/>
        </w:rPr>
        <w:t>quorum</w:t>
      </w:r>
      <w:r>
        <w:rPr>
          <w:rFonts w:ascii="Times New Roman" w:hAnsi="Times New Roman"/>
          <w:sz w:val="24"/>
          <w:szCs w:val="24"/>
        </w:rPr>
        <w:t xml:space="preserve"> constitucional de dois terços, seria correta a aplicação do art. 543-A, § 5º do CPC.</w:t>
      </w:r>
    </w:p>
    <w:p w:rsidR="00D549BC" w:rsidRDefault="00D549BC" w:rsidP="00E91C1F">
      <w:pPr>
        <w:spacing w:after="240"/>
        <w:ind w:firstLine="851"/>
        <w:contextualSpacing/>
        <w:rPr>
          <w:rFonts w:ascii="Times New Roman" w:hAnsi="Times New Roman"/>
          <w:sz w:val="24"/>
          <w:szCs w:val="24"/>
        </w:rPr>
      </w:pPr>
      <w:r>
        <w:rPr>
          <w:rFonts w:ascii="Times New Roman" w:hAnsi="Times New Roman"/>
          <w:sz w:val="24"/>
          <w:szCs w:val="24"/>
        </w:rPr>
        <w:t>Podemos concluir, então, que s</w:t>
      </w:r>
      <w:r w:rsidRPr="00AE1DCE">
        <w:rPr>
          <w:rFonts w:ascii="Times New Roman" w:hAnsi="Times New Roman"/>
          <w:sz w:val="24"/>
          <w:szCs w:val="24"/>
        </w:rPr>
        <w:t>e a decisão recorrida estiver de acordo com a jurisprudência</w:t>
      </w:r>
      <w:r>
        <w:rPr>
          <w:rFonts w:ascii="Times New Roman" w:hAnsi="Times New Roman"/>
          <w:sz w:val="24"/>
          <w:szCs w:val="24"/>
        </w:rPr>
        <w:t xml:space="preserve"> dominante</w:t>
      </w:r>
      <w:r w:rsidRPr="00AE1DCE">
        <w:rPr>
          <w:rFonts w:ascii="Times New Roman" w:hAnsi="Times New Roman"/>
          <w:sz w:val="24"/>
          <w:szCs w:val="24"/>
        </w:rPr>
        <w:t xml:space="preserve"> ou a súmula do S</w:t>
      </w:r>
      <w:r>
        <w:rPr>
          <w:rFonts w:ascii="Times New Roman" w:hAnsi="Times New Roman"/>
          <w:sz w:val="24"/>
          <w:szCs w:val="24"/>
        </w:rPr>
        <w:t xml:space="preserve">TF, </w:t>
      </w:r>
      <w:r w:rsidRPr="00E10A67">
        <w:rPr>
          <w:rFonts w:ascii="Times New Roman" w:hAnsi="Times New Roman"/>
          <w:i/>
          <w:sz w:val="24"/>
          <w:szCs w:val="24"/>
        </w:rPr>
        <w:t>não significa que falte ao Recurso Extraordinário Repercussão Geral</w:t>
      </w:r>
      <w:r w:rsidRPr="00AE1DCE">
        <w:rPr>
          <w:rFonts w:ascii="Times New Roman" w:hAnsi="Times New Roman"/>
          <w:sz w:val="24"/>
          <w:szCs w:val="24"/>
        </w:rPr>
        <w:t>.</w:t>
      </w:r>
      <w:r>
        <w:rPr>
          <w:rFonts w:ascii="Times New Roman" w:hAnsi="Times New Roman"/>
          <w:sz w:val="24"/>
          <w:szCs w:val="24"/>
        </w:rPr>
        <w:t xml:space="preserve"> </w:t>
      </w:r>
      <w:r w:rsidRPr="00E10A67">
        <w:rPr>
          <w:rFonts w:ascii="Times New Roman" w:hAnsi="Times New Roman"/>
          <w:sz w:val="24"/>
          <w:szCs w:val="24"/>
        </w:rPr>
        <w:t>Neste caso, deve o recorre</w:t>
      </w:r>
      <w:r>
        <w:rPr>
          <w:rFonts w:ascii="Times New Roman" w:hAnsi="Times New Roman"/>
          <w:sz w:val="24"/>
          <w:szCs w:val="24"/>
        </w:rPr>
        <w:t>nte demonstrar a existência de R</w:t>
      </w:r>
      <w:r w:rsidRPr="00E10A67">
        <w:rPr>
          <w:rFonts w:ascii="Times New Roman" w:hAnsi="Times New Roman"/>
          <w:sz w:val="24"/>
          <w:szCs w:val="24"/>
        </w:rPr>
        <w:t xml:space="preserve">epercussão </w:t>
      </w:r>
      <w:r>
        <w:rPr>
          <w:rFonts w:ascii="Times New Roman" w:hAnsi="Times New Roman"/>
          <w:sz w:val="24"/>
          <w:szCs w:val="24"/>
        </w:rPr>
        <w:t>G</w:t>
      </w:r>
      <w:r w:rsidRPr="00E10A67">
        <w:rPr>
          <w:rFonts w:ascii="Times New Roman" w:hAnsi="Times New Roman"/>
          <w:sz w:val="24"/>
          <w:szCs w:val="24"/>
        </w:rPr>
        <w:t xml:space="preserve">eral, provocando a manifestação do STF, o qual poderá, até mesmo, modificar seu entendimento, seja porque o contexto </w:t>
      </w:r>
      <w:r>
        <w:rPr>
          <w:rFonts w:ascii="Times New Roman" w:hAnsi="Times New Roman"/>
          <w:sz w:val="24"/>
          <w:szCs w:val="24"/>
        </w:rPr>
        <w:t>atual</w:t>
      </w:r>
      <w:r w:rsidRPr="00E10A67">
        <w:rPr>
          <w:rFonts w:ascii="Times New Roman" w:hAnsi="Times New Roman"/>
          <w:sz w:val="24"/>
          <w:szCs w:val="24"/>
        </w:rPr>
        <w:t xml:space="preserve"> impõe a mudança da orientação anteriormente firmada (o que caracteriza o chamado </w:t>
      </w:r>
      <w:r w:rsidRPr="00E10A67">
        <w:rPr>
          <w:rFonts w:ascii="Times New Roman" w:hAnsi="Times New Roman"/>
          <w:i/>
          <w:sz w:val="24"/>
          <w:szCs w:val="24"/>
        </w:rPr>
        <w:t>overruling</w:t>
      </w:r>
      <w:r>
        <w:rPr>
          <w:rStyle w:val="FootnoteReference"/>
          <w:rFonts w:ascii="Times New Roman" w:hAnsi="Times New Roman"/>
          <w:i/>
          <w:sz w:val="24"/>
          <w:szCs w:val="24"/>
        </w:rPr>
        <w:footnoteReference w:id="189"/>
      </w:r>
      <w:r w:rsidRPr="00E10A67">
        <w:rPr>
          <w:rFonts w:ascii="Times New Roman" w:hAnsi="Times New Roman"/>
          <w:sz w:val="24"/>
          <w:szCs w:val="24"/>
        </w:rPr>
        <w:t>), seja porque o caso contém peculiaridade que exige</w:t>
      </w:r>
      <w:r>
        <w:rPr>
          <w:rFonts w:ascii="Times New Roman" w:hAnsi="Times New Roman"/>
          <w:sz w:val="24"/>
          <w:szCs w:val="24"/>
        </w:rPr>
        <w:t>m</w:t>
      </w:r>
      <w:r w:rsidRPr="00E10A67">
        <w:rPr>
          <w:rFonts w:ascii="Times New Roman" w:hAnsi="Times New Roman"/>
          <w:sz w:val="24"/>
          <w:szCs w:val="24"/>
        </w:rPr>
        <w:t xml:space="preserve"> o afastamento ou a não aplicação do entendimento já assentado (caracterizando o chamado </w:t>
      </w:r>
      <w:r w:rsidRPr="00E10A67">
        <w:rPr>
          <w:rFonts w:ascii="Times New Roman" w:hAnsi="Times New Roman"/>
          <w:i/>
          <w:sz w:val="24"/>
          <w:szCs w:val="24"/>
        </w:rPr>
        <w:t>distinguishing</w:t>
      </w:r>
      <w:r>
        <w:rPr>
          <w:rStyle w:val="FootnoteReference"/>
          <w:rFonts w:ascii="Times New Roman" w:hAnsi="Times New Roman"/>
          <w:i/>
          <w:sz w:val="24"/>
          <w:szCs w:val="24"/>
        </w:rPr>
        <w:footnoteReference w:id="190"/>
      </w:r>
      <w:r w:rsidRPr="00E10A67">
        <w:rPr>
          <w:rFonts w:ascii="Times New Roman" w:hAnsi="Times New Roman"/>
          <w:sz w:val="24"/>
          <w:szCs w:val="24"/>
        </w:rPr>
        <w:t>).</w:t>
      </w:r>
    </w:p>
    <w:p w:rsidR="00D549BC" w:rsidRDefault="00D549BC" w:rsidP="00E91C1F">
      <w:pPr>
        <w:spacing w:after="240"/>
        <w:ind w:firstLine="851"/>
        <w:contextualSpacing/>
        <w:rPr>
          <w:rFonts w:ascii="Times New Roman" w:hAnsi="Times New Roman"/>
          <w:sz w:val="24"/>
          <w:szCs w:val="24"/>
        </w:rPr>
      </w:pPr>
      <w:r>
        <w:rPr>
          <w:rFonts w:ascii="Times New Roman" w:hAnsi="Times New Roman"/>
          <w:sz w:val="24"/>
          <w:szCs w:val="24"/>
        </w:rPr>
        <w:t xml:space="preserve">O Novo Código de Processo Civil traz algumas alterações na redação do artigo que trata da Repercussão Geral presumida. Vejamos: </w:t>
      </w:r>
    </w:p>
    <w:p w:rsidR="00D549BC" w:rsidRDefault="00D549BC" w:rsidP="005E5DA8">
      <w:pPr>
        <w:spacing w:after="240" w:line="240" w:lineRule="auto"/>
        <w:ind w:left="2268" w:firstLine="0"/>
        <w:contextualSpacing/>
        <w:rPr>
          <w:rFonts w:ascii="Times New Roman" w:hAnsi="Times New Roman"/>
          <w:szCs w:val="24"/>
        </w:rPr>
      </w:pPr>
      <w:r w:rsidRPr="005E5DA8">
        <w:rPr>
          <w:rFonts w:ascii="Times New Roman" w:hAnsi="Times New Roman"/>
          <w:szCs w:val="24"/>
        </w:rPr>
        <w:t>Art. 1.035.  O Supremo Tribunal Federal, em decisão irrecorrível, não conhecerá do recurso extraordinário quando a questão constitucional nele versada não tiver repercussão geral, nos termos deste artigo.</w:t>
      </w:r>
    </w:p>
    <w:p w:rsidR="00D549BC" w:rsidRDefault="00D549BC" w:rsidP="005E5DA8">
      <w:pPr>
        <w:spacing w:after="240" w:line="240" w:lineRule="auto"/>
        <w:ind w:left="2268" w:firstLine="0"/>
        <w:contextualSpacing/>
        <w:rPr>
          <w:rFonts w:ascii="Times New Roman" w:hAnsi="Times New Roman"/>
          <w:szCs w:val="24"/>
        </w:rPr>
      </w:pPr>
      <w:r w:rsidRPr="005E5DA8">
        <w:rPr>
          <w:rFonts w:ascii="Times New Roman" w:hAnsi="Times New Roman"/>
          <w:szCs w:val="24"/>
        </w:rPr>
        <w:t>(...)</w:t>
      </w:r>
    </w:p>
    <w:p w:rsidR="00D549BC" w:rsidRPr="005E5DA8" w:rsidRDefault="00D549BC" w:rsidP="005E5DA8">
      <w:pPr>
        <w:spacing w:after="240" w:line="240" w:lineRule="auto"/>
        <w:ind w:left="2268" w:firstLine="0"/>
        <w:contextualSpacing/>
        <w:rPr>
          <w:rFonts w:ascii="Times New Roman" w:hAnsi="Times New Roman"/>
          <w:szCs w:val="24"/>
        </w:rPr>
      </w:pPr>
      <w:r w:rsidRPr="005E5DA8">
        <w:rPr>
          <w:rFonts w:ascii="Times New Roman" w:hAnsi="Times New Roman"/>
          <w:szCs w:val="24"/>
        </w:rPr>
        <w:t xml:space="preserve">§ 3º </w:t>
      </w:r>
      <w:r w:rsidRPr="005E5DA8">
        <w:rPr>
          <w:rFonts w:ascii="Times New Roman" w:hAnsi="Times New Roman"/>
          <w:i/>
          <w:szCs w:val="24"/>
        </w:rPr>
        <w:t>Haverá repercussão geral sempre que o recurso impugnar acórdão que</w:t>
      </w:r>
      <w:r w:rsidRPr="005E5DA8">
        <w:rPr>
          <w:rFonts w:ascii="Times New Roman" w:hAnsi="Times New Roman"/>
          <w:szCs w:val="24"/>
        </w:rPr>
        <w:t>:</w:t>
      </w:r>
    </w:p>
    <w:p w:rsidR="00D549BC" w:rsidRPr="005E5DA8" w:rsidRDefault="00D549BC" w:rsidP="005E5DA8">
      <w:pPr>
        <w:spacing w:after="240" w:line="240" w:lineRule="auto"/>
        <w:ind w:left="2268" w:firstLine="0"/>
        <w:contextualSpacing/>
        <w:rPr>
          <w:rFonts w:ascii="Times New Roman" w:hAnsi="Times New Roman"/>
          <w:szCs w:val="24"/>
        </w:rPr>
      </w:pPr>
      <w:r w:rsidRPr="005E5DA8">
        <w:rPr>
          <w:rFonts w:ascii="Times New Roman" w:hAnsi="Times New Roman"/>
          <w:szCs w:val="24"/>
        </w:rPr>
        <w:t xml:space="preserve">I - </w:t>
      </w:r>
      <w:r w:rsidRPr="005E5DA8">
        <w:rPr>
          <w:rFonts w:ascii="Times New Roman" w:hAnsi="Times New Roman"/>
          <w:i/>
          <w:szCs w:val="24"/>
        </w:rPr>
        <w:t>contrarie súmula ou jurisprudência dominante do Supremo Tribunal Federal</w:t>
      </w:r>
      <w:r w:rsidRPr="005E5DA8">
        <w:rPr>
          <w:rFonts w:ascii="Times New Roman" w:hAnsi="Times New Roman"/>
          <w:szCs w:val="24"/>
        </w:rPr>
        <w:t>;</w:t>
      </w:r>
    </w:p>
    <w:p w:rsidR="00D549BC" w:rsidRPr="005E5DA8" w:rsidRDefault="00D549BC" w:rsidP="005E5DA8">
      <w:pPr>
        <w:spacing w:after="240" w:line="240" w:lineRule="auto"/>
        <w:ind w:left="2268" w:firstLine="0"/>
        <w:contextualSpacing/>
        <w:rPr>
          <w:rFonts w:ascii="Times New Roman" w:hAnsi="Times New Roman"/>
          <w:szCs w:val="24"/>
        </w:rPr>
      </w:pPr>
      <w:r w:rsidRPr="005E5DA8">
        <w:rPr>
          <w:rFonts w:ascii="Times New Roman" w:hAnsi="Times New Roman"/>
          <w:szCs w:val="24"/>
        </w:rPr>
        <w:t xml:space="preserve">II - </w:t>
      </w:r>
      <w:r w:rsidRPr="005E5DA8">
        <w:rPr>
          <w:rFonts w:ascii="Times New Roman" w:hAnsi="Times New Roman"/>
          <w:i/>
          <w:szCs w:val="24"/>
        </w:rPr>
        <w:t>tenha sido proferido em julgamento de casos repetitivos</w:t>
      </w:r>
      <w:r w:rsidRPr="005E5DA8">
        <w:rPr>
          <w:rFonts w:ascii="Times New Roman" w:hAnsi="Times New Roman"/>
          <w:szCs w:val="24"/>
        </w:rPr>
        <w:t>;</w:t>
      </w:r>
    </w:p>
    <w:p w:rsidR="00D549BC" w:rsidRPr="005E5DA8" w:rsidRDefault="00D549BC" w:rsidP="005E5DA8">
      <w:pPr>
        <w:spacing w:after="240" w:line="240" w:lineRule="auto"/>
        <w:ind w:left="2268" w:firstLine="0"/>
        <w:contextualSpacing/>
        <w:rPr>
          <w:rFonts w:ascii="Times New Roman" w:hAnsi="Times New Roman"/>
          <w:szCs w:val="24"/>
        </w:rPr>
      </w:pPr>
      <w:r w:rsidRPr="005E5DA8">
        <w:rPr>
          <w:rFonts w:ascii="Times New Roman" w:hAnsi="Times New Roman"/>
          <w:szCs w:val="24"/>
        </w:rPr>
        <w:t xml:space="preserve">III - </w:t>
      </w:r>
      <w:r w:rsidRPr="005E5DA8">
        <w:rPr>
          <w:rFonts w:ascii="Times New Roman" w:hAnsi="Times New Roman"/>
          <w:i/>
          <w:szCs w:val="24"/>
        </w:rPr>
        <w:t>tenha reconhecido a inconstitucionalidade de tratado ou de lei federal, nos termos do art. 97 da Constituição Federal</w:t>
      </w:r>
      <w:r w:rsidRPr="005E5DA8">
        <w:rPr>
          <w:rFonts w:ascii="Times New Roman" w:hAnsi="Times New Roman"/>
          <w:szCs w:val="24"/>
        </w:rPr>
        <w:t xml:space="preserve">. </w:t>
      </w:r>
    </w:p>
    <w:p w:rsidR="00D549BC" w:rsidRDefault="00D549BC" w:rsidP="00E91C1F">
      <w:pPr>
        <w:spacing w:after="240"/>
        <w:ind w:firstLine="851"/>
        <w:contextualSpacing/>
        <w:rPr>
          <w:rFonts w:ascii="Times New Roman" w:hAnsi="Times New Roman"/>
          <w:sz w:val="24"/>
          <w:szCs w:val="24"/>
        </w:rPr>
      </w:pPr>
    </w:p>
    <w:p w:rsidR="00D549BC" w:rsidRDefault="00D549BC" w:rsidP="00CE7A23">
      <w:pPr>
        <w:spacing w:after="240"/>
        <w:contextualSpacing/>
        <w:rPr>
          <w:rFonts w:ascii="Times New Roman" w:hAnsi="Times New Roman"/>
          <w:sz w:val="24"/>
          <w:szCs w:val="24"/>
        </w:rPr>
      </w:pPr>
      <w:r>
        <w:rPr>
          <w:rFonts w:ascii="Times New Roman" w:hAnsi="Times New Roman"/>
          <w:sz w:val="24"/>
          <w:szCs w:val="24"/>
        </w:rPr>
        <w:t xml:space="preserve">Comparando-o com a redação atual, percebe-se que o legislador optou por incluir mais duas hipóteses além daquelas previstas no art. 543-A, § 3º do CPC: (i) quando a decisão recorrida tiver sido oriunda de julgamento de casos repetitivos; e (ii) quando no acórdão recorrido for declarada a inconstitucionalidade de lei federal ou tratado. </w:t>
      </w:r>
    </w:p>
    <w:p w:rsidR="00D549BC" w:rsidRDefault="00D549BC" w:rsidP="00CE7A23">
      <w:pPr>
        <w:spacing w:after="240"/>
        <w:contextualSpacing/>
        <w:rPr>
          <w:rFonts w:ascii="Times New Roman" w:hAnsi="Times New Roman"/>
          <w:sz w:val="24"/>
          <w:szCs w:val="24"/>
        </w:rPr>
      </w:pPr>
      <w:r>
        <w:rPr>
          <w:rFonts w:ascii="Times New Roman" w:hAnsi="Times New Roman"/>
          <w:sz w:val="24"/>
          <w:szCs w:val="24"/>
        </w:rPr>
        <w:t xml:space="preserve">Essas novas hipóteses de Repercussão Geral presumida não alteram aquele entendimento sedimentado no RE 563.965/RN, isto é, ainda que o acórdão recorrido tenha aplicado a jurisprudência da Suprema Corte ou súmula não vinculante, poderá o recorrente optar pelo </w:t>
      </w:r>
      <w:r w:rsidRPr="00671FA8">
        <w:rPr>
          <w:rFonts w:ascii="Times New Roman" w:hAnsi="Times New Roman"/>
          <w:i/>
          <w:sz w:val="24"/>
          <w:szCs w:val="24"/>
        </w:rPr>
        <w:t>Recurso Extraordinário</w:t>
      </w:r>
      <w:r>
        <w:rPr>
          <w:rFonts w:ascii="Times New Roman" w:hAnsi="Times New Roman"/>
          <w:sz w:val="24"/>
          <w:szCs w:val="24"/>
        </w:rPr>
        <w:t xml:space="preserve"> a fim de que o entendimento pretérito seja superado ou que a súmula seja revista. </w:t>
      </w:r>
    </w:p>
    <w:p w:rsidR="00D549BC" w:rsidRDefault="00D549BC" w:rsidP="00CE7A23">
      <w:pPr>
        <w:spacing w:after="240"/>
        <w:contextualSpacing/>
        <w:rPr>
          <w:rFonts w:ascii="Times New Roman" w:hAnsi="Times New Roman"/>
          <w:sz w:val="24"/>
          <w:szCs w:val="24"/>
        </w:rPr>
      </w:pPr>
      <w:r>
        <w:rPr>
          <w:rFonts w:ascii="Times New Roman" w:hAnsi="Times New Roman"/>
          <w:sz w:val="24"/>
          <w:szCs w:val="24"/>
        </w:rPr>
        <w:t>Por fim, há jurisprudência do STF</w:t>
      </w:r>
      <w:r>
        <w:rPr>
          <w:rStyle w:val="FootnoteReference"/>
          <w:rFonts w:ascii="Times New Roman" w:hAnsi="Times New Roman"/>
          <w:sz w:val="24"/>
          <w:szCs w:val="24"/>
        </w:rPr>
        <w:footnoteReference w:id="191"/>
      </w:r>
      <w:r>
        <w:rPr>
          <w:rFonts w:ascii="Times New Roman" w:hAnsi="Times New Roman"/>
          <w:sz w:val="24"/>
          <w:szCs w:val="24"/>
        </w:rPr>
        <w:t xml:space="preserve"> no sentido de que a Repercussão Geral da questão constitucional pode ser afastada, ainda que sem manifestação expressa, quando a matéria já tiver sido enfrentada pelo Plenário em sede de controle de constitucionalidade </w:t>
      </w:r>
      <w:r w:rsidRPr="00C82198">
        <w:rPr>
          <w:rFonts w:ascii="Times New Roman" w:hAnsi="Times New Roman"/>
          <w:i/>
          <w:sz w:val="24"/>
          <w:szCs w:val="24"/>
        </w:rPr>
        <w:t>in abstracto</w:t>
      </w:r>
      <w:r>
        <w:rPr>
          <w:rFonts w:ascii="Times New Roman" w:hAnsi="Times New Roman"/>
          <w:sz w:val="24"/>
          <w:szCs w:val="24"/>
        </w:rPr>
        <w:t xml:space="preserve">, cujas decisões têm efeito vinculante </w:t>
      </w:r>
      <w:r w:rsidRPr="00C82198">
        <w:rPr>
          <w:rFonts w:ascii="Times New Roman" w:hAnsi="Times New Roman"/>
          <w:sz w:val="24"/>
          <w:szCs w:val="24"/>
        </w:rPr>
        <w:t>conforme dispõe a nova redação do § 2º do art. 102 da</w:t>
      </w:r>
      <w:r>
        <w:rPr>
          <w:rFonts w:ascii="Times New Roman" w:hAnsi="Times New Roman"/>
          <w:sz w:val="24"/>
          <w:szCs w:val="24"/>
        </w:rPr>
        <w:t xml:space="preserve"> </w:t>
      </w:r>
      <w:r w:rsidRPr="00C82198">
        <w:rPr>
          <w:rFonts w:ascii="Times New Roman" w:hAnsi="Times New Roman"/>
          <w:sz w:val="24"/>
          <w:szCs w:val="24"/>
        </w:rPr>
        <w:t>C</w:t>
      </w:r>
      <w:r>
        <w:rPr>
          <w:rFonts w:ascii="Times New Roman" w:hAnsi="Times New Roman"/>
          <w:sz w:val="24"/>
          <w:szCs w:val="24"/>
        </w:rPr>
        <w:t>RF</w:t>
      </w:r>
      <w:r w:rsidRPr="00C82198">
        <w:rPr>
          <w:rFonts w:ascii="Times New Roman" w:hAnsi="Times New Roman"/>
          <w:sz w:val="24"/>
          <w:szCs w:val="24"/>
        </w:rPr>
        <w:t>B</w:t>
      </w:r>
      <w:r>
        <w:rPr>
          <w:rFonts w:ascii="Times New Roman" w:hAnsi="Times New Roman"/>
          <w:sz w:val="24"/>
          <w:szCs w:val="24"/>
        </w:rPr>
        <w:t xml:space="preserve">/88.  </w:t>
      </w:r>
    </w:p>
    <w:p w:rsidR="00D549BC" w:rsidRDefault="00D549BC" w:rsidP="00C82198">
      <w:pPr>
        <w:spacing w:after="240"/>
        <w:ind w:firstLine="851"/>
        <w:contextualSpacing/>
        <w:rPr>
          <w:rFonts w:ascii="Times New Roman" w:hAnsi="Times New Roman"/>
          <w:sz w:val="24"/>
          <w:szCs w:val="24"/>
        </w:rPr>
      </w:pPr>
    </w:p>
    <w:p w:rsidR="00D549BC" w:rsidRDefault="00D549BC" w:rsidP="009A72C7">
      <w:pPr>
        <w:spacing w:after="240"/>
        <w:ind w:firstLine="0"/>
        <w:contextualSpacing/>
        <w:rPr>
          <w:rFonts w:ascii="Times New Roman" w:hAnsi="Times New Roman"/>
          <w:sz w:val="24"/>
          <w:szCs w:val="24"/>
        </w:rPr>
      </w:pPr>
      <w:r>
        <w:rPr>
          <w:rFonts w:ascii="Times New Roman" w:hAnsi="Times New Roman"/>
          <w:sz w:val="24"/>
          <w:szCs w:val="24"/>
        </w:rPr>
        <w:t xml:space="preserve">4.2.1.2 Possibilidade de intervenção do </w:t>
      </w:r>
      <w:r w:rsidRPr="009A72C7">
        <w:rPr>
          <w:rFonts w:ascii="Times New Roman" w:hAnsi="Times New Roman"/>
          <w:i/>
          <w:sz w:val="24"/>
          <w:szCs w:val="24"/>
        </w:rPr>
        <w:t>Amicus Curiae</w:t>
      </w:r>
      <w:r>
        <w:rPr>
          <w:rFonts w:ascii="Times New Roman" w:hAnsi="Times New Roman"/>
          <w:sz w:val="24"/>
          <w:szCs w:val="24"/>
        </w:rPr>
        <w:t>: art. 543-A, § 6º do CPC</w:t>
      </w:r>
    </w:p>
    <w:p w:rsidR="00D549BC" w:rsidRDefault="00D549BC" w:rsidP="009A72C7">
      <w:pPr>
        <w:spacing w:after="240"/>
        <w:ind w:firstLine="0"/>
        <w:contextualSpacing/>
        <w:rPr>
          <w:rFonts w:ascii="Times New Roman" w:hAnsi="Times New Roman"/>
          <w:sz w:val="24"/>
          <w:szCs w:val="24"/>
        </w:rPr>
      </w:pPr>
    </w:p>
    <w:p w:rsidR="00D549BC" w:rsidRDefault="00D549BC" w:rsidP="00A129DA">
      <w:pPr>
        <w:spacing w:after="240"/>
        <w:contextualSpacing/>
        <w:rPr>
          <w:rFonts w:ascii="Times New Roman" w:hAnsi="Times New Roman"/>
          <w:sz w:val="24"/>
          <w:szCs w:val="24"/>
        </w:rPr>
      </w:pPr>
      <w:r w:rsidRPr="00E23F1B">
        <w:rPr>
          <w:rFonts w:ascii="Times New Roman" w:hAnsi="Times New Roman"/>
          <w:sz w:val="24"/>
          <w:szCs w:val="24"/>
        </w:rPr>
        <w:t>Tal como já havia sido previsto no âmbito do controle concentrado de</w:t>
      </w:r>
      <w:r>
        <w:rPr>
          <w:rFonts w:ascii="Times New Roman" w:hAnsi="Times New Roman"/>
          <w:sz w:val="24"/>
          <w:szCs w:val="24"/>
        </w:rPr>
        <w:t xml:space="preserve"> </w:t>
      </w:r>
      <w:r w:rsidRPr="00E23F1B">
        <w:rPr>
          <w:rFonts w:ascii="Times New Roman" w:hAnsi="Times New Roman"/>
          <w:sz w:val="24"/>
          <w:szCs w:val="24"/>
        </w:rPr>
        <w:t>constitucionalidade (artigo 131, § 3º do Regimento Interno do Supremo Tribunal Federal</w:t>
      </w:r>
      <w:r>
        <w:rPr>
          <w:rStyle w:val="FootnoteReference"/>
          <w:rFonts w:ascii="Times New Roman" w:hAnsi="Times New Roman"/>
          <w:sz w:val="24"/>
          <w:szCs w:val="24"/>
        </w:rPr>
        <w:footnoteReference w:id="192"/>
      </w:r>
      <w:r w:rsidRPr="00E23F1B">
        <w:rPr>
          <w:rFonts w:ascii="Times New Roman" w:hAnsi="Times New Roman"/>
          <w:sz w:val="24"/>
          <w:szCs w:val="24"/>
        </w:rPr>
        <w:t>)</w:t>
      </w:r>
      <w:r>
        <w:rPr>
          <w:rFonts w:ascii="Times New Roman" w:hAnsi="Times New Roman"/>
          <w:sz w:val="24"/>
          <w:szCs w:val="24"/>
        </w:rPr>
        <w:t xml:space="preserve"> e também constante da Lei 11.417 de 2006 (S</w:t>
      </w:r>
      <w:r w:rsidRPr="00E23F1B">
        <w:rPr>
          <w:rFonts w:ascii="Times New Roman" w:hAnsi="Times New Roman"/>
          <w:sz w:val="24"/>
          <w:szCs w:val="24"/>
        </w:rPr>
        <w:t xml:space="preserve">úmula </w:t>
      </w:r>
      <w:r>
        <w:rPr>
          <w:rFonts w:ascii="Times New Roman" w:hAnsi="Times New Roman"/>
          <w:sz w:val="24"/>
          <w:szCs w:val="24"/>
        </w:rPr>
        <w:t>V</w:t>
      </w:r>
      <w:r w:rsidRPr="00E23F1B">
        <w:rPr>
          <w:rFonts w:ascii="Times New Roman" w:hAnsi="Times New Roman"/>
          <w:sz w:val="24"/>
          <w:szCs w:val="24"/>
        </w:rPr>
        <w:t>inculante</w:t>
      </w:r>
      <w:r>
        <w:rPr>
          <w:rStyle w:val="FootnoteReference"/>
          <w:rFonts w:ascii="Times New Roman" w:hAnsi="Times New Roman"/>
          <w:sz w:val="24"/>
          <w:szCs w:val="24"/>
        </w:rPr>
        <w:footnoteReference w:id="193"/>
      </w:r>
      <w:r w:rsidRPr="00E23F1B">
        <w:rPr>
          <w:rFonts w:ascii="Times New Roman" w:hAnsi="Times New Roman"/>
          <w:sz w:val="24"/>
          <w:szCs w:val="24"/>
        </w:rPr>
        <w:t>),</w:t>
      </w:r>
      <w:r>
        <w:rPr>
          <w:rFonts w:ascii="Times New Roman" w:hAnsi="Times New Roman"/>
          <w:sz w:val="24"/>
          <w:szCs w:val="24"/>
        </w:rPr>
        <w:t xml:space="preserve"> </w:t>
      </w:r>
      <w:r w:rsidRPr="00E23F1B">
        <w:rPr>
          <w:rFonts w:ascii="Times New Roman" w:hAnsi="Times New Roman"/>
          <w:sz w:val="24"/>
          <w:szCs w:val="24"/>
        </w:rPr>
        <w:t>o § 6º do artigo 543-A do Código de Processo Civil passou a dispor</w:t>
      </w:r>
      <w:r>
        <w:rPr>
          <w:rFonts w:ascii="Times New Roman" w:hAnsi="Times New Roman"/>
          <w:sz w:val="24"/>
          <w:szCs w:val="24"/>
        </w:rPr>
        <w:t xml:space="preserve"> que “</w:t>
      </w:r>
      <w:r w:rsidRPr="00373CA4">
        <w:rPr>
          <w:rFonts w:ascii="Times New Roman" w:hAnsi="Times New Roman"/>
          <w:i/>
          <w:sz w:val="24"/>
          <w:szCs w:val="24"/>
        </w:rPr>
        <w:t>o Relator poderá admitir, na análise da repercussão geral, a manifestação de terceiros, subscrita por procurador habilitado, nos termos do Regimento Interno do Supremo Tribunal Federal</w:t>
      </w:r>
      <w:r>
        <w:rPr>
          <w:rFonts w:ascii="Times New Roman" w:hAnsi="Times New Roman"/>
          <w:sz w:val="24"/>
          <w:szCs w:val="24"/>
        </w:rPr>
        <w:t xml:space="preserve">”. </w:t>
      </w:r>
    </w:p>
    <w:p w:rsidR="00D549BC" w:rsidRDefault="00D549BC" w:rsidP="00A129DA">
      <w:pPr>
        <w:spacing w:after="240"/>
        <w:contextualSpacing/>
        <w:rPr>
          <w:rFonts w:ascii="Times New Roman" w:hAnsi="Times New Roman"/>
          <w:sz w:val="24"/>
          <w:szCs w:val="24"/>
        </w:rPr>
      </w:pPr>
      <w:r>
        <w:rPr>
          <w:rFonts w:ascii="Times New Roman" w:hAnsi="Times New Roman"/>
          <w:sz w:val="24"/>
          <w:szCs w:val="24"/>
        </w:rPr>
        <w:t xml:space="preserve">Por sua vez, o </w:t>
      </w:r>
      <w:r w:rsidRPr="00E23F1B">
        <w:rPr>
          <w:rFonts w:ascii="Times New Roman" w:hAnsi="Times New Roman"/>
          <w:sz w:val="24"/>
          <w:szCs w:val="24"/>
        </w:rPr>
        <w:t>§ 3º</w:t>
      </w:r>
      <w:r>
        <w:rPr>
          <w:rFonts w:ascii="Times New Roman" w:hAnsi="Times New Roman"/>
          <w:sz w:val="24"/>
          <w:szCs w:val="24"/>
        </w:rPr>
        <w:t xml:space="preserve"> do artigo 323 do RISTF, regulamentando a matéria, dispõe que: “</w:t>
      </w:r>
      <w:r w:rsidRPr="00132A99">
        <w:rPr>
          <w:rFonts w:ascii="Times New Roman" w:hAnsi="Times New Roman"/>
          <w:i/>
          <w:sz w:val="24"/>
          <w:szCs w:val="24"/>
        </w:rPr>
        <w:t>mediante decisão irrecorrível, poderá o(a) Relator(a) admitir de ofício ou a requerimento, em prazo que fixar, a manifestação de terceiros, subscrita por procurador habilitado, sobre a questão da repercussão geral</w:t>
      </w:r>
      <w:r>
        <w:rPr>
          <w:rFonts w:ascii="Times New Roman" w:hAnsi="Times New Roman"/>
          <w:i/>
          <w:sz w:val="24"/>
          <w:szCs w:val="24"/>
        </w:rPr>
        <w:t>.</w:t>
      </w:r>
      <w:r>
        <w:rPr>
          <w:rFonts w:ascii="Times New Roman" w:hAnsi="Times New Roman"/>
          <w:sz w:val="24"/>
          <w:szCs w:val="24"/>
        </w:rPr>
        <w:t>”</w:t>
      </w:r>
    </w:p>
    <w:p w:rsidR="00D549BC" w:rsidRDefault="00D549BC" w:rsidP="00A129DA">
      <w:pPr>
        <w:spacing w:after="240"/>
        <w:contextualSpacing/>
        <w:rPr>
          <w:rFonts w:ascii="Times New Roman" w:hAnsi="Times New Roman"/>
          <w:sz w:val="24"/>
          <w:szCs w:val="24"/>
        </w:rPr>
      </w:pPr>
      <w:r>
        <w:rPr>
          <w:rFonts w:ascii="Times New Roman" w:hAnsi="Times New Roman"/>
          <w:sz w:val="24"/>
          <w:szCs w:val="24"/>
        </w:rPr>
        <w:t xml:space="preserve">Assim, esses dispositivos (art. 543-A, </w:t>
      </w:r>
      <w:r w:rsidRPr="00E23F1B">
        <w:rPr>
          <w:rFonts w:ascii="Times New Roman" w:hAnsi="Times New Roman"/>
          <w:sz w:val="24"/>
          <w:szCs w:val="24"/>
        </w:rPr>
        <w:t xml:space="preserve">§ 6º </w:t>
      </w:r>
      <w:r>
        <w:rPr>
          <w:rFonts w:ascii="Times New Roman" w:hAnsi="Times New Roman"/>
          <w:sz w:val="24"/>
          <w:szCs w:val="24"/>
        </w:rPr>
        <w:t xml:space="preserve">do CPC e 323, </w:t>
      </w:r>
      <w:r w:rsidRPr="00E23F1B">
        <w:rPr>
          <w:rFonts w:ascii="Times New Roman" w:hAnsi="Times New Roman"/>
          <w:sz w:val="24"/>
          <w:szCs w:val="24"/>
        </w:rPr>
        <w:t>§ 3º</w:t>
      </w:r>
      <w:r>
        <w:rPr>
          <w:rFonts w:ascii="Times New Roman" w:hAnsi="Times New Roman"/>
          <w:sz w:val="24"/>
          <w:szCs w:val="24"/>
        </w:rPr>
        <w:t xml:space="preserve"> do RISTF) autorizam</w:t>
      </w:r>
      <w:r w:rsidRPr="001A4B31">
        <w:rPr>
          <w:rFonts w:ascii="Times New Roman" w:hAnsi="Times New Roman"/>
          <w:sz w:val="24"/>
          <w:szCs w:val="24"/>
        </w:rPr>
        <w:t xml:space="preserve"> </w:t>
      </w:r>
      <w:r>
        <w:rPr>
          <w:rFonts w:ascii="Times New Roman" w:hAnsi="Times New Roman"/>
          <w:sz w:val="24"/>
          <w:szCs w:val="24"/>
        </w:rPr>
        <w:t xml:space="preserve">a </w:t>
      </w:r>
      <w:r w:rsidRPr="001A4B31">
        <w:rPr>
          <w:rFonts w:ascii="Times New Roman" w:hAnsi="Times New Roman"/>
          <w:sz w:val="24"/>
          <w:szCs w:val="24"/>
        </w:rPr>
        <w:t>possibilidade de intervenção do</w:t>
      </w:r>
      <w:r>
        <w:rPr>
          <w:rFonts w:ascii="Times New Roman" w:hAnsi="Times New Roman"/>
          <w:sz w:val="24"/>
          <w:szCs w:val="24"/>
        </w:rPr>
        <w:t xml:space="preserve"> denominado</w:t>
      </w:r>
      <w:r w:rsidRPr="001A4B31">
        <w:rPr>
          <w:rFonts w:ascii="Times New Roman" w:hAnsi="Times New Roman"/>
          <w:sz w:val="24"/>
          <w:szCs w:val="24"/>
        </w:rPr>
        <w:t xml:space="preserve"> </w:t>
      </w:r>
      <w:r w:rsidRPr="001A4B31">
        <w:rPr>
          <w:rFonts w:ascii="Times New Roman" w:hAnsi="Times New Roman"/>
          <w:i/>
          <w:sz w:val="24"/>
          <w:szCs w:val="24"/>
        </w:rPr>
        <w:t>amicus curiae</w:t>
      </w:r>
      <w:r w:rsidRPr="001A4B31">
        <w:rPr>
          <w:rFonts w:ascii="Times New Roman" w:hAnsi="Times New Roman"/>
          <w:sz w:val="24"/>
          <w:szCs w:val="24"/>
        </w:rPr>
        <w:t xml:space="preserve"> nos </w:t>
      </w:r>
      <w:r>
        <w:rPr>
          <w:rFonts w:ascii="Times New Roman" w:hAnsi="Times New Roman"/>
          <w:sz w:val="24"/>
          <w:szCs w:val="24"/>
        </w:rPr>
        <w:t>R</w:t>
      </w:r>
      <w:r w:rsidRPr="001A4B31">
        <w:rPr>
          <w:rFonts w:ascii="Times New Roman" w:hAnsi="Times New Roman"/>
          <w:sz w:val="24"/>
          <w:szCs w:val="24"/>
        </w:rPr>
        <w:t xml:space="preserve">ecursos </w:t>
      </w:r>
      <w:r>
        <w:rPr>
          <w:rFonts w:ascii="Times New Roman" w:hAnsi="Times New Roman"/>
          <w:sz w:val="24"/>
          <w:szCs w:val="24"/>
        </w:rPr>
        <w:t>E</w:t>
      </w:r>
      <w:r w:rsidRPr="001A4B31">
        <w:rPr>
          <w:rFonts w:ascii="Times New Roman" w:hAnsi="Times New Roman"/>
          <w:sz w:val="24"/>
          <w:szCs w:val="24"/>
        </w:rPr>
        <w:t>xtraordinários, antes de se decidir acerca da existência ou não da</w:t>
      </w:r>
      <w:r>
        <w:rPr>
          <w:rFonts w:ascii="Times New Roman" w:hAnsi="Times New Roman"/>
          <w:sz w:val="24"/>
          <w:szCs w:val="24"/>
        </w:rPr>
        <w:t xml:space="preserve"> R</w:t>
      </w:r>
      <w:r w:rsidRPr="001A4B31">
        <w:rPr>
          <w:rFonts w:ascii="Times New Roman" w:hAnsi="Times New Roman"/>
          <w:sz w:val="24"/>
          <w:szCs w:val="24"/>
        </w:rPr>
        <w:t xml:space="preserve">epercussão </w:t>
      </w:r>
      <w:r>
        <w:rPr>
          <w:rFonts w:ascii="Times New Roman" w:hAnsi="Times New Roman"/>
          <w:sz w:val="24"/>
          <w:szCs w:val="24"/>
        </w:rPr>
        <w:t>G</w:t>
      </w:r>
      <w:r w:rsidRPr="001A4B31">
        <w:rPr>
          <w:rFonts w:ascii="Times New Roman" w:hAnsi="Times New Roman"/>
          <w:sz w:val="24"/>
          <w:szCs w:val="24"/>
        </w:rPr>
        <w:t xml:space="preserve">eral da </w:t>
      </w:r>
      <w:r>
        <w:rPr>
          <w:rFonts w:ascii="Times New Roman" w:hAnsi="Times New Roman"/>
          <w:sz w:val="24"/>
          <w:szCs w:val="24"/>
        </w:rPr>
        <w:t>Questão C</w:t>
      </w:r>
      <w:r w:rsidRPr="001A4B31">
        <w:rPr>
          <w:rFonts w:ascii="Times New Roman" w:hAnsi="Times New Roman"/>
          <w:sz w:val="24"/>
          <w:szCs w:val="24"/>
        </w:rPr>
        <w:t>onstitucional.</w:t>
      </w:r>
      <w:r>
        <w:rPr>
          <w:rFonts w:ascii="Times New Roman" w:hAnsi="Times New Roman"/>
          <w:sz w:val="24"/>
          <w:szCs w:val="24"/>
        </w:rPr>
        <w:t xml:space="preserve"> Tal</w:t>
      </w:r>
      <w:r w:rsidRPr="00725D29">
        <w:rPr>
          <w:rFonts w:ascii="Times New Roman" w:hAnsi="Times New Roman"/>
          <w:sz w:val="24"/>
          <w:szCs w:val="24"/>
        </w:rPr>
        <w:t xml:space="preserve"> manifestação poderá ser espontânea</w:t>
      </w:r>
      <w:r>
        <w:rPr>
          <w:rFonts w:ascii="Times New Roman" w:hAnsi="Times New Roman"/>
          <w:sz w:val="24"/>
          <w:szCs w:val="24"/>
        </w:rPr>
        <w:t xml:space="preserve"> (mediante requerimento)</w:t>
      </w:r>
      <w:r w:rsidRPr="00725D29">
        <w:rPr>
          <w:rFonts w:ascii="Times New Roman" w:hAnsi="Times New Roman"/>
          <w:sz w:val="24"/>
          <w:szCs w:val="24"/>
        </w:rPr>
        <w:t xml:space="preserve"> ou</w:t>
      </w:r>
      <w:r>
        <w:rPr>
          <w:rFonts w:ascii="Times New Roman" w:hAnsi="Times New Roman"/>
          <w:sz w:val="24"/>
          <w:szCs w:val="24"/>
        </w:rPr>
        <w:t xml:space="preserve"> provocada, já que o Relator tem poderes,</w:t>
      </w:r>
      <w:r w:rsidRPr="00725D29">
        <w:rPr>
          <w:rFonts w:ascii="Times New Roman" w:hAnsi="Times New Roman"/>
          <w:sz w:val="24"/>
          <w:szCs w:val="24"/>
        </w:rPr>
        <w:t xml:space="preserve"> </w:t>
      </w:r>
      <w:r w:rsidRPr="00725D29">
        <w:rPr>
          <w:rFonts w:ascii="Times New Roman" w:hAnsi="Times New Roman"/>
          <w:i/>
          <w:sz w:val="24"/>
          <w:szCs w:val="24"/>
        </w:rPr>
        <w:t>ex officio</w:t>
      </w:r>
      <w:r>
        <w:rPr>
          <w:rFonts w:ascii="Times New Roman" w:hAnsi="Times New Roman"/>
          <w:sz w:val="24"/>
          <w:szCs w:val="24"/>
        </w:rPr>
        <w:t>,</w:t>
      </w:r>
      <w:r w:rsidRPr="00725D29">
        <w:rPr>
          <w:rFonts w:ascii="Times New Roman" w:hAnsi="Times New Roman"/>
          <w:sz w:val="24"/>
          <w:szCs w:val="24"/>
        </w:rPr>
        <w:t xml:space="preserve"> </w:t>
      </w:r>
      <w:r>
        <w:rPr>
          <w:rFonts w:ascii="Times New Roman" w:hAnsi="Times New Roman"/>
          <w:sz w:val="24"/>
          <w:szCs w:val="24"/>
        </w:rPr>
        <w:t xml:space="preserve">para </w:t>
      </w:r>
      <w:r w:rsidRPr="00725D29">
        <w:rPr>
          <w:rFonts w:ascii="Times New Roman" w:hAnsi="Times New Roman"/>
          <w:sz w:val="24"/>
          <w:szCs w:val="24"/>
        </w:rPr>
        <w:t>chamar o terceiro a</w:t>
      </w:r>
      <w:r>
        <w:rPr>
          <w:rFonts w:ascii="Times New Roman" w:hAnsi="Times New Roman"/>
          <w:sz w:val="24"/>
          <w:szCs w:val="24"/>
        </w:rPr>
        <w:t xml:space="preserve"> participar do julgamento da</w:t>
      </w:r>
      <w:r w:rsidRPr="00725D29">
        <w:rPr>
          <w:rFonts w:ascii="Times New Roman" w:hAnsi="Times New Roman"/>
          <w:sz w:val="24"/>
          <w:szCs w:val="24"/>
        </w:rPr>
        <w:t xml:space="preserve"> </w:t>
      </w:r>
      <w:r>
        <w:rPr>
          <w:rFonts w:ascii="Times New Roman" w:hAnsi="Times New Roman"/>
          <w:sz w:val="24"/>
          <w:szCs w:val="24"/>
        </w:rPr>
        <w:t>R</w:t>
      </w:r>
      <w:r w:rsidRPr="00725D29">
        <w:rPr>
          <w:rFonts w:ascii="Times New Roman" w:hAnsi="Times New Roman"/>
          <w:sz w:val="24"/>
          <w:szCs w:val="24"/>
        </w:rPr>
        <w:t>e</w:t>
      </w:r>
      <w:r>
        <w:rPr>
          <w:rFonts w:ascii="Times New Roman" w:hAnsi="Times New Roman"/>
          <w:sz w:val="24"/>
          <w:szCs w:val="24"/>
        </w:rPr>
        <w:t>percussão</w:t>
      </w:r>
      <w:r w:rsidRPr="00725D29">
        <w:rPr>
          <w:rFonts w:ascii="Times New Roman" w:hAnsi="Times New Roman"/>
          <w:sz w:val="24"/>
          <w:szCs w:val="24"/>
        </w:rPr>
        <w:t xml:space="preserve"> </w:t>
      </w:r>
      <w:r>
        <w:rPr>
          <w:rFonts w:ascii="Times New Roman" w:hAnsi="Times New Roman"/>
          <w:sz w:val="24"/>
          <w:szCs w:val="24"/>
        </w:rPr>
        <w:t>Geral</w:t>
      </w:r>
      <w:r w:rsidRPr="00725D29">
        <w:rPr>
          <w:rFonts w:ascii="Times New Roman" w:hAnsi="Times New Roman"/>
          <w:sz w:val="24"/>
          <w:szCs w:val="24"/>
        </w:rPr>
        <w:t xml:space="preserve">. </w:t>
      </w:r>
    </w:p>
    <w:p w:rsidR="00D549BC" w:rsidRDefault="00D549BC" w:rsidP="00A129DA">
      <w:pPr>
        <w:spacing w:after="240"/>
        <w:contextualSpacing/>
        <w:rPr>
          <w:rFonts w:ascii="Times New Roman" w:hAnsi="Times New Roman"/>
          <w:sz w:val="24"/>
          <w:szCs w:val="24"/>
        </w:rPr>
      </w:pPr>
      <w:r w:rsidRPr="00725D29">
        <w:rPr>
          <w:rFonts w:ascii="Times New Roman" w:hAnsi="Times New Roman"/>
          <w:sz w:val="24"/>
          <w:szCs w:val="24"/>
        </w:rPr>
        <w:t xml:space="preserve">Nessa segunda hipótese, o </w:t>
      </w:r>
      <w:r w:rsidRPr="00725D29">
        <w:rPr>
          <w:rFonts w:ascii="Times New Roman" w:hAnsi="Times New Roman"/>
          <w:i/>
          <w:sz w:val="24"/>
          <w:szCs w:val="24"/>
        </w:rPr>
        <w:t>amicus curiae</w:t>
      </w:r>
      <w:r w:rsidRPr="00725D29">
        <w:rPr>
          <w:rFonts w:ascii="Times New Roman" w:hAnsi="Times New Roman"/>
          <w:sz w:val="24"/>
          <w:szCs w:val="24"/>
        </w:rPr>
        <w:t xml:space="preserve"> </w:t>
      </w:r>
      <w:r>
        <w:rPr>
          <w:rFonts w:ascii="Times New Roman" w:hAnsi="Times New Roman"/>
          <w:sz w:val="24"/>
          <w:szCs w:val="24"/>
        </w:rPr>
        <w:t>s</w:t>
      </w:r>
      <w:r w:rsidRPr="00725D29">
        <w:rPr>
          <w:rFonts w:ascii="Times New Roman" w:hAnsi="Times New Roman"/>
          <w:sz w:val="24"/>
          <w:szCs w:val="24"/>
        </w:rPr>
        <w:t>er</w:t>
      </w:r>
      <w:r>
        <w:rPr>
          <w:rFonts w:ascii="Times New Roman" w:hAnsi="Times New Roman"/>
          <w:sz w:val="24"/>
          <w:szCs w:val="24"/>
        </w:rPr>
        <w:t>á</w:t>
      </w:r>
      <w:r w:rsidRPr="00725D29">
        <w:rPr>
          <w:rFonts w:ascii="Times New Roman" w:hAnsi="Times New Roman"/>
          <w:sz w:val="24"/>
          <w:szCs w:val="24"/>
        </w:rPr>
        <w:t xml:space="preserve"> simplesmente convidado a intervir, sendo-lhe </w:t>
      </w:r>
      <w:r>
        <w:rPr>
          <w:rFonts w:ascii="Times New Roman" w:hAnsi="Times New Roman"/>
          <w:sz w:val="24"/>
          <w:szCs w:val="24"/>
        </w:rPr>
        <w:t>permitido</w:t>
      </w:r>
      <w:r w:rsidRPr="00725D29">
        <w:rPr>
          <w:rFonts w:ascii="Times New Roman" w:hAnsi="Times New Roman"/>
          <w:sz w:val="24"/>
          <w:szCs w:val="24"/>
        </w:rPr>
        <w:t xml:space="preserve"> recusar </w:t>
      </w:r>
      <w:r>
        <w:rPr>
          <w:rFonts w:ascii="Times New Roman" w:hAnsi="Times New Roman"/>
          <w:sz w:val="24"/>
          <w:szCs w:val="24"/>
        </w:rPr>
        <w:t xml:space="preserve">a </w:t>
      </w:r>
      <w:r w:rsidRPr="00725D29">
        <w:rPr>
          <w:rFonts w:ascii="Times New Roman" w:hAnsi="Times New Roman"/>
          <w:sz w:val="24"/>
          <w:szCs w:val="24"/>
        </w:rPr>
        <w:t xml:space="preserve">participação, ou </w:t>
      </w:r>
      <w:r>
        <w:rPr>
          <w:rFonts w:ascii="Times New Roman" w:hAnsi="Times New Roman"/>
          <w:sz w:val="24"/>
          <w:szCs w:val="24"/>
        </w:rPr>
        <w:t>aceitá-la</w:t>
      </w:r>
      <w:r w:rsidRPr="00725D29">
        <w:rPr>
          <w:rFonts w:ascii="Times New Roman" w:hAnsi="Times New Roman"/>
          <w:sz w:val="24"/>
          <w:szCs w:val="24"/>
        </w:rPr>
        <w:t xml:space="preserve"> </w:t>
      </w:r>
      <w:r>
        <w:rPr>
          <w:rFonts w:ascii="Times New Roman" w:hAnsi="Times New Roman"/>
          <w:sz w:val="24"/>
          <w:szCs w:val="24"/>
        </w:rPr>
        <w:t>com o compromisso</w:t>
      </w:r>
      <w:r w:rsidRPr="00725D29">
        <w:rPr>
          <w:rFonts w:ascii="Times New Roman" w:hAnsi="Times New Roman"/>
          <w:sz w:val="24"/>
          <w:szCs w:val="24"/>
        </w:rPr>
        <w:t xml:space="preserve"> de colaborar, </w:t>
      </w:r>
      <w:r>
        <w:rPr>
          <w:rFonts w:ascii="Times New Roman" w:hAnsi="Times New Roman"/>
          <w:sz w:val="24"/>
          <w:szCs w:val="24"/>
        </w:rPr>
        <w:t>conforme</w:t>
      </w:r>
      <w:r w:rsidRPr="00725D29">
        <w:rPr>
          <w:rFonts w:ascii="Times New Roman" w:hAnsi="Times New Roman"/>
          <w:sz w:val="24"/>
          <w:szCs w:val="24"/>
        </w:rPr>
        <w:t xml:space="preserve"> determina o artigo 341,</w:t>
      </w:r>
      <w:r>
        <w:rPr>
          <w:rFonts w:ascii="Times New Roman" w:hAnsi="Times New Roman"/>
          <w:sz w:val="24"/>
          <w:szCs w:val="24"/>
        </w:rPr>
        <w:t xml:space="preserve"> </w:t>
      </w:r>
      <w:r w:rsidRPr="00725D29">
        <w:rPr>
          <w:rFonts w:ascii="Times New Roman" w:hAnsi="Times New Roman"/>
          <w:sz w:val="24"/>
          <w:szCs w:val="24"/>
        </w:rPr>
        <w:t>inciso I, do CPC</w:t>
      </w:r>
      <w:r>
        <w:rPr>
          <w:rFonts w:ascii="Times New Roman" w:hAnsi="Times New Roman"/>
          <w:sz w:val="24"/>
          <w:szCs w:val="24"/>
        </w:rPr>
        <w:t>.</w:t>
      </w:r>
      <w:r>
        <w:rPr>
          <w:rStyle w:val="FootnoteReference"/>
          <w:rFonts w:ascii="Times New Roman" w:hAnsi="Times New Roman"/>
          <w:sz w:val="24"/>
          <w:szCs w:val="24"/>
        </w:rPr>
        <w:footnoteReference w:id="194"/>
      </w:r>
      <w:r w:rsidRPr="00725D29">
        <w:rPr>
          <w:rFonts w:ascii="Times New Roman" w:hAnsi="Times New Roman"/>
          <w:sz w:val="24"/>
          <w:szCs w:val="24"/>
        </w:rPr>
        <w:t xml:space="preserve"> É preciso</w:t>
      </w:r>
      <w:r>
        <w:rPr>
          <w:rFonts w:ascii="Times New Roman" w:hAnsi="Times New Roman"/>
          <w:sz w:val="24"/>
          <w:szCs w:val="24"/>
        </w:rPr>
        <w:t>, por conseguinte,</w:t>
      </w:r>
      <w:r w:rsidRPr="00725D29">
        <w:rPr>
          <w:rFonts w:ascii="Times New Roman" w:hAnsi="Times New Roman"/>
          <w:sz w:val="24"/>
          <w:szCs w:val="24"/>
        </w:rPr>
        <w:t xml:space="preserve"> que </w:t>
      </w:r>
      <w:r>
        <w:rPr>
          <w:rFonts w:ascii="Times New Roman" w:hAnsi="Times New Roman"/>
          <w:sz w:val="24"/>
          <w:szCs w:val="24"/>
        </w:rPr>
        <w:t>a</w:t>
      </w:r>
      <w:r w:rsidRPr="00725D29">
        <w:rPr>
          <w:rFonts w:ascii="Times New Roman" w:hAnsi="Times New Roman"/>
          <w:sz w:val="24"/>
          <w:szCs w:val="24"/>
        </w:rPr>
        <w:t xml:space="preserve"> de</w:t>
      </w:r>
      <w:r>
        <w:rPr>
          <w:rFonts w:ascii="Times New Roman" w:hAnsi="Times New Roman"/>
          <w:sz w:val="24"/>
          <w:szCs w:val="24"/>
        </w:rPr>
        <w:t>cisão</w:t>
      </w:r>
      <w:r w:rsidRPr="00725D29">
        <w:rPr>
          <w:rFonts w:ascii="Times New Roman" w:hAnsi="Times New Roman"/>
          <w:sz w:val="24"/>
          <w:szCs w:val="24"/>
        </w:rPr>
        <w:t xml:space="preserve"> do Ministro Relator</w:t>
      </w:r>
      <w:r>
        <w:rPr>
          <w:rFonts w:ascii="Times New Roman" w:hAnsi="Times New Roman"/>
          <w:sz w:val="24"/>
          <w:szCs w:val="24"/>
        </w:rPr>
        <w:t>,</w:t>
      </w:r>
      <w:r w:rsidRPr="00725D29">
        <w:rPr>
          <w:rFonts w:ascii="Times New Roman" w:hAnsi="Times New Roman"/>
          <w:sz w:val="24"/>
          <w:szCs w:val="24"/>
        </w:rPr>
        <w:t xml:space="preserve"> </w:t>
      </w:r>
      <w:r>
        <w:rPr>
          <w:rFonts w:ascii="Times New Roman" w:hAnsi="Times New Roman"/>
          <w:sz w:val="24"/>
          <w:szCs w:val="24"/>
        </w:rPr>
        <w:t xml:space="preserve">que requer a participação de terceiros, </w:t>
      </w:r>
      <w:r w:rsidRPr="00725D29">
        <w:rPr>
          <w:rFonts w:ascii="Times New Roman" w:hAnsi="Times New Roman"/>
          <w:sz w:val="24"/>
          <w:szCs w:val="24"/>
        </w:rPr>
        <w:t>deixe</w:t>
      </w:r>
      <w:r>
        <w:rPr>
          <w:rFonts w:ascii="Times New Roman" w:hAnsi="Times New Roman"/>
          <w:sz w:val="24"/>
          <w:szCs w:val="24"/>
        </w:rPr>
        <w:t xml:space="preserve"> essas</w:t>
      </w:r>
      <w:r w:rsidRPr="00725D29">
        <w:rPr>
          <w:rFonts w:ascii="Times New Roman" w:hAnsi="Times New Roman"/>
          <w:sz w:val="24"/>
          <w:szCs w:val="24"/>
        </w:rPr>
        <w:t xml:space="preserve"> </w:t>
      </w:r>
      <w:r>
        <w:rPr>
          <w:rFonts w:ascii="Times New Roman" w:hAnsi="Times New Roman"/>
          <w:sz w:val="24"/>
          <w:szCs w:val="24"/>
        </w:rPr>
        <w:t>alternativas</w:t>
      </w:r>
      <w:r w:rsidRPr="00725D29">
        <w:rPr>
          <w:rFonts w:ascii="Times New Roman" w:hAnsi="Times New Roman"/>
          <w:sz w:val="24"/>
          <w:szCs w:val="24"/>
        </w:rPr>
        <w:t xml:space="preserve"> bastante clara</w:t>
      </w:r>
      <w:r>
        <w:rPr>
          <w:rFonts w:ascii="Times New Roman" w:hAnsi="Times New Roman"/>
          <w:sz w:val="24"/>
          <w:szCs w:val="24"/>
        </w:rPr>
        <w:t xml:space="preserve">s. </w:t>
      </w:r>
    </w:p>
    <w:p w:rsidR="00D549BC" w:rsidRDefault="00D549BC" w:rsidP="00A129DA">
      <w:pPr>
        <w:spacing w:after="240"/>
        <w:contextualSpacing/>
        <w:rPr>
          <w:rFonts w:ascii="Times New Roman" w:hAnsi="Times New Roman"/>
          <w:sz w:val="24"/>
          <w:szCs w:val="24"/>
        </w:rPr>
      </w:pPr>
      <w:r>
        <w:rPr>
          <w:rFonts w:ascii="Times New Roman" w:hAnsi="Times New Roman"/>
          <w:sz w:val="24"/>
          <w:szCs w:val="24"/>
        </w:rPr>
        <w:t xml:space="preserve">A participação do </w:t>
      </w:r>
      <w:r w:rsidRPr="007F6BE1">
        <w:rPr>
          <w:rFonts w:ascii="Times New Roman" w:hAnsi="Times New Roman"/>
          <w:i/>
          <w:sz w:val="24"/>
          <w:szCs w:val="24"/>
        </w:rPr>
        <w:t>amicus curiae</w:t>
      </w:r>
      <w:r>
        <w:rPr>
          <w:rFonts w:ascii="Times New Roman" w:hAnsi="Times New Roman"/>
          <w:sz w:val="24"/>
          <w:szCs w:val="24"/>
        </w:rPr>
        <w:t xml:space="preserve"> no julgamento de Recursos Extraordinários tem por escopo </w:t>
      </w:r>
      <w:r w:rsidRPr="00420AFC">
        <w:rPr>
          <w:rFonts w:ascii="Times New Roman" w:hAnsi="Times New Roman"/>
          <w:sz w:val="24"/>
          <w:szCs w:val="24"/>
        </w:rPr>
        <w:t>legitimar, democratizar e</w:t>
      </w:r>
      <w:r>
        <w:rPr>
          <w:rFonts w:ascii="Times New Roman" w:hAnsi="Times New Roman"/>
          <w:sz w:val="24"/>
          <w:szCs w:val="24"/>
        </w:rPr>
        <w:t xml:space="preserve"> </w:t>
      </w:r>
      <w:r w:rsidRPr="00420AFC">
        <w:rPr>
          <w:rFonts w:ascii="Times New Roman" w:hAnsi="Times New Roman"/>
          <w:sz w:val="24"/>
          <w:szCs w:val="24"/>
        </w:rPr>
        <w:t>valorizar as decisões da Corte Suprema</w:t>
      </w:r>
      <w:r>
        <w:rPr>
          <w:rFonts w:ascii="Times New Roman" w:hAnsi="Times New Roman"/>
          <w:sz w:val="24"/>
          <w:szCs w:val="24"/>
        </w:rPr>
        <w:t xml:space="preserve">, </w:t>
      </w:r>
      <w:r w:rsidRPr="00420AFC">
        <w:rPr>
          <w:rFonts w:ascii="Times New Roman" w:hAnsi="Times New Roman"/>
          <w:sz w:val="24"/>
          <w:szCs w:val="24"/>
        </w:rPr>
        <w:t>sobretudo aquelas que</w:t>
      </w:r>
      <w:r>
        <w:rPr>
          <w:rFonts w:ascii="Times New Roman" w:hAnsi="Times New Roman"/>
          <w:sz w:val="24"/>
          <w:szCs w:val="24"/>
        </w:rPr>
        <w:t xml:space="preserve"> </w:t>
      </w:r>
      <w:r w:rsidRPr="00420AFC">
        <w:rPr>
          <w:rFonts w:ascii="Times New Roman" w:hAnsi="Times New Roman"/>
          <w:sz w:val="24"/>
          <w:szCs w:val="24"/>
        </w:rPr>
        <w:t>projetam eficácia sobre um número considerável de jurisdicionados</w:t>
      </w:r>
      <w:r>
        <w:rPr>
          <w:rFonts w:ascii="Times New Roman" w:hAnsi="Times New Roman"/>
          <w:sz w:val="24"/>
          <w:szCs w:val="24"/>
        </w:rPr>
        <w:t xml:space="preserve">. Haveria, portanto, não um </w:t>
      </w:r>
      <w:r w:rsidRPr="00420AFC">
        <w:rPr>
          <w:rFonts w:ascii="Times New Roman" w:hAnsi="Times New Roman"/>
          <w:sz w:val="24"/>
          <w:szCs w:val="24"/>
        </w:rPr>
        <w:t>interesse jurídico</w:t>
      </w:r>
      <w:r>
        <w:rPr>
          <w:rStyle w:val="FootnoteReference"/>
          <w:rFonts w:ascii="Times New Roman" w:hAnsi="Times New Roman"/>
          <w:sz w:val="24"/>
          <w:szCs w:val="24"/>
        </w:rPr>
        <w:footnoteReference w:id="195"/>
      </w:r>
      <w:r w:rsidRPr="00420AFC">
        <w:rPr>
          <w:rFonts w:ascii="Times New Roman" w:hAnsi="Times New Roman"/>
          <w:sz w:val="24"/>
          <w:szCs w:val="24"/>
        </w:rPr>
        <w:t xml:space="preserve"> – que legitima a interve</w:t>
      </w:r>
      <w:r>
        <w:rPr>
          <w:rFonts w:ascii="Times New Roman" w:hAnsi="Times New Roman"/>
          <w:sz w:val="24"/>
          <w:szCs w:val="24"/>
        </w:rPr>
        <w:t xml:space="preserve">nção de terceiros no processo </w:t>
      </w:r>
      <w:r w:rsidRPr="00420AFC">
        <w:rPr>
          <w:rFonts w:ascii="Times New Roman" w:hAnsi="Times New Roman"/>
          <w:sz w:val="24"/>
          <w:szCs w:val="24"/>
        </w:rPr>
        <w:t>–</w:t>
      </w:r>
      <w:r>
        <w:rPr>
          <w:rFonts w:ascii="Times New Roman" w:hAnsi="Times New Roman"/>
          <w:sz w:val="24"/>
          <w:szCs w:val="24"/>
        </w:rPr>
        <w:t>,</w:t>
      </w:r>
      <w:r w:rsidRPr="00420AFC">
        <w:rPr>
          <w:rFonts w:ascii="Times New Roman" w:hAnsi="Times New Roman"/>
          <w:sz w:val="24"/>
          <w:szCs w:val="24"/>
        </w:rPr>
        <w:t xml:space="preserve"> mas o que BRUNO DANTAS</w:t>
      </w:r>
      <w:r>
        <w:rPr>
          <w:rStyle w:val="FootnoteReference"/>
          <w:rFonts w:ascii="Times New Roman" w:hAnsi="Times New Roman"/>
          <w:sz w:val="24"/>
          <w:szCs w:val="24"/>
        </w:rPr>
        <w:footnoteReference w:id="196"/>
      </w:r>
      <w:r w:rsidRPr="00420AFC">
        <w:rPr>
          <w:rFonts w:ascii="Times New Roman" w:hAnsi="Times New Roman"/>
          <w:sz w:val="24"/>
          <w:szCs w:val="24"/>
        </w:rPr>
        <w:t xml:space="preserve"> denomina de </w:t>
      </w:r>
      <w:r w:rsidRPr="00340A0B">
        <w:rPr>
          <w:rFonts w:ascii="Times New Roman" w:hAnsi="Times New Roman"/>
          <w:i/>
          <w:sz w:val="24"/>
          <w:szCs w:val="24"/>
        </w:rPr>
        <w:t>interesse institucional</w:t>
      </w:r>
      <w:r w:rsidRPr="00420AFC">
        <w:rPr>
          <w:rFonts w:ascii="Times New Roman" w:hAnsi="Times New Roman"/>
          <w:sz w:val="24"/>
          <w:szCs w:val="24"/>
        </w:rPr>
        <w:t>, no sentido de que a</w:t>
      </w:r>
      <w:r>
        <w:rPr>
          <w:rFonts w:ascii="Times New Roman" w:hAnsi="Times New Roman"/>
          <w:sz w:val="24"/>
          <w:szCs w:val="24"/>
        </w:rPr>
        <w:t xml:space="preserve"> </w:t>
      </w:r>
      <w:r w:rsidRPr="00420AFC">
        <w:rPr>
          <w:rFonts w:ascii="Times New Roman" w:hAnsi="Times New Roman"/>
          <w:sz w:val="24"/>
          <w:szCs w:val="24"/>
        </w:rPr>
        <w:t>decisão do STF acerca desse requisito de admissibilidade seja a</w:t>
      </w:r>
      <w:r>
        <w:rPr>
          <w:rFonts w:ascii="Times New Roman" w:hAnsi="Times New Roman"/>
          <w:sz w:val="24"/>
          <w:szCs w:val="24"/>
        </w:rPr>
        <w:t xml:space="preserve"> </w:t>
      </w:r>
      <w:r w:rsidRPr="00420AFC">
        <w:rPr>
          <w:rFonts w:ascii="Times New Roman" w:hAnsi="Times New Roman"/>
          <w:sz w:val="24"/>
          <w:szCs w:val="24"/>
        </w:rPr>
        <w:t>melhor possível, até porque ela</w:t>
      </w:r>
      <w:r>
        <w:rPr>
          <w:rFonts w:ascii="Times New Roman" w:hAnsi="Times New Roman"/>
          <w:sz w:val="24"/>
          <w:szCs w:val="24"/>
        </w:rPr>
        <w:t xml:space="preserve"> pode gerar efeitos a terceiros</w:t>
      </w:r>
      <w:r w:rsidRPr="00420AFC">
        <w:rPr>
          <w:rFonts w:ascii="Times New Roman" w:hAnsi="Times New Roman"/>
          <w:sz w:val="24"/>
          <w:szCs w:val="24"/>
        </w:rPr>
        <w:t xml:space="preserve"> que não participa</w:t>
      </w:r>
      <w:r>
        <w:rPr>
          <w:rFonts w:ascii="Times New Roman" w:hAnsi="Times New Roman"/>
          <w:sz w:val="24"/>
          <w:szCs w:val="24"/>
        </w:rPr>
        <w:t>ram</w:t>
      </w:r>
      <w:r w:rsidRPr="00420AFC">
        <w:rPr>
          <w:rFonts w:ascii="Times New Roman" w:hAnsi="Times New Roman"/>
          <w:sz w:val="24"/>
          <w:szCs w:val="24"/>
        </w:rPr>
        <w:t>,</w:t>
      </w:r>
      <w:r>
        <w:rPr>
          <w:rFonts w:ascii="Times New Roman" w:hAnsi="Times New Roman"/>
          <w:sz w:val="24"/>
          <w:szCs w:val="24"/>
        </w:rPr>
        <w:t xml:space="preserve"> </w:t>
      </w:r>
      <w:r w:rsidRPr="00420AFC">
        <w:rPr>
          <w:rFonts w:ascii="Times New Roman" w:hAnsi="Times New Roman"/>
          <w:sz w:val="24"/>
          <w:szCs w:val="24"/>
        </w:rPr>
        <w:t>diretamente, do</w:t>
      </w:r>
      <w:r>
        <w:rPr>
          <w:rFonts w:ascii="Times New Roman" w:hAnsi="Times New Roman"/>
          <w:sz w:val="24"/>
          <w:szCs w:val="24"/>
        </w:rPr>
        <w:t xml:space="preserve"> julgamento. </w:t>
      </w:r>
    </w:p>
    <w:p w:rsidR="00D549BC" w:rsidRDefault="00D549BC" w:rsidP="00D53774">
      <w:pPr>
        <w:spacing w:after="240"/>
        <w:contextualSpacing/>
        <w:rPr>
          <w:rFonts w:ascii="Times New Roman" w:hAnsi="Times New Roman"/>
          <w:sz w:val="24"/>
          <w:szCs w:val="24"/>
        </w:rPr>
      </w:pPr>
      <w:r>
        <w:rPr>
          <w:rFonts w:ascii="Times New Roman" w:hAnsi="Times New Roman"/>
          <w:sz w:val="24"/>
          <w:szCs w:val="24"/>
        </w:rPr>
        <w:t xml:space="preserve">Questão importante sobre a presente temática é a que diz respeito ao âmbito de atuação do </w:t>
      </w:r>
      <w:r w:rsidRPr="007542B6">
        <w:rPr>
          <w:rFonts w:ascii="Times New Roman" w:hAnsi="Times New Roman"/>
          <w:i/>
          <w:sz w:val="24"/>
          <w:szCs w:val="24"/>
        </w:rPr>
        <w:t>amicus curiae</w:t>
      </w:r>
      <w:r>
        <w:rPr>
          <w:rFonts w:ascii="Times New Roman" w:hAnsi="Times New Roman"/>
          <w:sz w:val="24"/>
          <w:szCs w:val="24"/>
        </w:rPr>
        <w:t xml:space="preserve">, isto é, se ele estaria restrito à preliminar de Repercussão Geral ou se também poderia haver manifestação quanto ao mérito do Recurso Extraordinário. O STF já se manifestou sobre o assunto </w:t>
      </w:r>
      <w:r w:rsidRPr="00807D02">
        <w:rPr>
          <w:rFonts w:ascii="Times New Roman" w:hAnsi="Times New Roman"/>
          <w:sz w:val="24"/>
          <w:szCs w:val="24"/>
        </w:rPr>
        <w:t>no julgamento do RE nº 565.714-</w:t>
      </w:r>
      <w:r>
        <w:rPr>
          <w:rFonts w:ascii="Times New Roman" w:hAnsi="Times New Roman"/>
          <w:sz w:val="24"/>
          <w:szCs w:val="24"/>
        </w:rPr>
        <w:t xml:space="preserve">1/SP, cujo voto da Ministra Relatora, Cármen Lúcia, entendeu que: </w:t>
      </w:r>
    </w:p>
    <w:p w:rsidR="00D549BC" w:rsidRDefault="00D549BC" w:rsidP="00935FF1">
      <w:pPr>
        <w:spacing w:after="240" w:line="240" w:lineRule="auto"/>
        <w:ind w:left="2268" w:firstLine="0"/>
        <w:contextualSpacing/>
        <w:rPr>
          <w:rFonts w:ascii="Times New Roman" w:hAnsi="Times New Roman"/>
          <w:szCs w:val="24"/>
        </w:rPr>
      </w:pPr>
      <w:r w:rsidRPr="00935FF1">
        <w:rPr>
          <w:rFonts w:ascii="Times New Roman" w:hAnsi="Times New Roman"/>
          <w:szCs w:val="24"/>
        </w:rPr>
        <w:t xml:space="preserve">Os arts. 543-A, § 6º, do Código de Processo Civil e o art. 323, § 3º, do Regimento Interno do Supremo Tribunal Federal têm por objetivo deixar claro que a presença do </w:t>
      </w:r>
      <w:r w:rsidRPr="00935FF1">
        <w:rPr>
          <w:rFonts w:ascii="Times New Roman" w:hAnsi="Times New Roman"/>
          <w:i/>
          <w:szCs w:val="24"/>
        </w:rPr>
        <w:t>amicus curiae</w:t>
      </w:r>
      <w:r w:rsidRPr="00935FF1">
        <w:rPr>
          <w:rFonts w:ascii="Times New Roman" w:hAnsi="Times New Roman"/>
          <w:szCs w:val="24"/>
        </w:rPr>
        <w:t xml:space="preserve"> será admitida mesmo em se tratando de fase em que não se examinará o mérito submetido a controle de constitucionalidade (momento em que a manifestação de terceiros é mais comum), mas apenas se avaliará a existência dos requisitos de relevância e transcendência que configurem a existência da repercussão geral.</w:t>
      </w:r>
    </w:p>
    <w:p w:rsidR="00D549BC" w:rsidRDefault="00D549BC" w:rsidP="00935FF1">
      <w:pPr>
        <w:spacing w:after="240" w:line="240" w:lineRule="auto"/>
        <w:ind w:left="2268" w:firstLine="0"/>
        <w:contextualSpacing/>
        <w:rPr>
          <w:rFonts w:ascii="Times New Roman" w:hAnsi="Times New Roman"/>
          <w:szCs w:val="24"/>
        </w:rPr>
      </w:pPr>
      <w:r w:rsidRPr="00935FF1">
        <w:rPr>
          <w:rFonts w:ascii="Times New Roman" w:hAnsi="Times New Roman"/>
          <w:i/>
          <w:szCs w:val="24"/>
        </w:rPr>
        <w:t>A presença do amicus curiae no momento em que se julgará a questão constitucional cuja repercussão geral fora reconhecida não só é possível como é desejável</w:t>
      </w:r>
      <w:r>
        <w:rPr>
          <w:rFonts w:ascii="Times New Roman" w:hAnsi="Times New Roman"/>
          <w:i/>
          <w:szCs w:val="24"/>
        </w:rPr>
        <w:t>.</w:t>
      </w:r>
      <w:r w:rsidRPr="008661CC">
        <w:rPr>
          <w:rStyle w:val="FootnoteReference"/>
          <w:rFonts w:ascii="Times New Roman" w:hAnsi="Times New Roman"/>
          <w:szCs w:val="24"/>
        </w:rPr>
        <w:footnoteReference w:id="197"/>
      </w:r>
      <w:r>
        <w:rPr>
          <w:rFonts w:ascii="Times New Roman" w:hAnsi="Times New Roman"/>
          <w:szCs w:val="24"/>
        </w:rPr>
        <w:t xml:space="preserve"> </w:t>
      </w:r>
    </w:p>
    <w:p w:rsidR="00D549BC" w:rsidRDefault="00D549BC" w:rsidP="00935FF1">
      <w:pPr>
        <w:spacing w:after="240" w:line="240" w:lineRule="auto"/>
        <w:contextualSpacing/>
        <w:rPr>
          <w:rFonts w:ascii="Times New Roman" w:hAnsi="Times New Roman"/>
          <w:szCs w:val="24"/>
        </w:rPr>
      </w:pPr>
    </w:p>
    <w:p w:rsidR="00D549BC" w:rsidRDefault="00D549BC" w:rsidP="00935FF1">
      <w:pPr>
        <w:spacing w:after="240" w:line="240" w:lineRule="auto"/>
        <w:contextualSpacing/>
        <w:rPr>
          <w:rFonts w:ascii="Times New Roman" w:hAnsi="Times New Roman"/>
          <w:szCs w:val="24"/>
        </w:rPr>
      </w:pPr>
    </w:p>
    <w:p w:rsidR="00D549BC" w:rsidRPr="002D66AB" w:rsidRDefault="00D549BC" w:rsidP="00D26BB6">
      <w:pPr>
        <w:spacing w:after="240"/>
        <w:contextualSpacing/>
        <w:rPr>
          <w:rFonts w:ascii="Times New Roman" w:hAnsi="Times New Roman"/>
          <w:sz w:val="24"/>
          <w:szCs w:val="24"/>
        </w:rPr>
      </w:pPr>
      <w:r w:rsidRPr="002D66AB">
        <w:rPr>
          <w:rFonts w:ascii="Times New Roman" w:hAnsi="Times New Roman"/>
          <w:sz w:val="24"/>
          <w:szCs w:val="24"/>
        </w:rPr>
        <w:t xml:space="preserve">Com efeito, o terceiro que tiver a participação deferida como </w:t>
      </w:r>
      <w:r w:rsidRPr="002D66AB">
        <w:rPr>
          <w:rFonts w:ascii="Times New Roman" w:hAnsi="Times New Roman"/>
          <w:i/>
          <w:sz w:val="24"/>
          <w:szCs w:val="24"/>
        </w:rPr>
        <w:t>amicus curiae</w:t>
      </w:r>
      <w:r w:rsidRPr="002D66AB">
        <w:rPr>
          <w:rFonts w:ascii="Times New Roman" w:hAnsi="Times New Roman"/>
          <w:sz w:val="24"/>
          <w:szCs w:val="24"/>
        </w:rPr>
        <w:t xml:space="preserve"> poderá abordar tanto a questão pertinente à Repercussão Geral, quanto ao próprio mérito do Recurso Extraordinário. </w:t>
      </w:r>
    </w:p>
    <w:p w:rsidR="00D549BC" w:rsidRPr="002D66AB" w:rsidRDefault="00D549BC" w:rsidP="00D26BB6">
      <w:pPr>
        <w:spacing w:after="240"/>
        <w:contextualSpacing/>
        <w:rPr>
          <w:rFonts w:ascii="Times New Roman" w:hAnsi="Times New Roman"/>
          <w:sz w:val="24"/>
          <w:szCs w:val="24"/>
        </w:rPr>
      </w:pPr>
      <w:r w:rsidRPr="002D66AB">
        <w:rPr>
          <w:rFonts w:ascii="Times New Roman" w:hAnsi="Times New Roman"/>
          <w:sz w:val="24"/>
          <w:szCs w:val="24"/>
        </w:rPr>
        <w:t>Outro ponto importante</w:t>
      </w:r>
      <w:r>
        <w:rPr>
          <w:rFonts w:ascii="Times New Roman" w:hAnsi="Times New Roman"/>
          <w:sz w:val="24"/>
          <w:szCs w:val="24"/>
        </w:rPr>
        <w:t>,</w:t>
      </w:r>
      <w:r w:rsidRPr="002D66AB">
        <w:rPr>
          <w:rFonts w:ascii="Times New Roman" w:hAnsi="Times New Roman"/>
          <w:sz w:val="24"/>
          <w:szCs w:val="24"/>
        </w:rPr>
        <w:t xml:space="preserve"> levantado no julgamento do RE 565.174/SP</w:t>
      </w:r>
      <w:r>
        <w:rPr>
          <w:rFonts w:ascii="Times New Roman" w:hAnsi="Times New Roman"/>
          <w:sz w:val="24"/>
          <w:szCs w:val="24"/>
        </w:rPr>
        <w:t>,</w:t>
      </w:r>
      <w:r w:rsidRPr="002D66AB">
        <w:rPr>
          <w:rFonts w:ascii="Times New Roman" w:hAnsi="Times New Roman"/>
          <w:sz w:val="24"/>
          <w:szCs w:val="24"/>
        </w:rPr>
        <w:t xml:space="preserve"> foi sobre a possibilidade de o recorrente que teve o seu recurso excepcional sobrestado (nos termos do artigo 543-B, § 1º do CPC) ter o direito</w:t>
      </w:r>
      <w:r>
        <w:rPr>
          <w:rFonts w:ascii="Times New Roman" w:hAnsi="Times New Roman"/>
          <w:sz w:val="24"/>
          <w:szCs w:val="24"/>
        </w:rPr>
        <w:t xml:space="preserve"> ou não</w:t>
      </w:r>
      <w:r w:rsidRPr="002D66AB">
        <w:rPr>
          <w:rFonts w:ascii="Times New Roman" w:hAnsi="Times New Roman"/>
          <w:sz w:val="24"/>
          <w:szCs w:val="24"/>
        </w:rPr>
        <w:t xml:space="preserve"> de intervir como </w:t>
      </w:r>
      <w:r w:rsidRPr="002D66AB">
        <w:rPr>
          <w:rFonts w:ascii="Times New Roman" w:hAnsi="Times New Roman"/>
          <w:i/>
          <w:sz w:val="24"/>
          <w:szCs w:val="24"/>
        </w:rPr>
        <w:t xml:space="preserve">amicus curiae </w:t>
      </w:r>
      <w:r w:rsidRPr="002D66AB">
        <w:rPr>
          <w:rFonts w:ascii="Times New Roman" w:hAnsi="Times New Roman"/>
          <w:sz w:val="24"/>
          <w:szCs w:val="24"/>
        </w:rPr>
        <w:t>e, consequentemente, manifestar</w:t>
      </w:r>
      <w:r>
        <w:rPr>
          <w:rFonts w:ascii="Times New Roman" w:hAnsi="Times New Roman"/>
          <w:sz w:val="24"/>
          <w:szCs w:val="24"/>
        </w:rPr>
        <w:t>-se</w:t>
      </w:r>
      <w:r w:rsidRPr="002D66AB">
        <w:rPr>
          <w:rFonts w:ascii="Times New Roman" w:hAnsi="Times New Roman"/>
          <w:sz w:val="24"/>
          <w:szCs w:val="24"/>
        </w:rPr>
        <w:t xml:space="preserve"> no Recurso Extraordinário paradigma, a fim de contribuir para o reconhecimento da Repercussão Geral. </w:t>
      </w:r>
    </w:p>
    <w:p w:rsidR="00D549BC" w:rsidRPr="002D66AB" w:rsidRDefault="00D549BC" w:rsidP="00D26BB6">
      <w:pPr>
        <w:spacing w:after="240"/>
        <w:contextualSpacing/>
        <w:rPr>
          <w:rFonts w:ascii="Times New Roman" w:hAnsi="Times New Roman"/>
          <w:sz w:val="24"/>
          <w:szCs w:val="24"/>
        </w:rPr>
      </w:pPr>
      <w:r w:rsidRPr="002D66AB">
        <w:rPr>
          <w:rFonts w:ascii="Times New Roman" w:hAnsi="Times New Roman"/>
          <w:sz w:val="24"/>
          <w:szCs w:val="24"/>
        </w:rPr>
        <w:t>Nesse ponto, mais uma vez, prevaleceu o entendimento da Min. Relatora Cármen Lúcia, que assim se posicionou quanto a tal possibilidade:</w:t>
      </w:r>
    </w:p>
    <w:p w:rsidR="00D549BC" w:rsidRDefault="00D549BC" w:rsidP="002D66AB">
      <w:pPr>
        <w:spacing w:after="240" w:line="240" w:lineRule="auto"/>
        <w:ind w:left="2268" w:firstLine="0"/>
        <w:contextualSpacing/>
        <w:rPr>
          <w:rFonts w:ascii="Times New Roman" w:hAnsi="Times New Roman"/>
          <w:szCs w:val="24"/>
        </w:rPr>
      </w:pPr>
      <w:r w:rsidRPr="002D66AB">
        <w:rPr>
          <w:rFonts w:ascii="Times New Roman" w:hAnsi="Times New Roman"/>
          <w:i/>
          <w:szCs w:val="24"/>
        </w:rPr>
        <w:t>O argumento da Requerente está baseado em mero interesse pessoal na solução da causa</w:t>
      </w:r>
      <w:r w:rsidRPr="002D66AB">
        <w:rPr>
          <w:rFonts w:ascii="Times New Roman" w:hAnsi="Times New Roman"/>
          <w:szCs w:val="24"/>
        </w:rPr>
        <w:t xml:space="preserve">, </w:t>
      </w:r>
      <w:r w:rsidRPr="002D66AB">
        <w:rPr>
          <w:rFonts w:ascii="Times New Roman" w:hAnsi="Times New Roman"/>
          <w:i/>
          <w:szCs w:val="24"/>
        </w:rPr>
        <w:t>o que não legitima a sua admissão como amicus curiae nos casos em que admitida a repercussão geral</w:t>
      </w:r>
      <w:r w:rsidRPr="002D66AB">
        <w:rPr>
          <w:rFonts w:ascii="Times New Roman" w:hAnsi="Times New Roman"/>
          <w:szCs w:val="24"/>
        </w:rPr>
        <w:t>. Se, para reconhecimento de que a</w:t>
      </w:r>
      <w:r>
        <w:rPr>
          <w:rFonts w:ascii="Times New Roman" w:hAnsi="Times New Roman"/>
          <w:szCs w:val="24"/>
        </w:rPr>
        <w:t xml:space="preserve"> </w:t>
      </w:r>
      <w:r w:rsidRPr="002D66AB">
        <w:rPr>
          <w:rFonts w:ascii="Times New Roman" w:hAnsi="Times New Roman"/>
          <w:szCs w:val="24"/>
        </w:rPr>
        <w:t>questão constitucional tem repercussão geral, há de haver transcendência de interesses,</w:t>
      </w:r>
      <w:r>
        <w:rPr>
          <w:rFonts w:ascii="Times New Roman" w:hAnsi="Times New Roman"/>
          <w:szCs w:val="24"/>
        </w:rPr>
        <w:t xml:space="preserve"> </w:t>
      </w:r>
      <w:r w:rsidRPr="002D66AB">
        <w:rPr>
          <w:rFonts w:ascii="Times New Roman" w:hAnsi="Times New Roman"/>
          <w:szCs w:val="24"/>
        </w:rPr>
        <w:t xml:space="preserve">seria contraditório admitir como </w:t>
      </w:r>
      <w:r w:rsidRPr="002D66AB">
        <w:rPr>
          <w:rFonts w:ascii="Times New Roman" w:hAnsi="Times New Roman"/>
          <w:i/>
          <w:szCs w:val="24"/>
        </w:rPr>
        <w:t>amicus curiae</w:t>
      </w:r>
      <w:r w:rsidRPr="002D66AB">
        <w:rPr>
          <w:rFonts w:ascii="Times New Roman" w:hAnsi="Times New Roman"/>
          <w:szCs w:val="24"/>
        </w:rPr>
        <w:t xml:space="preserve"> todo aquele que viesse a demonstrar</w:t>
      </w:r>
      <w:r>
        <w:rPr>
          <w:rFonts w:ascii="Times New Roman" w:hAnsi="Times New Roman"/>
          <w:szCs w:val="24"/>
        </w:rPr>
        <w:t xml:space="preserve"> </w:t>
      </w:r>
      <w:r w:rsidRPr="002D66AB">
        <w:rPr>
          <w:rFonts w:ascii="Times New Roman" w:hAnsi="Times New Roman"/>
          <w:szCs w:val="24"/>
        </w:rPr>
        <w:t>interesse particular no julgamento do recurso extraordinário</w:t>
      </w:r>
      <w:r>
        <w:rPr>
          <w:rFonts w:ascii="Times New Roman" w:hAnsi="Times New Roman"/>
          <w:szCs w:val="24"/>
        </w:rPr>
        <w:t xml:space="preserve"> (grifos nossos).</w:t>
      </w:r>
      <w:r w:rsidRPr="00D26BB6">
        <w:rPr>
          <w:rStyle w:val="FootnoteReference"/>
          <w:rFonts w:ascii="Times New Roman" w:hAnsi="Times New Roman"/>
          <w:szCs w:val="24"/>
        </w:rPr>
        <w:t xml:space="preserve"> </w:t>
      </w:r>
      <w:r>
        <w:rPr>
          <w:rStyle w:val="FootnoteReference"/>
          <w:rFonts w:ascii="Times New Roman" w:hAnsi="Times New Roman"/>
          <w:szCs w:val="24"/>
        </w:rPr>
        <w:footnoteReference w:id="198"/>
      </w:r>
      <w:r>
        <w:rPr>
          <w:rFonts w:ascii="Times New Roman" w:hAnsi="Times New Roman"/>
          <w:szCs w:val="24"/>
        </w:rPr>
        <w:t xml:space="preserve">  </w:t>
      </w:r>
    </w:p>
    <w:p w:rsidR="00D549BC" w:rsidRDefault="00D549BC" w:rsidP="002D66AB">
      <w:pPr>
        <w:spacing w:after="240" w:line="240" w:lineRule="auto"/>
        <w:ind w:left="2268" w:firstLine="0"/>
        <w:contextualSpacing/>
        <w:rPr>
          <w:rFonts w:ascii="Times New Roman" w:hAnsi="Times New Roman"/>
          <w:szCs w:val="24"/>
        </w:rPr>
      </w:pPr>
    </w:p>
    <w:p w:rsidR="00D549BC" w:rsidRDefault="00D549BC" w:rsidP="00A43070">
      <w:pPr>
        <w:spacing w:after="240"/>
        <w:contextualSpacing/>
        <w:rPr>
          <w:rFonts w:ascii="Times New Roman" w:hAnsi="Times New Roman"/>
          <w:sz w:val="24"/>
          <w:szCs w:val="24"/>
        </w:rPr>
      </w:pPr>
      <w:r>
        <w:rPr>
          <w:rFonts w:ascii="Times New Roman" w:hAnsi="Times New Roman"/>
          <w:sz w:val="24"/>
          <w:szCs w:val="24"/>
        </w:rPr>
        <w:t>Consideramos</w:t>
      </w:r>
      <w:r w:rsidRPr="00B43C48">
        <w:rPr>
          <w:rFonts w:ascii="Times New Roman" w:hAnsi="Times New Roman"/>
          <w:sz w:val="24"/>
          <w:szCs w:val="24"/>
        </w:rPr>
        <w:t xml:space="preserve"> acertada a posição da Corte Suprema a respeito da participação de terceiros </w:t>
      </w:r>
      <w:r>
        <w:rPr>
          <w:rFonts w:ascii="Times New Roman" w:hAnsi="Times New Roman"/>
          <w:sz w:val="24"/>
          <w:szCs w:val="24"/>
        </w:rPr>
        <w:t xml:space="preserve">que não se enquadrem na definição de </w:t>
      </w:r>
      <w:r w:rsidRPr="00B43C48">
        <w:rPr>
          <w:rFonts w:ascii="Times New Roman" w:hAnsi="Times New Roman"/>
          <w:i/>
          <w:sz w:val="24"/>
          <w:szCs w:val="24"/>
        </w:rPr>
        <w:t>amicus curiae</w:t>
      </w:r>
      <w:r>
        <w:rPr>
          <w:rFonts w:ascii="Times New Roman" w:hAnsi="Times New Roman"/>
          <w:sz w:val="24"/>
          <w:szCs w:val="24"/>
        </w:rPr>
        <w:t xml:space="preserve">, pois a </w:t>
      </w:r>
      <w:r w:rsidRPr="00B43C48">
        <w:rPr>
          <w:rFonts w:ascii="Times New Roman" w:hAnsi="Times New Roman"/>
          <w:sz w:val="24"/>
          <w:szCs w:val="24"/>
        </w:rPr>
        <w:t xml:space="preserve">possibilidade </w:t>
      </w:r>
      <w:r>
        <w:rPr>
          <w:rFonts w:ascii="Times New Roman" w:hAnsi="Times New Roman"/>
          <w:sz w:val="24"/>
          <w:szCs w:val="24"/>
        </w:rPr>
        <w:t xml:space="preserve">de que todo e qualquer terceiro </w:t>
      </w:r>
      <w:r w:rsidRPr="00B43C48">
        <w:rPr>
          <w:rFonts w:ascii="Times New Roman" w:hAnsi="Times New Roman"/>
          <w:sz w:val="24"/>
          <w:szCs w:val="24"/>
        </w:rPr>
        <w:t>que teve sua</w:t>
      </w:r>
      <w:r>
        <w:rPr>
          <w:rFonts w:ascii="Times New Roman" w:hAnsi="Times New Roman"/>
          <w:sz w:val="24"/>
          <w:szCs w:val="24"/>
        </w:rPr>
        <w:t xml:space="preserve"> impugnação </w:t>
      </w:r>
      <w:r w:rsidRPr="00B43C48">
        <w:rPr>
          <w:rFonts w:ascii="Times New Roman" w:hAnsi="Times New Roman"/>
          <w:sz w:val="24"/>
          <w:szCs w:val="24"/>
        </w:rPr>
        <w:t xml:space="preserve">sobrestada </w:t>
      </w:r>
      <w:r>
        <w:rPr>
          <w:rFonts w:ascii="Times New Roman" w:hAnsi="Times New Roman"/>
          <w:sz w:val="24"/>
          <w:szCs w:val="24"/>
        </w:rPr>
        <w:t xml:space="preserve">venha a </w:t>
      </w:r>
      <w:r w:rsidRPr="00B43C48">
        <w:rPr>
          <w:rFonts w:ascii="Times New Roman" w:hAnsi="Times New Roman"/>
          <w:sz w:val="24"/>
          <w:szCs w:val="24"/>
        </w:rPr>
        <w:t xml:space="preserve">intervir no </w:t>
      </w:r>
      <w:r>
        <w:rPr>
          <w:rFonts w:ascii="Times New Roman" w:hAnsi="Times New Roman"/>
          <w:sz w:val="24"/>
          <w:szCs w:val="24"/>
        </w:rPr>
        <w:t>R</w:t>
      </w:r>
      <w:r w:rsidRPr="00B43C48">
        <w:rPr>
          <w:rFonts w:ascii="Times New Roman" w:hAnsi="Times New Roman"/>
          <w:sz w:val="24"/>
          <w:szCs w:val="24"/>
        </w:rPr>
        <w:t xml:space="preserve">ecurso </w:t>
      </w:r>
      <w:r>
        <w:rPr>
          <w:rFonts w:ascii="Times New Roman" w:hAnsi="Times New Roman"/>
          <w:sz w:val="24"/>
          <w:szCs w:val="24"/>
        </w:rPr>
        <w:t>E</w:t>
      </w:r>
      <w:r w:rsidRPr="00B43C48">
        <w:rPr>
          <w:rFonts w:ascii="Times New Roman" w:hAnsi="Times New Roman"/>
          <w:sz w:val="24"/>
          <w:szCs w:val="24"/>
        </w:rPr>
        <w:t xml:space="preserve">xtraordinário paradigma </w:t>
      </w:r>
      <w:r>
        <w:rPr>
          <w:rFonts w:ascii="Times New Roman" w:hAnsi="Times New Roman"/>
          <w:sz w:val="24"/>
          <w:szCs w:val="24"/>
        </w:rPr>
        <w:t>comprometeria</w:t>
      </w:r>
      <w:r w:rsidRPr="00B43C48">
        <w:rPr>
          <w:rFonts w:ascii="Times New Roman" w:hAnsi="Times New Roman"/>
          <w:sz w:val="24"/>
          <w:szCs w:val="24"/>
        </w:rPr>
        <w:t xml:space="preserve"> a celeridade</w:t>
      </w:r>
      <w:r>
        <w:rPr>
          <w:rFonts w:ascii="Times New Roman" w:hAnsi="Times New Roman"/>
          <w:sz w:val="24"/>
          <w:szCs w:val="24"/>
        </w:rPr>
        <w:t xml:space="preserve"> processual.</w:t>
      </w:r>
    </w:p>
    <w:p w:rsidR="00D549BC" w:rsidRPr="0035195E" w:rsidRDefault="00D549BC" w:rsidP="000E1825">
      <w:pPr>
        <w:spacing w:after="240"/>
        <w:contextualSpacing/>
        <w:rPr>
          <w:rFonts w:ascii="Times New Roman" w:hAnsi="Times New Roman"/>
          <w:szCs w:val="24"/>
        </w:rPr>
      </w:pPr>
      <w:r w:rsidRPr="00FD14D8">
        <w:rPr>
          <w:rFonts w:ascii="Times New Roman" w:hAnsi="Times New Roman"/>
          <w:sz w:val="24"/>
          <w:szCs w:val="24"/>
        </w:rPr>
        <w:t>Finalmente, nos termos da atual redação conferida ao artigo 131, § 3º</w:t>
      </w:r>
      <w:r>
        <w:rPr>
          <w:rFonts w:ascii="Times New Roman" w:hAnsi="Times New Roman"/>
          <w:sz w:val="24"/>
          <w:szCs w:val="24"/>
        </w:rPr>
        <w:t xml:space="preserve"> </w:t>
      </w:r>
      <w:r w:rsidRPr="00FD14D8">
        <w:rPr>
          <w:rFonts w:ascii="Times New Roman" w:hAnsi="Times New Roman"/>
          <w:sz w:val="24"/>
          <w:szCs w:val="24"/>
        </w:rPr>
        <w:t>do Regimento Interno do Supremo Tribunal Federal</w:t>
      </w:r>
      <w:r>
        <w:rPr>
          <w:rStyle w:val="FootnoteReference"/>
          <w:rFonts w:ascii="Times New Roman" w:hAnsi="Times New Roman"/>
          <w:sz w:val="24"/>
          <w:szCs w:val="24"/>
        </w:rPr>
        <w:footnoteReference w:id="199"/>
      </w:r>
      <w:r>
        <w:rPr>
          <w:rFonts w:ascii="Times New Roman" w:hAnsi="Times New Roman"/>
          <w:sz w:val="24"/>
          <w:szCs w:val="24"/>
        </w:rPr>
        <w:t xml:space="preserve"> </w:t>
      </w:r>
      <w:r w:rsidRPr="00FD14D8">
        <w:rPr>
          <w:rFonts w:ascii="Times New Roman" w:hAnsi="Times New Roman"/>
          <w:sz w:val="24"/>
          <w:szCs w:val="24"/>
        </w:rPr>
        <w:t xml:space="preserve">é </w:t>
      </w:r>
      <w:r>
        <w:rPr>
          <w:rFonts w:ascii="Times New Roman" w:hAnsi="Times New Roman"/>
          <w:sz w:val="24"/>
          <w:szCs w:val="24"/>
        </w:rPr>
        <w:t>facultado</w:t>
      </w:r>
      <w:r w:rsidRPr="00FD14D8">
        <w:rPr>
          <w:rFonts w:ascii="Times New Roman" w:hAnsi="Times New Roman"/>
          <w:sz w:val="24"/>
          <w:szCs w:val="24"/>
        </w:rPr>
        <w:t xml:space="preserve"> ao </w:t>
      </w:r>
      <w:r w:rsidRPr="00FD14D8">
        <w:rPr>
          <w:rFonts w:ascii="Times New Roman" w:hAnsi="Times New Roman"/>
          <w:i/>
          <w:sz w:val="24"/>
          <w:szCs w:val="24"/>
        </w:rPr>
        <w:t>amicus curiae</w:t>
      </w:r>
      <w:r w:rsidRPr="00FD14D8">
        <w:rPr>
          <w:rFonts w:ascii="Times New Roman" w:hAnsi="Times New Roman"/>
          <w:sz w:val="24"/>
          <w:szCs w:val="24"/>
        </w:rPr>
        <w:t xml:space="preserve"> a</w:t>
      </w:r>
      <w:r>
        <w:rPr>
          <w:rFonts w:ascii="Times New Roman" w:hAnsi="Times New Roman"/>
          <w:sz w:val="24"/>
          <w:szCs w:val="24"/>
        </w:rPr>
        <w:t xml:space="preserve"> oportunidade</w:t>
      </w:r>
      <w:r w:rsidRPr="00FD14D8">
        <w:rPr>
          <w:rFonts w:ascii="Times New Roman" w:hAnsi="Times New Roman"/>
          <w:sz w:val="24"/>
          <w:szCs w:val="24"/>
        </w:rPr>
        <w:t xml:space="preserve"> de apresentar sustentação oral</w:t>
      </w:r>
      <w:r>
        <w:rPr>
          <w:rFonts w:ascii="Times New Roman" w:hAnsi="Times New Roman"/>
          <w:sz w:val="24"/>
          <w:szCs w:val="24"/>
        </w:rPr>
        <w:t xml:space="preserve"> nas ações d</w:t>
      </w:r>
      <w:r w:rsidRPr="00FD14D8">
        <w:rPr>
          <w:rFonts w:ascii="Times New Roman" w:hAnsi="Times New Roman"/>
          <w:sz w:val="24"/>
          <w:szCs w:val="24"/>
        </w:rPr>
        <w:t>o</w:t>
      </w:r>
      <w:r>
        <w:rPr>
          <w:rFonts w:ascii="Times New Roman" w:hAnsi="Times New Roman"/>
          <w:sz w:val="24"/>
          <w:szCs w:val="24"/>
        </w:rPr>
        <w:t xml:space="preserve"> </w:t>
      </w:r>
      <w:r w:rsidRPr="00FD14D8">
        <w:rPr>
          <w:rFonts w:ascii="Times New Roman" w:hAnsi="Times New Roman"/>
          <w:sz w:val="24"/>
          <w:szCs w:val="24"/>
        </w:rPr>
        <w:t xml:space="preserve">controle concentrado de constitucionalidade. No entanto, não haveria razão para afastar </w:t>
      </w:r>
      <w:r>
        <w:rPr>
          <w:rFonts w:ascii="Times New Roman" w:hAnsi="Times New Roman"/>
          <w:sz w:val="24"/>
          <w:szCs w:val="24"/>
        </w:rPr>
        <w:t>a</w:t>
      </w:r>
      <w:r w:rsidRPr="00FD14D8">
        <w:rPr>
          <w:rFonts w:ascii="Times New Roman" w:hAnsi="Times New Roman"/>
          <w:sz w:val="24"/>
          <w:szCs w:val="24"/>
        </w:rPr>
        <w:t xml:space="preserve"> incidência </w:t>
      </w:r>
      <w:r>
        <w:rPr>
          <w:rFonts w:ascii="Times New Roman" w:hAnsi="Times New Roman"/>
          <w:sz w:val="24"/>
          <w:szCs w:val="24"/>
        </w:rPr>
        <w:t xml:space="preserve">da referida regra regimental </w:t>
      </w:r>
      <w:r w:rsidRPr="00FD14D8">
        <w:rPr>
          <w:rFonts w:ascii="Times New Roman" w:hAnsi="Times New Roman"/>
          <w:sz w:val="24"/>
          <w:szCs w:val="24"/>
        </w:rPr>
        <w:t xml:space="preserve">em sede de </w:t>
      </w:r>
      <w:r>
        <w:rPr>
          <w:rFonts w:ascii="Times New Roman" w:hAnsi="Times New Roman"/>
          <w:sz w:val="24"/>
          <w:szCs w:val="24"/>
        </w:rPr>
        <w:t>R</w:t>
      </w:r>
      <w:r w:rsidRPr="00FD14D8">
        <w:rPr>
          <w:rFonts w:ascii="Times New Roman" w:hAnsi="Times New Roman"/>
          <w:sz w:val="24"/>
          <w:szCs w:val="24"/>
        </w:rPr>
        <w:t xml:space="preserve">ecurso </w:t>
      </w:r>
      <w:r>
        <w:rPr>
          <w:rFonts w:ascii="Times New Roman" w:hAnsi="Times New Roman"/>
          <w:sz w:val="24"/>
          <w:szCs w:val="24"/>
        </w:rPr>
        <w:t>E</w:t>
      </w:r>
      <w:r w:rsidRPr="00FD14D8">
        <w:rPr>
          <w:rFonts w:ascii="Times New Roman" w:hAnsi="Times New Roman"/>
          <w:sz w:val="24"/>
          <w:szCs w:val="24"/>
        </w:rPr>
        <w:t>xtraordinário, cuja questão constitucional seja dotada</w:t>
      </w:r>
      <w:r>
        <w:rPr>
          <w:rFonts w:ascii="Times New Roman" w:hAnsi="Times New Roman"/>
          <w:sz w:val="24"/>
          <w:szCs w:val="24"/>
        </w:rPr>
        <w:t xml:space="preserve"> de Repercussão G</w:t>
      </w:r>
      <w:r w:rsidRPr="00FD14D8">
        <w:rPr>
          <w:rFonts w:ascii="Times New Roman" w:hAnsi="Times New Roman"/>
          <w:sz w:val="24"/>
          <w:szCs w:val="24"/>
        </w:rPr>
        <w:t>eral</w:t>
      </w:r>
      <w:r>
        <w:rPr>
          <w:rFonts w:ascii="Times New Roman" w:hAnsi="Times New Roman"/>
          <w:sz w:val="24"/>
          <w:szCs w:val="24"/>
        </w:rPr>
        <w:t>.</w:t>
      </w:r>
      <w:r>
        <w:rPr>
          <w:rStyle w:val="FootnoteReference"/>
          <w:rFonts w:ascii="Times New Roman" w:hAnsi="Times New Roman"/>
          <w:sz w:val="24"/>
          <w:szCs w:val="24"/>
        </w:rPr>
        <w:footnoteReference w:id="200"/>
      </w:r>
      <w:r>
        <w:rPr>
          <w:rFonts w:ascii="Times New Roman" w:hAnsi="Times New Roman"/>
          <w:sz w:val="24"/>
          <w:szCs w:val="24"/>
          <w:vertAlign w:val="superscript"/>
        </w:rPr>
        <w:t>-</w:t>
      </w:r>
      <w:r>
        <w:rPr>
          <w:rStyle w:val="FootnoteReference"/>
          <w:rFonts w:ascii="Times New Roman" w:hAnsi="Times New Roman"/>
          <w:sz w:val="24"/>
          <w:szCs w:val="24"/>
        </w:rPr>
        <w:footnoteReference w:id="201"/>
      </w:r>
      <w:r>
        <w:rPr>
          <w:rFonts w:ascii="Times New Roman" w:hAnsi="Times New Roman"/>
          <w:sz w:val="24"/>
          <w:szCs w:val="24"/>
        </w:rPr>
        <w:t xml:space="preserve"> O Novo Código de Processo Civil (Lei 13.105 de 2015) manteve a prerrogativa de manifestação do </w:t>
      </w:r>
      <w:r w:rsidRPr="0078746A">
        <w:rPr>
          <w:rFonts w:ascii="Times New Roman" w:hAnsi="Times New Roman"/>
          <w:i/>
          <w:sz w:val="24"/>
          <w:szCs w:val="24"/>
        </w:rPr>
        <w:t>amicus curiae</w:t>
      </w:r>
      <w:r>
        <w:rPr>
          <w:rFonts w:ascii="Times New Roman" w:hAnsi="Times New Roman"/>
          <w:sz w:val="24"/>
          <w:szCs w:val="24"/>
        </w:rPr>
        <w:t>, nos exatos termos da redação atualmente em vigor (art. 543-A, § 6º do CPC).</w:t>
      </w:r>
      <w:r>
        <w:rPr>
          <w:rStyle w:val="FootnoteReference"/>
          <w:rFonts w:ascii="Times New Roman" w:hAnsi="Times New Roman"/>
          <w:sz w:val="24"/>
          <w:szCs w:val="24"/>
        </w:rPr>
        <w:footnoteReference w:id="202"/>
      </w:r>
      <w:r>
        <w:rPr>
          <w:rFonts w:ascii="Times New Roman" w:hAnsi="Times New Roman"/>
          <w:sz w:val="24"/>
          <w:szCs w:val="24"/>
        </w:rPr>
        <w:t xml:space="preserve"> </w:t>
      </w:r>
    </w:p>
    <w:p w:rsidR="00D549BC" w:rsidRPr="0078746A" w:rsidRDefault="00D549BC" w:rsidP="002D66AB">
      <w:pPr>
        <w:spacing w:after="240" w:line="240" w:lineRule="auto"/>
        <w:contextualSpacing/>
        <w:rPr>
          <w:rFonts w:ascii="Times New Roman" w:hAnsi="Times New Roman"/>
          <w:szCs w:val="24"/>
        </w:rPr>
      </w:pPr>
    </w:p>
    <w:p w:rsidR="00D549BC" w:rsidRPr="000E1825" w:rsidRDefault="00D549BC" w:rsidP="00935FF1">
      <w:pPr>
        <w:autoSpaceDE w:val="0"/>
        <w:autoSpaceDN w:val="0"/>
        <w:adjustRightInd w:val="0"/>
        <w:spacing w:line="240" w:lineRule="auto"/>
        <w:ind w:firstLine="0"/>
        <w:jc w:val="left"/>
        <w:rPr>
          <w:rFonts w:ascii="Times New Roman" w:hAnsi="Times New Roman"/>
          <w:b/>
          <w:sz w:val="24"/>
          <w:szCs w:val="24"/>
        </w:rPr>
      </w:pPr>
      <w:r w:rsidRPr="000E1825">
        <w:rPr>
          <w:rFonts w:ascii="Times New Roman" w:hAnsi="Times New Roman"/>
          <w:b/>
          <w:sz w:val="24"/>
          <w:szCs w:val="24"/>
        </w:rPr>
        <w:t>4.2.2 A Repercussão Geral a partir do Regimento Interno do STF</w:t>
      </w:r>
    </w:p>
    <w:p w:rsidR="00D549BC" w:rsidRDefault="00D549BC" w:rsidP="00E91C1F">
      <w:pPr>
        <w:spacing w:after="240"/>
        <w:ind w:firstLine="851"/>
        <w:contextualSpacing/>
        <w:rPr>
          <w:rFonts w:ascii="Times New Roman" w:hAnsi="Times New Roman"/>
          <w:sz w:val="24"/>
          <w:szCs w:val="24"/>
        </w:rPr>
      </w:pPr>
    </w:p>
    <w:p w:rsidR="00D549BC" w:rsidRDefault="00D549BC" w:rsidP="000E1825">
      <w:pPr>
        <w:spacing w:after="240"/>
        <w:contextualSpacing/>
        <w:rPr>
          <w:rFonts w:ascii="Times New Roman" w:hAnsi="Times New Roman"/>
          <w:sz w:val="24"/>
          <w:szCs w:val="24"/>
        </w:rPr>
      </w:pPr>
      <w:r>
        <w:rPr>
          <w:rFonts w:ascii="Times New Roman" w:hAnsi="Times New Roman"/>
          <w:sz w:val="24"/>
          <w:szCs w:val="24"/>
        </w:rPr>
        <w:t>Oportuno, nesse momento, fazermos a análise do instituto da Repercussão Geral a partir do Regimento Interno do Supremo Tribunal Federal, visto que o próprio legislador autorizou, por meio da Lei 11.418 de 2006, essa regulamentação pela Corte Suprema.</w:t>
      </w:r>
      <w:r>
        <w:rPr>
          <w:rStyle w:val="FootnoteReference"/>
          <w:rFonts w:ascii="Times New Roman" w:hAnsi="Times New Roman"/>
          <w:sz w:val="24"/>
          <w:szCs w:val="24"/>
        </w:rPr>
        <w:footnoteReference w:id="203"/>
      </w:r>
      <w:r>
        <w:rPr>
          <w:rFonts w:ascii="Times New Roman" w:hAnsi="Times New Roman"/>
          <w:sz w:val="24"/>
          <w:szCs w:val="24"/>
        </w:rPr>
        <w:t xml:space="preserve"> Com efeito, a completa regulamentação da Repercussão Geral se deu com a reforma do Regimento Interno do Supremo Tribunal Federal, mediante a edição da Emenda Regimental nº 21, de 30 de abril de 2007.</w:t>
      </w:r>
    </w:p>
    <w:p w:rsidR="00D549BC" w:rsidRDefault="00D549BC" w:rsidP="00BE768D">
      <w:pPr>
        <w:spacing w:after="240"/>
        <w:contextualSpacing/>
        <w:rPr>
          <w:rFonts w:ascii="Times New Roman" w:hAnsi="Times New Roman"/>
          <w:sz w:val="24"/>
          <w:szCs w:val="24"/>
        </w:rPr>
      </w:pPr>
      <w:r w:rsidRPr="006A0602">
        <w:rPr>
          <w:rFonts w:ascii="Times New Roman" w:hAnsi="Times New Roman"/>
          <w:sz w:val="24"/>
          <w:szCs w:val="24"/>
        </w:rPr>
        <w:t>Antes de estar integralmente regulamentada</w:t>
      </w:r>
      <w:r>
        <w:rPr>
          <w:rFonts w:ascii="Times New Roman" w:hAnsi="Times New Roman"/>
          <w:sz w:val="24"/>
          <w:szCs w:val="24"/>
        </w:rPr>
        <w:t xml:space="preserve">, </w:t>
      </w:r>
      <w:r w:rsidRPr="006A0602">
        <w:rPr>
          <w:rFonts w:ascii="Times New Roman" w:hAnsi="Times New Roman"/>
          <w:sz w:val="24"/>
          <w:szCs w:val="24"/>
        </w:rPr>
        <w:t>não po</w:t>
      </w:r>
      <w:r>
        <w:rPr>
          <w:rFonts w:ascii="Times New Roman" w:hAnsi="Times New Roman"/>
          <w:sz w:val="24"/>
          <w:szCs w:val="24"/>
        </w:rPr>
        <w:t>deria</w:t>
      </w:r>
      <w:r w:rsidRPr="006A0602">
        <w:rPr>
          <w:rFonts w:ascii="Times New Roman" w:hAnsi="Times New Roman"/>
          <w:sz w:val="24"/>
          <w:szCs w:val="24"/>
        </w:rPr>
        <w:t xml:space="preserve"> </w:t>
      </w:r>
      <w:r>
        <w:rPr>
          <w:rFonts w:ascii="Times New Roman" w:hAnsi="Times New Roman"/>
          <w:sz w:val="24"/>
          <w:szCs w:val="24"/>
        </w:rPr>
        <w:t>ser exigida</w:t>
      </w:r>
      <w:r w:rsidRPr="006A0602">
        <w:rPr>
          <w:rFonts w:ascii="Times New Roman" w:hAnsi="Times New Roman"/>
          <w:sz w:val="24"/>
          <w:szCs w:val="24"/>
        </w:rPr>
        <w:t xml:space="preserve"> d</w:t>
      </w:r>
      <w:r>
        <w:rPr>
          <w:rFonts w:ascii="Times New Roman" w:hAnsi="Times New Roman"/>
          <w:sz w:val="24"/>
          <w:szCs w:val="24"/>
        </w:rPr>
        <w:t>as partes a observância da Repercussão Geral no R</w:t>
      </w:r>
      <w:r w:rsidRPr="006A0602">
        <w:rPr>
          <w:rFonts w:ascii="Times New Roman" w:hAnsi="Times New Roman"/>
          <w:sz w:val="24"/>
          <w:szCs w:val="24"/>
        </w:rPr>
        <w:t>ecurso</w:t>
      </w:r>
      <w:r>
        <w:rPr>
          <w:rFonts w:ascii="Times New Roman" w:hAnsi="Times New Roman"/>
          <w:sz w:val="24"/>
          <w:szCs w:val="24"/>
        </w:rPr>
        <w:t xml:space="preserve"> E</w:t>
      </w:r>
      <w:r w:rsidRPr="006A0602">
        <w:rPr>
          <w:rFonts w:ascii="Times New Roman" w:hAnsi="Times New Roman"/>
          <w:sz w:val="24"/>
          <w:szCs w:val="24"/>
        </w:rPr>
        <w:t>xtraordinário</w:t>
      </w:r>
      <w:r>
        <w:rPr>
          <w:rFonts w:ascii="Times New Roman" w:hAnsi="Times New Roman"/>
          <w:sz w:val="24"/>
          <w:szCs w:val="24"/>
        </w:rPr>
        <w:t>, ainda que já estivesse em vigor a Lei 11.418 de 2006</w:t>
      </w:r>
      <w:r w:rsidRPr="006A0602">
        <w:rPr>
          <w:rFonts w:ascii="Times New Roman" w:hAnsi="Times New Roman"/>
          <w:sz w:val="24"/>
          <w:szCs w:val="24"/>
        </w:rPr>
        <w:t>.</w:t>
      </w:r>
      <w:r>
        <w:rPr>
          <w:rFonts w:ascii="Times New Roman" w:hAnsi="Times New Roman"/>
          <w:sz w:val="24"/>
          <w:szCs w:val="24"/>
        </w:rPr>
        <w:t xml:space="preserve"> Tal exigência careceria de eficácia, por estar pendente de regulamentação pelo próprio Supremo. Tão somente com a entrada em vigor da Emenda Regimental nº 21 de 2007 é que passou a ser obrigatória a preliminar de Repercussão Geral para todos os Recursos Extraordin</w:t>
      </w:r>
      <w:r w:rsidRPr="0060434D">
        <w:rPr>
          <w:rFonts w:ascii="Times New Roman" w:hAnsi="Times New Roman"/>
          <w:sz w:val="24"/>
          <w:szCs w:val="24"/>
        </w:rPr>
        <w:t>ário</w:t>
      </w:r>
      <w:r>
        <w:rPr>
          <w:rFonts w:ascii="Times New Roman" w:hAnsi="Times New Roman"/>
          <w:sz w:val="24"/>
          <w:szCs w:val="24"/>
        </w:rPr>
        <w:t xml:space="preserve">s interpostos após sua data de publicação, que se deu em 3 de maio de 2007. </w:t>
      </w:r>
    </w:p>
    <w:p w:rsidR="00D549BC" w:rsidRDefault="00D549BC" w:rsidP="006A0602">
      <w:pPr>
        <w:spacing w:after="240"/>
        <w:ind w:firstLine="851"/>
        <w:contextualSpacing/>
        <w:rPr>
          <w:rFonts w:ascii="Times New Roman" w:hAnsi="Times New Roman"/>
          <w:sz w:val="24"/>
          <w:szCs w:val="24"/>
        </w:rPr>
      </w:pPr>
      <w:r>
        <w:rPr>
          <w:rFonts w:ascii="Times New Roman" w:hAnsi="Times New Roman"/>
          <w:sz w:val="24"/>
          <w:szCs w:val="24"/>
        </w:rPr>
        <w:t>Na verdade, a exigência, segundo o Plenário da Corte,</w:t>
      </w:r>
      <w:r w:rsidRPr="006A24EF">
        <w:rPr>
          <w:rFonts w:ascii="Times New Roman" w:hAnsi="Times New Roman"/>
          <w:sz w:val="24"/>
          <w:szCs w:val="24"/>
        </w:rPr>
        <w:t xml:space="preserve"> </w:t>
      </w:r>
      <w:r>
        <w:rPr>
          <w:rFonts w:ascii="Times New Roman" w:hAnsi="Times New Roman"/>
          <w:sz w:val="24"/>
          <w:szCs w:val="24"/>
        </w:rPr>
        <w:t>no julgamento da</w:t>
      </w:r>
      <w:r w:rsidRPr="006A24EF">
        <w:rPr>
          <w:rFonts w:ascii="Times New Roman" w:hAnsi="Times New Roman"/>
          <w:sz w:val="24"/>
          <w:szCs w:val="24"/>
        </w:rPr>
        <w:t xml:space="preserve"> </w:t>
      </w:r>
      <w:r>
        <w:rPr>
          <w:rFonts w:ascii="Times New Roman" w:hAnsi="Times New Roman"/>
          <w:sz w:val="24"/>
          <w:szCs w:val="24"/>
        </w:rPr>
        <w:t>Q</w:t>
      </w:r>
      <w:r w:rsidRPr="006A24EF">
        <w:rPr>
          <w:rFonts w:ascii="Times New Roman" w:hAnsi="Times New Roman"/>
          <w:sz w:val="24"/>
          <w:szCs w:val="24"/>
        </w:rPr>
        <w:t xml:space="preserve">uestão de </w:t>
      </w:r>
      <w:r>
        <w:rPr>
          <w:rFonts w:ascii="Times New Roman" w:hAnsi="Times New Roman"/>
          <w:sz w:val="24"/>
          <w:szCs w:val="24"/>
        </w:rPr>
        <w:t>O</w:t>
      </w:r>
      <w:r w:rsidRPr="006A24EF">
        <w:rPr>
          <w:rFonts w:ascii="Times New Roman" w:hAnsi="Times New Roman"/>
          <w:sz w:val="24"/>
          <w:szCs w:val="24"/>
        </w:rPr>
        <w:t>rdem no AI 664.567</w:t>
      </w:r>
      <w:r>
        <w:rPr>
          <w:rFonts w:ascii="Times New Roman" w:hAnsi="Times New Roman"/>
          <w:sz w:val="24"/>
          <w:szCs w:val="24"/>
        </w:rPr>
        <w:t>/RS, só passou a incidir “quando a intimação do acórdão recorrido tenha ocorrido a partir de 03 de maio de 2007, data da publicação da Emenda Regimental n. 21, de 30 de abril de 2007.”</w:t>
      </w:r>
      <w:r>
        <w:rPr>
          <w:rStyle w:val="FootnoteReference"/>
          <w:rFonts w:ascii="Times New Roman" w:hAnsi="Times New Roman"/>
          <w:sz w:val="24"/>
          <w:szCs w:val="24"/>
        </w:rPr>
        <w:footnoteReference w:id="204"/>
      </w:r>
      <w:r>
        <w:rPr>
          <w:rFonts w:ascii="Times New Roman" w:hAnsi="Times New Roman"/>
          <w:sz w:val="24"/>
          <w:szCs w:val="24"/>
        </w:rPr>
        <w:t xml:space="preserve"> </w:t>
      </w:r>
    </w:p>
    <w:p w:rsidR="00D549BC" w:rsidRDefault="00D549BC" w:rsidP="00513D5F">
      <w:pPr>
        <w:spacing w:after="240"/>
        <w:contextualSpacing/>
        <w:rPr>
          <w:rFonts w:ascii="Times New Roman" w:hAnsi="Times New Roman"/>
          <w:sz w:val="24"/>
          <w:szCs w:val="24"/>
        </w:rPr>
      </w:pPr>
      <w:r>
        <w:rPr>
          <w:rFonts w:ascii="Times New Roman" w:hAnsi="Times New Roman"/>
          <w:sz w:val="24"/>
          <w:szCs w:val="24"/>
        </w:rPr>
        <w:t xml:space="preserve">A grande novidade trazida pela Emenda Regimental nº 21 de 2007 foi o modo escolhido para aferição da Repercussão Geral pelo Plenário da Corte. </w:t>
      </w:r>
      <w:r w:rsidRPr="00DC0B27">
        <w:rPr>
          <w:rFonts w:ascii="Times New Roman" w:hAnsi="Times New Roman"/>
          <w:sz w:val="24"/>
          <w:szCs w:val="24"/>
        </w:rPr>
        <w:t>Por um lado, a</w:t>
      </w:r>
      <w:r>
        <w:rPr>
          <w:rFonts w:ascii="Times New Roman" w:hAnsi="Times New Roman"/>
          <w:sz w:val="24"/>
          <w:szCs w:val="24"/>
        </w:rPr>
        <w:t xml:space="preserve"> exigência de R</w:t>
      </w:r>
      <w:r w:rsidRPr="00DC0B27">
        <w:rPr>
          <w:rFonts w:ascii="Times New Roman" w:hAnsi="Times New Roman"/>
          <w:sz w:val="24"/>
          <w:szCs w:val="24"/>
        </w:rPr>
        <w:t>epercussão</w:t>
      </w:r>
      <w:r>
        <w:rPr>
          <w:rFonts w:ascii="Times New Roman" w:hAnsi="Times New Roman"/>
          <w:sz w:val="24"/>
          <w:szCs w:val="24"/>
        </w:rPr>
        <w:t xml:space="preserve"> Geral</w:t>
      </w:r>
      <w:r w:rsidRPr="00DC0B27">
        <w:rPr>
          <w:rFonts w:ascii="Times New Roman" w:hAnsi="Times New Roman"/>
          <w:sz w:val="24"/>
          <w:szCs w:val="24"/>
        </w:rPr>
        <w:t xml:space="preserve"> como requisito</w:t>
      </w:r>
      <w:r>
        <w:rPr>
          <w:rFonts w:ascii="Times New Roman" w:hAnsi="Times New Roman"/>
          <w:sz w:val="24"/>
          <w:szCs w:val="24"/>
        </w:rPr>
        <w:t xml:space="preserve"> de admissibilidade</w:t>
      </w:r>
      <w:r w:rsidRPr="00DC0B27">
        <w:rPr>
          <w:rFonts w:ascii="Times New Roman" w:hAnsi="Times New Roman"/>
          <w:sz w:val="24"/>
          <w:szCs w:val="24"/>
        </w:rPr>
        <w:t xml:space="preserve"> do </w:t>
      </w:r>
      <w:r>
        <w:rPr>
          <w:rFonts w:ascii="Times New Roman" w:hAnsi="Times New Roman"/>
          <w:sz w:val="24"/>
          <w:szCs w:val="24"/>
        </w:rPr>
        <w:t>R</w:t>
      </w:r>
      <w:r w:rsidRPr="00DC0B27">
        <w:rPr>
          <w:rFonts w:ascii="Times New Roman" w:hAnsi="Times New Roman"/>
          <w:sz w:val="24"/>
          <w:szCs w:val="24"/>
        </w:rPr>
        <w:t xml:space="preserve">ecurso </w:t>
      </w:r>
      <w:r>
        <w:rPr>
          <w:rFonts w:ascii="Times New Roman" w:hAnsi="Times New Roman"/>
          <w:sz w:val="24"/>
          <w:szCs w:val="24"/>
        </w:rPr>
        <w:t>Extraordinário</w:t>
      </w:r>
      <w:r w:rsidRPr="00DC0B27">
        <w:rPr>
          <w:rFonts w:ascii="Times New Roman" w:hAnsi="Times New Roman"/>
          <w:sz w:val="24"/>
          <w:szCs w:val="24"/>
        </w:rPr>
        <w:t xml:space="preserve"> funcionar</w:t>
      </w:r>
      <w:r>
        <w:rPr>
          <w:rFonts w:ascii="Times New Roman" w:hAnsi="Times New Roman"/>
          <w:sz w:val="24"/>
          <w:szCs w:val="24"/>
        </w:rPr>
        <w:t xml:space="preserve">ia não apenas </w:t>
      </w:r>
      <w:r w:rsidRPr="00DC0B27">
        <w:rPr>
          <w:rFonts w:ascii="Times New Roman" w:hAnsi="Times New Roman"/>
          <w:sz w:val="24"/>
          <w:szCs w:val="24"/>
        </w:rPr>
        <w:t>como f</w:t>
      </w:r>
      <w:r>
        <w:rPr>
          <w:rFonts w:ascii="Times New Roman" w:hAnsi="Times New Roman"/>
          <w:sz w:val="24"/>
          <w:szCs w:val="24"/>
        </w:rPr>
        <w:t>iltro de seleção de demandas, a fim de reduzir o número de processos, mas também permitiria ao STF ocupar-se com matérias constitucionais de grande relevância jurídica para todo o país. Por outro lado, a exigência constitucional de que a manifestação pela recusa da RG se desse por dois terços dos membros do Tribunal (ou seja, pelo Plenário), implicaria em verdadeiro transtorno procedimental, pois haveria</w:t>
      </w:r>
      <w:r w:rsidRPr="00793DA5">
        <w:rPr>
          <w:rFonts w:ascii="Times New Roman" w:hAnsi="Times New Roman"/>
          <w:sz w:val="24"/>
          <w:szCs w:val="24"/>
        </w:rPr>
        <w:t xml:space="preserve"> </w:t>
      </w:r>
      <w:r>
        <w:rPr>
          <w:rFonts w:ascii="Times New Roman" w:hAnsi="Times New Roman"/>
          <w:sz w:val="24"/>
          <w:szCs w:val="24"/>
        </w:rPr>
        <w:t>duplicação de pautas</w:t>
      </w:r>
      <w:r w:rsidRPr="00793DA5">
        <w:rPr>
          <w:rFonts w:ascii="Times New Roman" w:hAnsi="Times New Roman"/>
          <w:sz w:val="24"/>
          <w:szCs w:val="24"/>
        </w:rPr>
        <w:t xml:space="preserve"> caso</w:t>
      </w:r>
      <w:r>
        <w:rPr>
          <w:rFonts w:ascii="Times New Roman" w:hAnsi="Times New Roman"/>
          <w:sz w:val="24"/>
          <w:szCs w:val="24"/>
        </w:rPr>
        <w:t xml:space="preserve"> </w:t>
      </w:r>
      <w:r w:rsidRPr="00793DA5">
        <w:rPr>
          <w:rFonts w:ascii="Times New Roman" w:hAnsi="Times New Roman"/>
          <w:sz w:val="24"/>
          <w:szCs w:val="24"/>
        </w:rPr>
        <w:t xml:space="preserve">tal aferição viesse a </w:t>
      </w:r>
      <w:r>
        <w:rPr>
          <w:rFonts w:ascii="Times New Roman" w:hAnsi="Times New Roman"/>
          <w:sz w:val="24"/>
          <w:szCs w:val="24"/>
        </w:rPr>
        <w:t>realizar-s</w:t>
      </w:r>
      <w:r w:rsidRPr="00793DA5">
        <w:rPr>
          <w:rFonts w:ascii="Times New Roman" w:hAnsi="Times New Roman"/>
          <w:sz w:val="24"/>
          <w:szCs w:val="24"/>
        </w:rPr>
        <w:t>e</w:t>
      </w:r>
      <w:r>
        <w:rPr>
          <w:rFonts w:ascii="Times New Roman" w:hAnsi="Times New Roman"/>
          <w:sz w:val="24"/>
          <w:szCs w:val="24"/>
        </w:rPr>
        <w:t xml:space="preserve"> pelo modo convencional,</w:t>
      </w:r>
      <w:r w:rsidRPr="00793DA5">
        <w:rPr>
          <w:rFonts w:ascii="Times New Roman" w:hAnsi="Times New Roman"/>
          <w:sz w:val="24"/>
          <w:szCs w:val="24"/>
        </w:rPr>
        <w:t xml:space="preserve"> de julgamento em sessão</w:t>
      </w:r>
      <w:r>
        <w:rPr>
          <w:rFonts w:ascii="Times New Roman" w:hAnsi="Times New Roman"/>
          <w:sz w:val="24"/>
          <w:szCs w:val="24"/>
        </w:rPr>
        <w:t xml:space="preserve">. </w:t>
      </w:r>
    </w:p>
    <w:p w:rsidR="00D549BC" w:rsidRDefault="00D549BC" w:rsidP="00393E4F">
      <w:pPr>
        <w:spacing w:after="240"/>
        <w:contextualSpacing/>
        <w:rPr>
          <w:rFonts w:ascii="Times New Roman" w:hAnsi="Times New Roman"/>
          <w:sz w:val="24"/>
          <w:szCs w:val="24"/>
        </w:rPr>
      </w:pPr>
      <w:r>
        <w:rPr>
          <w:rFonts w:ascii="Times New Roman" w:hAnsi="Times New Roman"/>
          <w:sz w:val="24"/>
          <w:szCs w:val="24"/>
        </w:rPr>
        <w:t xml:space="preserve">Dessa forma, o novo requisito de admissibilidade – pensado para racionalizar os trabalhos da Corte – iria de encontro à sua finalidade precípua. </w:t>
      </w:r>
      <w:r w:rsidRPr="002110FE">
        <w:rPr>
          <w:rFonts w:ascii="Times New Roman" w:hAnsi="Times New Roman"/>
          <w:sz w:val="24"/>
          <w:szCs w:val="24"/>
        </w:rPr>
        <w:t>A solução encontrada</w:t>
      </w:r>
      <w:r>
        <w:rPr>
          <w:rFonts w:ascii="Times New Roman" w:hAnsi="Times New Roman"/>
          <w:sz w:val="24"/>
          <w:szCs w:val="24"/>
        </w:rPr>
        <w:t>, então,</w:t>
      </w:r>
      <w:r w:rsidRPr="002110FE">
        <w:rPr>
          <w:rFonts w:ascii="Times New Roman" w:hAnsi="Times New Roman"/>
          <w:sz w:val="24"/>
          <w:szCs w:val="24"/>
        </w:rPr>
        <w:t xml:space="preserve"> foi a deliberação por meio eletrônico</w:t>
      </w:r>
      <w:r>
        <w:rPr>
          <w:rFonts w:ascii="Times New Roman" w:hAnsi="Times New Roman"/>
          <w:sz w:val="24"/>
          <w:szCs w:val="24"/>
        </w:rPr>
        <w:t xml:space="preserve">, isto é, por meio do denominado </w:t>
      </w:r>
      <w:r w:rsidRPr="00ED6304">
        <w:rPr>
          <w:rFonts w:ascii="Times New Roman" w:hAnsi="Times New Roman"/>
          <w:i/>
          <w:sz w:val="24"/>
          <w:szCs w:val="24"/>
        </w:rPr>
        <w:t>Plenário Virtual</w:t>
      </w:r>
      <w:r w:rsidRPr="002110FE">
        <w:rPr>
          <w:rFonts w:ascii="Times New Roman" w:hAnsi="Times New Roman"/>
          <w:sz w:val="24"/>
          <w:szCs w:val="24"/>
        </w:rPr>
        <w:t>.</w:t>
      </w:r>
      <w:r>
        <w:rPr>
          <w:rFonts w:ascii="Times New Roman" w:hAnsi="Times New Roman"/>
          <w:sz w:val="24"/>
          <w:szCs w:val="24"/>
        </w:rPr>
        <w:t xml:space="preserve"> </w:t>
      </w:r>
      <w:r w:rsidRPr="00DC0B27">
        <w:rPr>
          <w:rFonts w:ascii="Times New Roman" w:hAnsi="Times New Roman"/>
          <w:sz w:val="24"/>
          <w:szCs w:val="24"/>
        </w:rPr>
        <w:t>O artigo 323 do RISTF,</w:t>
      </w:r>
      <w:r>
        <w:rPr>
          <w:rFonts w:ascii="Times New Roman" w:hAnsi="Times New Roman"/>
          <w:sz w:val="24"/>
          <w:szCs w:val="24"/>
        </w:rPr>
        <w:t xml:space="preserve"> </w:t>
      </w:r>
      <w:r w:rsidRPr="00DC0B27">
        <w:rPr>
          <w:rFonts w:ascii="Times New Roman" w:hAnsi="Times New Roman"/>
          <w:sz w:val="24"/>
          <w:szCs w:val="24"/>
        </w:rPr>
        <w:t>com a redação que lhe foi conferida pel</w:t>
      </w:r>
      <w:r>
        <w:rPr>
          <w:rFonts w:ascii="Times New Roman" w:hAnsi="Times New Roman"/>
          <w:sz w:val="24"/>
          <w:szCs w:val="24"/>
        </w:rPr>
        <w:t>a Emenda Regimental nº 21 de 2</w:t>
      </w:r>
      <w:r w:rsidRPr="00DC0B27">
        <w:rPr>
          <w:rFonts w:ascii="Times New Roman" w:hAnsi="Times New Roman"/>
          <w:sz w:val="24"/>
          <w:szCs w:val="24"/>
        </w:rPr>
        <w:t>007, estabeleceu</w:t>
      </w:r>
      <w:r>
        <w:rPr>
          <w:rFonts w:ascii="Times New Roman" w:hAnsi="Times New Roman"/>
          <w:sz w:val="24"/>
          <w:szCs w:val="24"/>
        </w:rPr>
        <w:t xml:space="preserve"> </w:t>
      </w:r>
      <w:r w:rsidRPr="00DC0B27">
        <w:rPr>
          <w:rFonts w:ascii="Times New Roman" w:hAnsi="Times New Roman"/>
          <w:sz w:val="24"/>
          <w:szCs w:val="24"/>
        </w:rPr>
        <w:t xml:space="preserve">um </w:t>
      </w:r>
      <w:r w:rsidRPr="008F2B51">
        <w:rPr>
          <w:rFonts w:ascii="Times New Roman" w:hAnsi="Times New Roman"/>
          <w:i/>
          <w:sz w:val="24"/>
          <w:szCs w:val="24"/>
        </w:rPr>
        <w:t>procedimento eletrônico</w:t>
      </w:r>
      <w:r>
        <w:rPr>
          <w:rFonts w:ascii="Times New Roman" w:hAnsi="Times New Roman"/>
          <w:sz w:val="24"/>
          <w:szCs w:val="24"/>
        </w:rPr>
        <w:t xml:space="preserve"> para a deliberação sobre a Repercussão G</w:t>
      </w:r>
      <w:r w:rsidRPr="00DC0B27">
        <w:rPr>
          <w:rFonts w:ascii="Times New Roman" w:hAnsi="Times New Roman"/>
          <w:sz w:val="24"/>
          <w:szCs w:val="24"/>
        </w:rPr>
        <w:t>eral da questão</w:t>
      </w:r>
      <w:r>
        <w:rPr>
          <w:rFonts w:ascii="Times New Roman" w:hAnsi="Times New Roman"/>
          <w:sz w:val="24"/>
          <w:szCs w:val="24"/>
        </w:rPr>
        <w:t xml:space="preserve"> </w:t>
      </w:r>
      <w:r w:rsidRPr="00DC0B27">
        <w:rPr>
          <w:rFonts w:ascii="Times New Roman" w:hAnsi="Times New Roman"/>
          <w:sz w:val="24"/>
          <w:szCs w:val="24"/>
        </w:rPr>
        <w:t>constitucional</w:t>
      </w:r>
      <w:r>
        <w:rPr>
          <w:rFonts w:ascii="Times New Roman" w:hAnsi="Times New Roman"/>
          <w:sz w:val="24"/>
          <w:szCs w:val="24"/>
        </w:rPr>
        <w:t>.</w:t>
      </w:r>
      <w:r>
        <w:rPr>
          <w:rStyle w:val="FootnoteReference"/>
          <w:rFonts w:ascii="Times New Roman" w:hAnsi="Times New Roman"/>
          <w:sz w:val="24"/>
          <w:szCs w:val="24"/>
        </w:rPr>
        <w:footnoteReference w:id="205"/>
      </w:r>
    </w:p>
    <w:p w:rsidR="00D549BC" w:rsidRDefault="00D549BC" w:rsidP="00393E4F">
      <w:pPr>
        <w:spacing w:after="240"/>
        <w:contextualSpacing/>
        <w:rPr>
          <w:rFonts w:ascii="Times New Roman" w:hAnsi="Times New Roman"/>
          <w:sz w:val="24"/>
          <w:szCs w:val="24"/>
        </w:rPr>
      </w:pPr>
      <w:r>
        <w:rPr>
          <w:rFonts w:ascii="Times New Roman" w:hAnsi="Times New Roman"/>
          <w:sz w:val="24"/>
          <w:szCs w:val="24"/>
        </w:rPr>
        <w:t>A redação original do art. 323 do RISTF foi posteriormente alterada pela Emenda Regimental nº 42, de 2 de dezembro de 2010, passando a dispor que: “</w:t>
      </w:r>
      <w:r w:rsidRPr="008F2B51">
        <w:rPr>
          <w:rFonts w:ascii="Times New Roman" w:hAnsi="Times New Roman"/>
          <w:i/>
          <w:sz w:val="24"/>
          <w:szCs w:val="24"/>
        </w:rPr>
        <w:t>quando não for caso de inadmissibilidade do recurso por outra razão</w:t>
      </w:r>
      <w:r w:rsidRPr="00EC5564">
        <w:rPr>
          <w:rFonts w:ascii="Times New Roman" w:hAnsi="Times New Roman"/>
          <w:sz w:val="24"/>
          <w:szCs w:val="24"/>
        </w:rPr>
        <w:t>,</w:t>
      </w:r>
      <w:r>
        <w:rPr>
          <w:rFonts w:ascii="Times New Roman" w:hAnsi="Times New Roman"/>
          <w:sz w:val="24"/>
          <w:szCs w:val="24"/>
        </w:rPr>
        <w:t xml:space="preserve"> </w:t>
      </w:r>
      <w:r w:rsidRPr="00EC5564">
        <w:rPr>
          <w:rFonts w:ascii="Times New Roman" w:hAnsi="Times New Roman"/>
          <w:i/>
          <w:sz w:val="24"/>
          <w:szCs w:val="24"/>
        </w:rPr>
        <w:t>o(a) Relator(a) ou o Presidente submeterá</w:t>
      </w:r>
      <w:r w:rsidRPr="00EC5564">
        <w:rPr>
          <w:rFonts w:ascii="Times New Roman" w:hAnsi="Times New Roman"/>
          <w:sz w:val="24"/>
          <w:szCs w:val="24"/>
        </w:rPr>
        <w:t xml:space="preserve">, </w:t>
      </w:r>
      <w:r w:rsidRPr="00EC5564">
        <w:rPr>
          <w:rFonts w:ascii="Times New Roman" w:hAnsi="Times New Roman"/>
          <w:i/>
          <w:sz w:val="24"/>
          <w:szCs w:val="24"/>
        </w:rPr>
        <w:t>por meio eletrônico</w:t>
      </w:r>
      <w:r w:rsidRPr="00EC5564">
        <w:rPr>
          <w:rFonts w:ascii="Times New Roman" w:hAnsi="Times New Roman"/>
          <w:sz w:val="24"/>
          <w:szCs w:val="24"/>
        </w:rPr>
        <w:t xml:space="preserve">, </w:t>
      </w:r>
      <w:r w:rsidRPr="00EC5564">
        <w:rPr>
          <w:rFonts w:ascii="Times New Roman" w:hAnsi="Times New Roman"/>
          <w:i/>
          <w:sz w:val="24"/>
          <w:szCs w:val="24"/>
        </w:rPr>
        <w:t>aos demais Ministros</w:t>
      </w:r>
      <w:r w:rsidRPr="00EC5564">
        <w:rPr>
          <w:rFonts w:ascii="Times New Roman" w:hAnsi="Times New Roman"/>
          <w:sz w:val="24"/>
          <w:szCs w:val="24"/>
        </w:rPr>
        <w:t>,</w:t>
      </w:r>
      <w:r>
        <w:rPr>
          <w:rFonts w:ascii="Times New Roman" w:hAnsi="Times New Roman"/>
          <w:sz w:val="24"/>
          <w:szCs w:val="24"/>
        </w:rPr>
        <w:t xml:space="preserve"> </w:t>
      </w:r>
      <w:r w:rsidRPr="00EC5564">
        <w:rPr>
          <w:rFonts w:ascii="Times New Roman" w:hAnsi="Times New Roman"/>
          <w:i/>
          <w:sz w:val="24"/>
          <w:szCs w:val="24"/>
        </w:rPr>
        <w:t>cópia de sua manifestação sobre a existência</w:t>
      </w:r>
      <w:r w:rsidRPr="00EC5564">
        <w:rPr>
          <w:rFonts w:ascii="Times New Roman" w:hAnsi="Times New Roman"/>
          <w:sz w:val="24"/>
          <w:szCs w:val="24"/>
        </w:rPr>
        <w:t xml:space="preserve">, </w:t>
      </w:r>
      <w:r w:rsidRPr="00EC5564">
        <w:rPr>
          <w:rFonts w:ascii="Times New Roman" w:hAnsi="Times New Roman"/>
          <w:i/>
          <w:sz w:val="24"/>
          <w:szCs w:val="24"/>
        </w:rPr>
        <w:t>ou não</w:t>
      </w:r>
      <w:r w:rsidRPr="00EC5564">
        <w:rPr>
          <w:rFonts w:ascii="Times New Roman" w:hAnsi="Times New Roman"/>
          <w:sz w:val="24"/>
          <w:szCs w:val="24"/>
        </w:rPr>
        <w:t xml:space="preserve">, </w:t>
      </w:r>
      <w:r w:rsidRPr="008F2B51">
        <w:rPr>
          <w:rFonts w:ascii="Times New Roman" w:hAnsi="Times New Roman"/>
          <w:i/>
          <w:sz w:val="24"/>
          <w:szCs w:val="24"/>
        </w:rPr>
        <w:t>de repercussão geral</w:t>
      </w:r>
      <w:r>
        <w:rPr>
          <w:rFonts w:ascii="Times New Roman" w:hAnsi="Times New Roman"/>
          <w:i/>
          <w:sz w:val="24"/>
          <w:szCs w:val="24"/>
        </w:rPr>
        <w:t>.”</w:t>
      </w:r>
      <w:r w:rsidRPr="008F2B51">
        <w:rPr>
          <w:rStyle w:val="FootnoteReference"/>
          <w:rFonts w:ascii="Times New Roman" w:hAnsi="Times New Roman"/>
          <w:sz w:val="24"/>
          <w:szCs w:val="24"/>
        </w:rPr>
        <w:footnoteReference w:id="206"/>
      </w:r>
      <w:r>
        <w:rPr>
          <w:rFonts w:ascii="Times New Roman" w:hAnsi="Times New Roman"/>
          <w:sz w:val="24"/>
          <w:szCs w:val="24"/>
        </w:rPr>
        <w:t xml:space="preserve"> </w:t>
      </w:r>
    </w:p>
    <w:p w:rsidR="00D549BC" w:rsidRDefault="00D549BC" w:rsidP="00BF56EB">
      <w:pPr>
        <w:spacing w:after="240"/>
        <w:contextualSpacing/>
        <w:rPr>
          <w:rFonts w:ascii="Times New Roman" w:hAnsi="Times New Roman"/>
          <w:sz w:val="24"/>
          <w:szCs w:val="24"/>
        </w:rPr>
      </w:pPr>
      <w:r>
        <w:rPr>
          <w:rFonts w:ascii="Times New Roman" w:hAnsi="Times New Roman"/>
          <w:sz w:val="24"/>
          <w:szCs w:val="24"/>
        </w:rPr>
        <w:t xml:space="preserve">Trataremos, adiante, como se dá a votação dos demais Ministros quando a Repercussão Geral é colocada em pauta pelo Relator ou pelo Presidente do STF no Plenário Virtual da Corte, assim como o procedimento estabelecido pelo Regimento Interno do Tribunal. </w:t>
      </w:r>
    </w:p>
    <w:p w:rsidR="00D549BC" w:rsidRDefault="00D549BC" w:rsidP="00EC5564">
      <w:pPr>
        <w:spacing w:after="240"/>
        <w:ind w:firstLine="708"/>
        <w:contextualSpacing/>
        <w:rPr>
          <w:rFonts w:ascii="Times New Roman" w:hAnsi="Times New Roman"/>
          <w:sz w:val="24"/>
          <w:szCs w:val="24"/>
        </w:rPr>
      </w:pPr>
    </w:p>
    <w:p w:rsidR="00D549BC" w:rsidRDefault="00D549BC" w:rsidP="00EC2DC9">
      <w:pPr>
        <w:spacing w:after="240"/>
        <w:ind w:firstLine="0"/>
        <w:contextualSpacing/>
        <w:rPr>
          <w:rFonts w:ascii="Times New Roman" w:hAnsi="Times New Roman"/>
          <w:sz w:val="24"/>
          <w:szCs w:val="24"/>
        </w:rPr>
      </w:pPr>
      <w:r>
        <w:rPr>
          <w:rFonts w:ascii="Times New Roman" w:hAnsi="Times New Roman"/>
          <w:sz w:val="24"/>
          <w:szCs w:val="24"/>
        </w:rPr>
        <w:t xml:space="preserve">4.2.2.1 A dinâmica do Plenário Virtual: considerações gerais </w:t>
      </w:r>
    </w:p>
    <w:p w:rsidR="00D549BC" w:rsidRDefault="00D549BC" w:rsidP="00EC2DC9">
      <w:pPr>
        <w:spacing w:after="240"/>
        <w:ind w:firstLine="0"/>
        <w:contextualSpacing/>
        <w:rPr>
          <w:rFonts w:ascii="Times New Roman" w:hAnsi="Times New Roman"/>
          <w:sz w:val="24"/>
          <w:szCs w:val="24"/>
        </w:rPr>
      </w:pPr>
    </w:p>
    <w:p w:rsidR="00D549BC" w:rsidRDefault="00D549BC" w:rsidP="00BF56EB">
      <w:pPr>
        <w:spacing w:after="240"/>
        <w:contextualSpacing/>
        <w:rPr>
          <w:rFonts w:ascii="Times New Roman" w:hAnsi="Times New Roman"/>
          <w:sz w:val="24"/>
          <w:szCs w:val="24"/>
        </w:rPr>
      </w:pPr>
      <w:r>
        <w:rPr>
          <w:rFonts w:ascii="Times New Roman" w:hAnsi="Times New Roman"/>
          <w:sz w:val="24"/>
          <w:szCs w:val="24"/>
        </w:rPr>
        <w:t>Vimos que, nos termos do artigo 323 do RISTF, cumpre ao Relator(a) ou Presidente do STF, primeiramente, examinar se não falta ao recurso interposto algum outro pressuposto de admissibilidade. Após ser autuado no STF, o Recurso Extraordinário percorre um longo caminho até ter sua preliminar de Repercussão Geral efetivamente submetida ao Plenário Virtual da Corte.</w:t>
      </w:r>
    </w:p>
    <w:p w:rsidR="00D549BC" w:rsidRDefault="00D549BC" w:rsidP="00BF56EB">
      <w:pPr>
        <w:spacing w:after="240"/>
        <w:contextualSpacing/>
        <w:rPr>
          <w:rFonts w:ascii="Times New Roman" w:hAnsi="Times New Roman"/>
          <w:sz w:val="24"/>
          <w:szCs w:val="24"/>
        </w:rPr>
      </w:pPr>
      <w:r>
        <w:rPr>
          <w:rFonts w:ascii="Times New Roman" w:hAnsi="Times New Roman"/>
          <w:sz w:val="24"/>
          <w:szCs w:val="24"/>
        </w:rPr>
        <w:t xml:space="preserve">O primeiro filtro pelo qual o RE passa é o da Secretária Judiciária do STF. Por meio de um </w:t>
      </w:r>
      <w:r w:rsidRPr="008A32B9">
        <w:rPr>
          <w:rFonts w:ascii="Times New Roman" w:hAnsi="Times New Roman"/>
          <w:i/>
          <w:sz w:val="24"/>
          <w:szCs w:val="24"/>
        </w:rPr>
        <w:t>software</w:t>
      </w:r>
      <w:r>
        <w:rPr>
          <w:rFonts w:ascii="Times New Roman" w:hAnsi="Times New Roman"/>
          <w:sz w:val="24"/>
          <w:szCs w:val="24"/>
        </w:rPr>
        <w:t>, desenvolvido pela Secretaria de Tecnologia da Informação,</w:t>
      </w:r>
      <w:r>
        <w:rPr>
          <w:rStyle w:val="FootnoteReference"/>
          <w:rFonts w:ascii="Times New Roman" w:hAnsi="Times New Roman"/>
          <w:sz w:val="24"/>
          <w:szCs w:val="24"/>
        </w:rPr>
        <w:footnoteReference w:id="207"/>
      </w:r>
      <w:r>
        <w:rPr>
          <w:rFonts w:ascii="Times New Roman" w:hAnsi="Times New Roman"/>
          <w:sz w:val="24"/>
          <w:szCs w:val="24"/>
        </w:rPr>
        <w:t xml:space="preserve"> a Secretaria do Tribunal identifica processos múltiplos relativos a matérias já submetidas ao exame da Repercussão Geral, ou que tenham sido remetidos em descordo com § 1º do art. 543-B do CPC,</w:t>
      </w:r>
      <w:r>
        <w:rPr>
          <w:rStyle w:val="FootnoteReference"/>
          <w:rFonts w:ascii="Times New Roman" w:hAnsi="Times New Roman"/>
          <w:sz w:val="24"/>
          <w:szCs w:val="24"/>
        </w:rPr>
        <w:footnoteReference w:id="208"/>
      </w:r>
      <w:r>
        <w:rPr>
          <w:rFonts w:ascii="Times New Roman" w:hAnsi="Times New Roman"/>
          <w:sz w:val="24"/>
          <w:szCs w:val="24"/>
        </w:rPr>
        <w:t xml:space="preserve"> ou, ainda, que tratem de temas cujo sobrestamento ou devolução à instância originária já tenham sido, anteriormente, determinados pelo Relator. Trata-se de um procedimento de autuação simplificada, no qual os processos, em tais circunstâncias, são automaticamente devolvidos por intermédio de decisão monocrática do Presidente da Corte.</w:t>
      </w:r>
      <w:r>
        <w:rPr>
          <w:rStyle w:val="FootnoteReference"/>
          <w:rFonts w:ascii="Times New Roman" w:hAnsi="Times New Roman"/>
          <w:sz w:val="24"/>
          <w:szCs w:val="24"/>
        </w:rPr>
        <w:footnoteReference w:id="209"/>
      </w:r>
      <w:r>
        <w:rPr>
          <w:rFonts w:ascii="Times New Roman" w:hAnsi="Times New Roman"/>
          <w:sz w:val="24"/>
          <w:szCs w:val="24"/>
          <w:vertAlign w:val="superscript"/>
        </w:rPr>
        <w:t>-</w:t>
      </w:r>
      <w:r>
        <w:rPr>
          <w:rStyle w:val="FootnoteReference"/>
          <w:rFonts w:ascii="Times New Roman" w:hAnsi="Times New Roman"/>
          <w:sz w:val="24"/>
          <w:szCs w:val="24"/>
        </w:rPr>
        <w:footnoteReference w:id="210"/>
      </w:r>
    </w:p>
    <w:p w:rsidR="00D549BC" w:rsidRDefault="00D549BC" w:rsidP="006A5B18">
      <w:pPr>
        <w:spacing w:after="240"/>
        <w:contextualSpacing/>
        <w:rPr>
          <w:rFonts w:ascii="Times New Roman" w:hAnsi="Times New Roman"/>
          <w:sz w:val="24"/>
          <w:szCs w:val="24"/>
        </w:rPr>
      </w:pPr>
      <w:r>
        <w:rPr>
          <w:rFonts w:ascii="Times New Roman" w:hAnsi="Times New Roman"/>
          <w:sz w:val="24"/>
          <w:szCs w:val="24"/>
        </w:rPr>
        <w:t xml:space="preserve">O segundo filtro a que é submetido o RE é de competência do Ministro Relator, que poderá, por meio de decisão monocrática, negar seguimento </w:t>
      </w:r>
      <w:r w:rsidRPr="0054688C">
        <w:rPr>
          <w:rFonts w:ascii="Times New Roman" w:hAnsi="Times New Roman"/>
          <w:sz w:val="24"/>
          <w:szCs w:val="24"/>
        </w:rPr>
        <w:t>a recurso manifestamente</w:t>
      </w:r>
      <w:r>
        <w:rPr>
          <w:rFonts w:ascii="Times New Roman" w:hAnsi="Times New Roman"/>
          <w:sz w:val="24"/>
          <w:szCs w:val="24"/>
        </w:rPr>
        <w:t xml:space="preserve"> </w:t>
      </w:r>
      <w:r w:rsidRPr="0054688C">
        <w:rPr>
          <w:rFonts w:ascii="Times New Roman" w:hAnsi="Times New Roman"/>
          <w:sz w:val="24"/>
          <w:szCs w:val="24"/>
        </w:rPr>
        <w:t>inadmissível, improcedente ou contrário à jurisprudência dominante ou</w:t>
      </w:r>
      <w:r>
        <w:rPr>
          <w:rFonts w:ascii="Times New Roman" w:hAnsi="Times New Roman"/>
          <w:sz w:val="24"/>
          <w:szCs w:val="24"/>
        </w:rPr>
        <w:t xml:space="preserve"> </w:t>
      </w:r>
      <w:r w:rsidRPr="0054688C">
        <w:rPr>
          <w:rFonts w:ascii="Times New Roman" w:hAnsi="Times New Roman"/>
          <w:sz w:val="24"/>
          <w:szCs w:val="24"/>
        </w:rPr>
        <w:t>a Súmula do Tribunal</w:t>
      </w:r>
      <w:r>
        <w:rPr>
          <w:rFonts w:ascii="Times New Roman" w:hAnsi="Times New Roman"/>
          <w:sz w:val="24"/>
          <w:szCs w:val="24"/>
        </w:rPr>
        <w:t>.</w:t>
      </w:r>
      <w:r>
        <w:rPr>
          <w:rStyle w:val="FootnoteReference"/>
          <w:rFonts w:ascii="Times New Roman" w:hAnsi="Times New Roman"/>
          <w:sz w:val="24"/>
          <w:szCs w:val="24"/>
        </w:rPr>
        <w:footnoteReference w:id="211"/>
      </w:r>
      <w:r>
        <w:rPr>
          <w:rFonts w:ascii="Times New Roman" w:hAnsi="Times New Roman"/>
          <w:sz w:val="24"/>
          <w:szCs w:val="24"/>
        </w:rPr>
        <w:t xml:space="preserve"> Competir-lhe-á, ainda, dar provimento, monocraticamente, ao RE em caso de </w:t>
      </w:r>
      <w:r w:rsidRPr="0054688C">
        <w:rPr>
          <w:rFonts w:ascii="Times New Roman" w:hAnsi="Times New Roman"/>
          <w:i/>
          <w:sz w:val="24"/>
          <w:szCs w:val="24"/>
        </w:rPr>
        <w:t>manifesta</w:t>
      </w:r>
      <w:r>
        <w:rPr>
          <w:rFonts w:ascii="Times New Roman" w:hAnsi="Times New Roman"/>
          <w:sz w:val="24"/>
          <w:szCs w:val="24"/>
        </w:rPr>
        <w:t xml:space="preserve"> divergência com Súmula do STF.</w:t>
      </w:r>
      <w:r>
        <w:rPr>
          <w:rStyle w:val="FootnoteReference"/>
          <w:rFonts w:ascii="Times New Roman" w:hAnsi="Times New Roman"/>
          <w:sz w:val="24"/>
          <w:szCs w:val="24"/>
        </w:rPr>
        <w:footnoteReference w:id="212"/>
      </w:r>
    </w:p>
    <w:p w:rsidR="00D549BC" w:rsidRDefault="00D549BC" w:rsidP="006A5B18">
      <w:pPr>
        <w:spacing w:after="240"/>
        <w:contextualSpacing/>
        <w:rPr>
          <w:rFonts w:ascii="Times New Roman" w:hAnsi="Times New Roman"/>
          <w:sz w:val="24"/>
          <w:szCs w:val="24"/>
        </w:rPr>
      </w:pPr>
      <w:r>
        <w:rPr>
          <w:rFonts w:ascii="Times New Roman" w:hAnsi="Times New Roman"/>
          <w:sz w:val="24"/>
          <w:szCs w:val="24"/>
        </w:rPr>
        <w:t xml:space="preserve">Por conseguinte, presentes todos os requisitos de admissibilidade e não sendo o caso de recurso idêntico cuja Repercussão Geral já tenha sido reconhecida, ou tratando-se de presunção (hipóteses nas quais não haverá necessidade de nova manifestação do Pleno), caberá ao Relator(a) ou Presidente encaminhar seu voto sobre a existência ou não de Repercussão Geral, submetendo-o à apreciação dos demais Ministros por meio eletrônico. Isto é, a manifestação do(a) Relator(a) ou Presidente acerca da configuração ou não da RG deverá ser encaminhada ao Plenário Virtual para que os outros Ministros também opinem sobre a preliminar.  </w:t>
      </w:r>
    </w:p>
    <w:p w:rsidR="00D549BC" w:rsidRDefault="00D549BC" w:rsidP="00D01C25">
      <w:pPr>
        <w:spacing w:after="240"/>
        <w:ind w:firstLine="851"/>
        <w:contextualSpacing/>
        <w:rPr>
          <w:rFonts w:ascii="Times New Roman" w:hAnsi="Times New Roman"/>
          <w:sz w:val="24"/>
          <w:szCs w:val="24"/>
        </w:rPr>
      </w:pPr>
      <w:r>
        <w:rPr>
          <w:rFonts w:ascii="Times New Roman" w:hAnsi="Times New Roman"/>
          <w:sz w:val="24"/>
          <w:szCs w:val="24"/>
        </w:rPr>
        <w:t>A etapa seguinte, posterior à manifestação do(a) Relator(a), vem prevista no art. 324 do RISTF:</w:t>
      </w:r>
    </w:p>
    <w:p w:rsidR="00D549BC" w:rsidRDefault="00D549BC" w:rsidP="00E65838">
      <w:pPr>
        <w:spacing w:after="240" w:line="240" w:lineRule="auto"/>
        <w:ind w:left="2268" w:firstLine="0"/>
        <w:contextualSpacing/>
        <w:rPr>
          <w:rFonts w:ascii="Times New Roman" w:hAnsi="Times New Roman"/>
        </w:rPr>
      </w:pPr>
      <w:r>
        <w:rPr>
          <w:rFonts w:ascii="Times New Roman" w:hAnsi="Times New Roman"/>
          <w:szCs w:val="24"/>
        </w:rPr>
        <w:t>Art. 324</w:t>
      </w:r>
      <w:r w:rsidRPr="00E65838">
        <w:rPr>
          <w:rFonts w:ascii="Times New Roman" w:hAnsi="Times New Roman"/>
          <w:szCs w:val="24"/>
        </w:rPr>
        <w:t xml:space="preserve">. Recebida a manifestação do(a) Relator(a), </w:t>
      </w:r>
      <w:r w:rsidRPr="00E65838">
        <w:rPr>
          <w:rFonts w:ascii="Times New Roman" w:hAnsi="Times New Roman"/>
          <w:i/>
          <w:szCs w:val="24"/>
        </w:rPr>
        <w:t>os demais Ministros encaminhar-lhe-ão, também por meio eletrônico, no prazo comum de vinte dias, manifestação sobre a questão da repercussão geral</w:t>
      </w:r>
      <w:r>
        <w:rPr>
          <w:rFonts w:ascii="Times New Roman" w:hAnsi="Times New Roman"/>
          <w:szCs w:val="24"/>
        </w:rPr>
        <w:t xml:space="preserve"> (</w:t>
      </w:r>
      <w:r w:rsidRPr="00E65838">
        <w:rPr>
          <w:rFonts w:ascii="Times New Roman" w:hAnsi="Times New Roman"/>
        </w:rPr>
        <w:t>Atualizado com a introdução da Emenda Regimental 31/2009)</w:t>
      </w:r>
      <w:r>
        <w:rPr>
          <w:rFonts w:ascii="Times New Roman" w:hAnsi="Times New Roman"/>
        </w:rPr>
        <w:t>.</w:t>
      </w:r>
      <w:r w:rsidRPr="00E65838">
        <w:rPr>
          <w:rStyle w:val="FootnoteReference"/>
          <w:rFonts w:ascii="Times New Roman" w:hAnsi="Times New Roman"/>
          <w:szCs w:val="24"/>
        </w:rPr>
        <w:footnoteReference w:id="213"/>
      </w:r>
    </w:p>
    <w:p w:rsidR="00D549BC" w:rsidRDefault="00D549BC" w:rsidP="007D728A">
      <w:pPr>
        <w:spacing w:after="240" w:line="240" w:lineRule="auto"/>
        <w:ind w:left="2268" w:firstLine="0"/>
        <w:contextualSpacing/>
        <w:rPr>
          <w:rFonts w:ascii="Times New Roman" w:hAnsi="Times New Roman"/>
          <w:szCs w:val="24"/>
        </w:rPr>
      </w:pPr>
      <w:r w:rsidRPr="007D728A">
        <w:rPr>
          <w:rFonts w:ascii="Times New Roman" w:hAnsi="Times New Roman"/>
          <w:szCs w:val="24"/>
        </w:rPr>
        <w:t xml:space="preserve">§ 1º </w:t>
      </w:r>
      <w:r w:rsidRPr="007D728A">
        <w:rPr>
          <w:rFonts w:ascii="Times New Roman" w:hAnsi="Times New Roman"/>
          <w:i/>
          <w:szCs w:val="24"/>
        </w:rPr>
        <w:t>Decorrido o prazo sem manifestações suficientes para recusa do recurso, reputar-se-á existente a repercussão geral</w:t>
      </w:r>
      <w:r w:rsidRPr="007D728A">
        <w:rPr>
          <w:rFonts w:ascii="Times New Roman" w:hAnsi="Times New Roman"/>
          <w:szCs w:val="24"/>
        </w:rPr>
        <w:t>.</w:t>
      </w:r>
    </w:p>
    <w:p w:rsidR="00D549BC" w:rsidRDefault="00D549BC" w:rsidP="007D728A">
      <w:pPr>
        <w:spacing w:after="240" w:line="240" w:lineRule="auto"/>
        <w:ind w:left="2268" w:firstLine="0"/>
        <w:contextualSpacing/>
        <w:rPr>
          <w:rFonts w:ascii="Times New Roman" w:hAnsi="Times New Roman"/>
          <w:szCs w:val="24"/>
        </w:rPr>
      </w:pPr>
      <w:r w:rsidRPr="007D728A">
        <w:rPr>
          <w:rFonts w:ascii="Times New Roman" w:hAnsi="Times New Roman"/>
          <w:szCs w:val="24"/>
        </w:rPr>
        <w:t xml:space="preserve">§ 2º </w:t>
      </w:r>
      <w:r w:rsidRPr="007574B5">
        <w:rPr>
          <w:rFonts w:ascii="Times New Roman" w:hAnsi="Times New Roman"/>
          <w:i/>
          <w:szCs w:val="24"/>
        </w:rPr>
        <w:t>Não incide o disposto no parágrafo anterior quando o Relator declare que a matéria é infraconstitucional, caso em que a ausência de pronunciamento no prazo será considerada como manifestação de inexistência de repercussão geral</w:t>
      </w:r>
      <w:r w:rsidRPr="007D728A">
        <w:rPr>
          <w:rFonts w:ascii="Times New Roman" w:hAnsi="Times New Roman"/>
          <w:szCs w:val="24"/>
        </w:rPr>
        <w:t xml:space="preserve">, autorizando a aplicação do art. 543-A, § 5º, do Código de Processo Civil, se alcançada a maioria de dois terços de seus membros (Atualizado com a introdução da Emenda Regimental 47/2012). </w:t>
      </w:r>
    </w:p>
    <w:p w:rsidR="00D549BC" w:rsidRPr="007D728A" w:rsidRDefault="00D549BC" w:rsidP="007D728A">
      <w:pPr>
        <w:spacing w:after="240" w:line="240" w:lineRule="auto"/>
        <w:ind w:left="2268" w:firstLine="0"/>
        <w:contextualSpacing/>
        <w:rPr>
          <w:rFonts w:ascii="Times New Roman" w:hAnsi="Times New Roman"/>
          <w:szCs w:val="24"/>
        </w:rPr>
      </w:pPr>
      <w:r w:rsidRPr="007D728A">
        <w:rPr>
          <w:rFonts w:ascii="Times New Roman" w:hAnsi="Times New Roman"/>
          <w:szCs w:val="24"/>
        </w:rPr>
        <w:t>§ 3º</w:t>
      </w:r>
      <w:r>
        <w:rPr>
          <w:rFonts w:ascii="Times New Roman" w:hAnsi="Times New Roman"/>
          <w:szCs w:val="24"/>
        </w:rPr>
        <w:t xml:space="preserve"> </w:t>
      </w:r>
      <w:r w:rsidRPr="007D728A">
        <w:rPr>
          <w:rFonts w:ascii="Times New Roman" w:hAnsi="Times New Roman"/>
          <w:szCs w:val="24"/>
        </w:rPr>
        <w:t>No julgamento realizado por meio eletrônico, se vencido o Relator, redigirá o acórdão o Ministro sorteado na redistribuição, dentre aqueles que divergiram ou não se manifestaram, a quem competirá a relatoria do recurso para exame do mérito e de incidentes processuais (</w:t>
      </w:r>
      <w:r>
        <w:rPr>
          <w:rFonts w:ascii="Times New Roman" w:hAnsi="Times New Roman"/>
          <w:szCs w:val="24"/>
        </w:rPr>
        <w:t>a</w:t>
      </w:r>
      <w:r w:rsidRPr="007D728A">
        <w:rPr>
          <w:rFonts w:ascii="Times New Roman" w:hAnsi="Times New Roman"/>
          <w:szCs w:val="24"/>
        </w:rPr>
        <w:t>tualizado com a introdução da Emenda Regimental 49/2014).</w:t>
      </w:r>
    </w:p>
    <w:p w:rsidR="00D549BC" w:rsidRPr="007D728A" w:rsidRDefault="00D549BC" w:rsidP="00E65838">
      <w:pPr>
        <w:spacing w:after="240" w:line="240" w:lineRule="auto"/>
        <w:ind w:left="2268" w:firstLine="0"/>
        <w:contextualSpacing/>
        <w:rPr>
          <w:rFonts w:ascii="Times New Roman" w:hAnsi="Times New Roman"/>
          <w:szCs w:val="24"/>
        </w:rPr>
      </w:pPr>
    </w:p>
    <w:p w:rsidR="00D549BC" w:rsidRDefault="00D549BC" w:rsidP="00FD3BA0">
      <w:pPr>
        <w:spacing w:after="240"/>
        <w:contextualSpacing/>
        <w:rPr>
          <w:rFonts w:ascii="Times New Roman" w:hAnsi="Times New Roman"/>
          <w:sz w:val="24"/>
          <w:szCs w:val="24"/>
        </w:rPr>
      </w:pPr>
      <w:r>
        <w:rPr>
          <w:rFonts w:ascii="Times New Roman" w:hAnsi="Times New Roman"/>
          <w:sz w:val="24"/>
          <w:szCs w:val="24"/>
        </w:rPr>
        <w:t>Assim, o</w:t>
      </w:r>
      <w:r w:rsidRPr="00741AA8">
        <w:rPr>
          <w:rFonts w:ascii="Times New Roman" w:hAnsi="Times New Roman"/>
          <w:sz w:val="24"/>
          <w:szCs w:val="24"/>
        </w:rPr>
        <w:t xml:space="preserve">s demais </w:t>
      </w:r>
      <w:r>
        <w:rPr>
          <w:rFonts w:ascii="Times New Roman" w:hAnsi="Times New Roman"/>
          <w:sz w:val="24"/>
          <w:szCs w:val="24"/>
        </w:rPr>
        <w:t>Ministros terão</w:t>
      </w:r>
      <w:r w:rsidRPr="00741AA8">
        <w:rPr>
          <w:rFonts w:ascii="Times New Roman" w:hAnsi="Times New Roman"/>
          <w:sz w:val="24"/>
          <w:szCs w:val="24"/>
        </w:rPr>
        <w:t xml:space="preserve"> o prazo comum de</w:t>
      </w:r>
      <w:r>
        <w:rPr>
          <w:rFonts w:ascii="Times New Roman" w:hAnsi="Times New Roman"/>
          <w:sz w:val="24"/>
          <w:szCs w:val="24"/>
        </w:rPr>
        <w:t xml:space="preserve"> vinte</w:t>
      </w:r>
      <w:r w:rsidRPr="00741AA8">
        <w:rPr>
          <w:rFonts w:ascii="Times New Roman" w:hAnsi="Times New Roman"/>
          <w:sz w:val="24"/>
          <w:szCs w:val="24"/>
        </w:rPr>
        <w:t xml:space="preserve"> dias, contados do recebimento da</w:t>
      </w:r>
      <w:r>
        <w:rPr>
          <w:rFonts w:ascii="Times New Roman" w:hAnsi="Times New Roman"/>
          <w:sz w:val="24"/>
          <w:szCs w:val="24"/>
        </w:rPr>
        <w:t xml:space="preserve"> </w:t>
      </w:r>
      <w:r w:rsidRPr="00741AA8">
        <w:rPr>
          <w:rFonts w:ascii="Times New Roman" w:hAnsi="Times New Roman"/>
          <w:sz w:val="24"/>
          <w:szCs w:val="24"/>
        </w:rPr>
        <w:t xml:space="preserve">manifestação do </w:t>
      </w:r>
      <w:r>
        <w:rPr>
          <w:rFonts w:ascii="Times New Roman" w:hAnsi="Times New Roman"/>
          <w:sz w:val="24"/>
          <w:szCs w:val="24"/>
        </w:rPr>
        <w:t>R</w:t>
      </w:r>
      <w:r w:rsidRPr="00741AA8">
        <w:rPr>
          <w:rFonts w:ascii="Times New Roman" w:hAnsi="Times New Roman"/>
          <w:sz w:val="24"/>
          <w:szCs w:val="24"/>
        </w:rPr>
        <w:t>elator por via eletrônica, para se pronunciar</w:t>
      </w:r>
      <w:r>
        <w:rPr>
          <w:rFonts w:ascii="Times New Roman" w:hAnsi="Times New Roman"/>
          <w:sz w:val="24"/>
          <w:szCs w:val="24"/>
        </w:rPr>
        <w:t>em sobre a questão da R</w:t>
      </w:r>
      <w:r w:rsidRPr="00741AA8">
        <w:rPr>
          <w:rFonts w:ascii="Times New Roman" w:hAnsi="Times New Roman"/>
          <w:sz w:val="24"/>
          <w:szCs w:val="24"/>
        </w:rPr>
        <w:t>epercussão</w:t>
      </w:r>
      <w:r>
        <w:rPr>
          <w:rFonts w:ascii="Times New Roman" w:hAnsi="Times New Roman"/>
          <w:sz w:val="24"/>
          <w:szCs w:val="24"/>
        </w:rPr>
        <w:t xml:space="preserve"> Geral no RE. Obviamente, tais pronunciamentos posteriores também se darão pela via do Plenário Virtual, ou seja, por meio eletrônico. </w:t>
      </w:r>
      <w:r w:rsidRPr="003E10AE">
        <w:rPr>
          <w:rFonts w:ascii="Times New Roman" w:hAnsi="Times New Roman"/>
          <w:sz w:val="24"/>
          <w:szCs w:val="24"/>
        </w:rPr>
        <w:t>Se</w:t>
      </w:r>
      <w:r>
        <w:rPr>
          <w:rFonts w:ascii="Times New Roman" w:hAnsi="Times New Roman"/>
          <w:sz w:val="24"/>
          <w:szCs w:val="24"/>
        </w:rPr>
        <w:t>, por acaso,</w:t>
      </w:r>
      <w:r w:rsidRPr="003E10AE">
        <w:rPr>
          <w:rFonts w:ascii="Times New Roman" w:hAnsi="Times New Roman"/>
          <w:sz w:val="24"/>
          <w:szCs w:val="24"/>
        </w:rPr>
        <w:t xml:space="preserve"> no </w:t>
      </w:r>
      <w:r>
        <w:rPr>
          <w:rFonts w:ascii="Times New Roman" w:hAnsi="Times New Roman"/>
          <w:sz w:val="24"/>
          <w:szCs w:val="24"/>
        </w:rPr>
        <w:t>ínterim</w:t>
      </w:r>
      <w:r w:rsidRPr="003E10AE">
        <w:rPr>
          <w:rFonts w:ascii="Times New Roman" w:hAnsi="Times New Roman"/>
          <w:sz w:val="24"/>
          <w:szCs w:val="24"/>
        </w:rPr>
        <w:t xml:space="preserve"> de</w:t>
      </w:r>
      <w:r>
        <w:rPr>
          <w:rFonts w:ascii="Times New Roman" w:hAnsi="Times New Roman"/>
          <w:sz w:val="24"/>
          <w:szCs w:val="24"/>
        </w:rPr>
        <w:t>sses</w:t>
      </w:r>
      <w:r w:rsidRPr="003E10AE">
        <w:rPr>
          <w:rFonts w:ascii="Times New Roman" w:hAnsi="Times New Roman"/>
          <w:sz w:val="24"/>
          <w:szCs w:val="24"/>
        </w:rPr>
        <w:t xml:space="preserve"> </w:t>
      </w:r>
      <w:r>
        <w:rPr>
          <w:rFonts w:ascii="Times New Roman" w:hAnsi="Times New Roman"/>
          <w:sz w:val="24"/>
          <w:szCs w:val="24"/>
        </w:rPr>
        <w:t xml:space="preserve">vinte </w:t>
      </w:r>
      <w:r w:rsidRPr="003E10AE">
        <w:rPr>
          <w:rFonts w:ascii="Times New Roman" w:hAnsi="Times New Roman"/>
          <w:sz w:val="24"/>
          <w:szCs w:val="24"/>
        </w:rPr>
        <w:t xml:space="preserve">dias não chegar até o </w:t>
      </w:r>
      <w:r>
        <w:rPr>
          <w:rFonts w:ascii="Times New Roman" w:hAnsi="Times New Roman"/>
          <w:sz w:val="24"/>
          <w:szCs w:val="24"/>
        </w:rPr>
        <w:t>R</w:t>
      </w:r>
      <w:r w:rsidRPr="003E10AE">
        <w:rPr>
          <w:rFonts w:ascii="Times New Roman" w:hAnsi="Times New Roman"/>
          <w:sz w:val="24"/>
          <w:szCs w:val="24"/>
        </w:rPr>
        <w:t>elator</w:t>
      </w:r>
      <w:r>
        <w:rPr>
          <w:rFonts w:ascii="Times New Roman" w:hAnsi="Times New Roman"/>
          <w:sz w:val="24"/>
          <w:szCs w:val="24"/>
        </w:rPr>
        <w:t xml:space="preserve"> do caso</w:t>
      </w:r>
      <w:r w:rsidRPr="003E10AE">
        <w:rPr>
          <w:rFonts w:ascii="Times New Roman" w:hAnsi="Times New Roman"/>
          <w:sz w:val="24"/>
          <w:szCs w:val="24"/>
        </w:rPr>
        <w:t xml:space="preserve"> o número suficiente de manifestações </w:t>
      </w:r>
      <w:r>
        <w:rPr>
          <w:rFonts w:ascii="Times New Roman" w:hAnsi="Times New Roman"/>
          <w:sz w:val="24"/>
          <w:szCs w:val="24"/>
        </w:rPr>
        <w:t>contrárias à</w:t>
      </w:r>
      <w:r w:rsidRPr="003E10AE">
        <w:rPr>
          <w:rFonts w:ascii="Times New Roman" w:hAnsi="Times New Roman"/>
          <w:sz w:val="24"/>
          <w:szCs w:val="24"/>
        </w:rPr>
        <w:t xml:space="preserve"> existência</w:t>
      </w:r>
      <w:r>
        <w:rPr>
          <w:rFonts w:ascii="Times New Roman" w:hAnsi="Times New Roman"/>
          <w:sz w:val="24"/>
          <w:szCs w:val="24"/>
        </w:rPr>
        <w:t xml:space="preserve"> de Repercussão G</w:t>
      </w:r>
      <w:r w:rsidRPr="003E10AE">
        <w:rPr>
          <w:rFonts w:ascii="Times New Roman" w:hAnsi="Times New Roman"/>
          <w:sz w:val="24"/>
          <w:szCs w:val="24"/>
        </w:rPr>
        <w:t>era</w:t>
      </w:r>
      <w:r>
        <w:rPr>
          <w:rFonts w:ascii="Times New Roman" w:hAnsi="Times New Roman"/>
          <w:sz w:val="24"/>
          <w:szCs w:val="24"/>
        </w:rPr>
        <w:t xml:space="preserve">l (oito votos contrários), </w:t>
      </w:r>
      <w:r w:rsidRPr="003E10AE">
        <w:rPr>
          <w:rFonts w:ascii="Times New Roman" w:hAnsi="Times New Roman"/>
          <w:sz w:val="24"/>
          <w:szCs w:val="24"/>
        </w:rPr>
        <w:t>tem-se</w:t>
      </w:r>
      <w:r>
        <w:rPr>
          <w:rFonts w:ascii="Times New Roman" w:hAnsi="Times New Roman"/>
          <w:sz w:val="24"/>
          <w:szCs w:val="24"/>
        </w:rPr>
        <w:t xml:space="preserve"> </w:t>
      </w:r>
      <w:r w:rsidRPr="003E10AE">
        <w:rPr>
          <w:rFonts w:ascii="Times New Roman" w:hAnsi="Times New Roman"/>
          <w:sz w:val="24"/>
          <w:szCs w:val="24"/>
        </w:rPr>
        <w:t>por</w:t>
      </w:r>
      <w:r>
        <w:rPr>
          <w:rFonts w:ascii="Times New Roman" w:hAnsi="Times New Roman"/>
          <w:sz w:val="24"/>
          <w:szCs w:val="24"/>
        </w:rPr>
        <w:t xml:space="preserve"> </w:t>
      </w:r>
      <w:r w:rsidRPr="003E10AE">
        <w:rPr>
          <w:rFonts w:ascii="Times New Roman" w:hAnsi="Times New Roman"/>
          <w:sz w:val="24"/>
          <w:szCs w:val="24"/>
        </w:rPr>
        <w:t xml:space="preserve">cumprido </w:t>
      </w:r>
      <w:r>
        <w:rPr>
          <w:rFonts w:ascii="Times New Roman" w:hAnsi="Times New Roman"/>
          <w:sz w:val="24"/>
          <w:szCs w:val="24"/>
        </w:rPr>
        <w:t>o</w:t>
      </w:r>
      <w:r w:rsidRPr="003E10AE">
        <w:rPr>
          <w:rFonts w:ascii="Times New Roman" w:hAnsi="Times New Roman"/>
          <w:sz w:val="24"/>
          <w:szCs w:val="24"/>
        </w:rPr>
        <w:t xml:space="preserve"> r</w:t>
      </w:r>
      <w:r>
        <w:rPr>
          <w:rFonts w:ascii="Times New Roman" w:hAnsi="Times New Roman"/>
          <w:sz w:val="24"/>
          <w:szCs w:val="24"/>
        </w:rPr>
        <w:t>equisito de admissibilidade do R</w:t>
      </w:r>
      <w:r w:rsidRPr="003E10AE">
        <w:rPr>
          <w:rFonts w:ascii="Times New Roman" w:hAnsi="Times New Roman"/>
          <w:sz w:val="24"/>
          <w:szCs w:val="24"/>
        </w:rPr>
        <w:t xml:space="preserve">ecurso </w:t>
      </w:r>
      <w:r>
        <w:rPr>
          <w:rFonts w:ascii="Times New Roman" w:hAnsi="Times New Roman"/>
          <w:sz w:val="24"/>
          <w:szCs w:val="24"/>
        </w:rPr>
        <w:t>E</w:t>
      </w:r>
      <w:r w:rsidRPr="003E10AE">
        <w:rPr>
          <w:rFonts w:ascii="Times New Roman" w:hAnsi="Times New Roman"/>
          <w:sz w:val="24"/>
          <w:szCs w:val="24"/>
        </w:rPr>
        <w:t>xtraordinário</w:t>
      </w:r>
      <w:r>
        <w:rPr>
          <w:rFonts w:ascii="Times New Roman" w:hAnsi="Times New Roman"/>
          <w:sz w:val="24"/>
          <w:szCs w:val="24"/>
        </w:rPr>
        <w:t xml:space="preserve">. </w:t>
      </w:r>
    </w:p>
    <w:p w:rsidR="00D549BC" w:rsidRDefault="00D549BC" w:rsidP="006548E1">
      <w:pPr>
        <w:spacing w:after="240"/>
        <w:contextualSpacing/>
        <w:rPr>
          <w:rFonts w:ascii="Times New Roman" w:hAnsi="Times New Roman"/>
          <w:sz w:val="24"/>
          <w:szCs w:val="24"/>
        </w:rPr>
      </w:pPr>
      <w:r>
        <w:rPr>
          <w:rFonts w:ascii="Times New Roman" w:hAnsi="Times New Roman"/>
          <w:sz w:val="24"/>
          <w:szCs w:val="24"/>
        </w:rPr>
        <w:t>Melhor explicando: a ausência de manifestação, no Plenário Virtual, de qualquer dos Ministros é interpretada a favor da existência de Repercussão Geral – aqui o silêncio implica anuência. Isso significa que, a título de ilustração, caso somente o Relator e mais um Ministro se manifestem contrariamente à Repercussão Geral e todos os outros nove Ministros fiquem silentes a respeito, caracterizada estaria a preliminar. Isso serve igualmente para a situação de sete Ministros se manifestarem expressamente pela ausência de RG, porém com a omissão dos demais (quatro). Aqui manter-se-ia configurada a RG no caso sob exame.</w:t>
      </w:r>
    </w:p>
    <w:p w:rsidR="00D549BC" w:rsidRDefault="00D549BC" w:rsidP="006548E1">
      <w:pPr>
        <w:spacing w:after="240"/>
        <w:contextualSpacing/>
        <w:rPr>
          <w:rFonts w:ascii="Times New Roman" w:hAnsi="Times New Roman"/>
          <w:sz w:val="24"/>
          <w:szCs w:val="24"/>
        </w:rPr>
      </w:pPr>
      <w:r>
        <w:rPr>
          <w:rFonts w:ascii="Times New Roman" w:hAnsi="Times New Roman"/>
          <w:sz w:val="24"/>
          <w:szCs w:val="24"/>
        </w:rPr>
        <w:t xml:space="preserve">A única exceção à regra será na hipótese de o voto do Relator dar-se pela ausência de Repercussão Geral por se tratar de matéria infraconstitucional, situação em que o silêncio dos demais Ministros acarretará recusa à Repercussão Geral. Todavia, para que a preliminar seja rejeitada, deverá ser observado o </w:t>
      </w:r>
      <w:r w:rsidRPr="00033729">
        <w:rPr>
          <w:rFonts w:ascii="Times New Roman" w:hAnsi="Times New Roman"/>
          <w:i/>
          <w:sz w:val="24"/>
          <w:szCs w:val="24"/>
        </w:rPr>
        <w:t>quorum</w:t>
      </w:r>
      <w:r>
        <w:rPr>
          <w:rFonts w:ascii="Times New Roman" w:hAnsi="Times New Roman"/>
          <w:sz w:val="24"/>
          <w:szCs w:val="24"/>
        </w:rPr>
        <w:t xml:space="preserve"> constitucional de dois terços, conforme previsto no § 2º do art. 324 do RISTF, bem como no art. 102, § 3º da CRFB/88.</w:t>
      </w:r>
    </w:p>
    <w:p w:rsidR="00D549BC" w:rsidRDefault="00D549BC" w:rsidP="00A03EAB">
      <w:pPr>
        <w:spacing w:after="240"/>
        <w:contextualSpacing/>
        <w:rPr>
          <w:rFonts w:ascii="Times New Roman" w:hAnsi="Times New Roman"/>
          <w:sz w:val="24"/>
          <w:szCs w:val="24"/>
        </w:rPr>
      </w:pPr>
      <w:r>
        <w:rPr>
          <w:rFonts w:ascii="Times New Roman" w:hAnsi="Times New Roman"/>
          <w:sz w:val="24"/>
          <w:szCs w:val="24"/>
        </w:rPr>
        <w:t>É certo que o processamento eletrônico da Repercussão Geral dá ensejo a certas indagações, tais quais: (i) as ausências de debates presenciais entre os Ministro da Corte e de uma pauta de julgamento, supostamente violariam a publicidade dos julgamentos do Poder Judiciário (artigos 5º, LX e 93, IX da CRFB/88); (ii) a previsão de uma decisão judicial tácita seria legítima ante ao princípio constitucional de que toda decisão deve ser fundamentada (art. 93, IX da CRFB/88).</w:t>
      </w:r>
      <w:r>
        <w:rPr>
          <w:rStyle w:val="FootnoteReference"/>
          <w:rFonts w:ascii="Times New Roman" w:hAnsi="Times New Roman"/>
          <w:sz w:val="24"/>
          <w:szCs w:val="24"/>
        </w:rPr>
        <w:footnoteReference w:id="214"/>
      </w:r>
      <w:r>
        <w:rPr>
          <w:rFonts w:ascii="Times New Roman" w:hAnsi="Times New Roman"/>
          <w:sz w:val="24"/>
          <w:szCs w:val="24"/>
          <w:vertAlign w:val="superscript"/>
        </w:rPr>
        <w:t>-</w:t>
      </w:r>
      <w:r>
        <w:rPr>
          <w:rStyle w:val="FootnoteReference"/>
          <w:rFonts w:ascii="Times New Roman" w:hAnsi="Times New Roman"/>
          <w:sz w:val="24"/>
          <w:szCs w:val="24"/>
        </w:rPr>
        <w:footnoteReference w:id="215"/>
      </w:r>
    </w:p>
    <w:p w:rsidR="00D549BC" w:rsidRDefault="00D549BC" w:rsidP="00E23C7B">
      <w:pPr>
        <w:spacing w:after="240"/>
        <w:contextualSpacing/>
        <w:rPr>
          <w:rFonts w:ascii="Times New Roman" w:hAnsi="Times New Roman"/>
          <w:sz w:val="24"/>
          <w:szCs w:val="24"/>
        </w:rPr>
      </w:pPr>
      <w:r>
        <w:rPr>
          <w:rFonts w:ascii="Times New Roman" w:hAnsi="Times New Roman"/>
          <w:sz w:val="24"/>
          <w:szCs w:val="24"/>
        </w:rPr>
        <w:t>Quanto à primeira questão – violação da publicidade dos julgamentos no Plenário Virtual –, entendemos que não haveria ofensa ao disposto nos arts. 5º, inciso LX e 93, inciso IX da Constituição, visto que foram adotados, pela Corte, certos mecanismos a fim de evitar obscuridade no julgamento da Repercussão Geral. Primeiro, cabe destacar a necessidade de se juntar aos autos físicos as cópias das manifestações escritas dos Ministros, conforme o disposto no art. 325 do RISTF,</w:t>
      </w:r>
      <w:r>
        <w:rPr>
          <w:rStyle w:val="FootnoteReference"/>
          <w:rFonts w:ascii="Times New Roman" w:hAnsi="Times New Roman"/>
          <w:sz w:val="24"/>
          <w:szCs w:val="24"/>
        </w:rPr>
        <w:footnoteReference w:id="216"/>
      </w:r>
      <w:r>
        <w:rPr>
          <w:rFonts w:ascii="Times New Roman" w:hAnsi="Times New Roman"/>
          <w:sz w:val="24"/>
          <w:szCs w:val="24"/>
        </w:rPr>
        <w:t xml:space="preserve"> assim como de se </w:t>
      </w:r>
      <w:r w:rsidRPr="00D130A3">
        <w:rPr>
          <w:rFonts w:ascii="Times New Roman" w:hAnsi="Times New Roman"/>
          <w:sz w:val="24"/>
          <w:szCs w:val="24"/>
        </w:rPr>
        <w:t>lavrar o respectivo acórdão, mesmo que de forma sumulada, tal como estabeleceu o § 7º do</w:t>
      </w:r>
      <w:r>
        <w:rPr>
          <w:rFonts w:ascii="Times New Roman" w:hAnsi="Times New Roman"/>
          <w:sz w:val="24"/>
          <w:szCs w:val="24"/>
        </w:rPr>
        <w:t xml:space="preserve"> </w:t>
      </w:r>
      <w:r w:rsidRPr="00D130A3">
        <w:rPr>
          <w:rFonts w:ascii="Times New Roman" w:hAnsi="Times New Roman"/>
          <w:sz w:val="24"/>
          <w:szCs w:val="24"/>
        </w:rPr>
        <w:t>artigo 543-A do C</w:t>
      </w:r>
      <w:r>
        <w:rPr>
          <w:rFonts w:ascii="Times New Roman" w:hAnsi="Times New Roman"/>
          <w:sz w:val="24"/>
          <w:szCs w:val="24"/>
        </w:rPr>
        <w:t>P</w:t>
      </w:r>
      <w:r w:rsidRPr="00D130A3">
        <w:rPr>
          <w:rFonts w:ascii="Times New Roman" w:hAnsi="Times New Roman"/>
          <w:sz w:val="24"/>
          <w:szCs w:val="24"/>
        </w:rPr>
        <w:t>C</w:t>
      </w:r>
      <w:r>
        <w:rPr>
          <w:rFonts w:ascii="Times New Roman" w:hAnsi="Times New Roman"/>
          <w:sz w:val="24"/>
          <w:szCs w:val="24"/>
        </w:rPr>
        <w:t xml:space="preserve"> e parágrafo único do art. 325 do RISTF</w:t>
      </w:r>
      <w:r>
        <w:rPr>
          <w:rStyle w:val="FootnoteReference"/>
          <w:rFonts w:ascii="Times New Roman" w:hAnsi="Times New Roman"/>
          <w:sz w:val="24"/>
          <w:szCs w:val="24"/>
        </w:rPr>
        <w:footnoteReference w:id="217"/>
      </w:r>
      <w:r>
        <w:rPr>
          <w:rFonts w:ascii="Times New Roman" w:hAnsi="Times New Roman"/>
          <w:sz w:val="24"/>
          <w:szCs w:val="24"/>
          <w:vertAlign w:val="superscript"/>
        </w:rPr>
        <w:t>-</w:t>
      </w:r>
      <w:r>
        <w:rPr>
          <w:rStyle w:val="FootnoteReference"/>
          <w:rFonts w:ascii="Times New Roman" w:hAnsi="Times New Roman"/>
          <w:sz w:val="24"/>
          <w:szCs w:val="24"/>
        </w:rPr>
        <w:footnoteReference w:id="218"/>
      </w:r>
      <w:r>
        <w:rPr>
          <w:rFonts w:ascii="Times New Roman" w:hAnsi="Times New Roman"/>
          <w:sz w:val="24"/>
          <w:szCs w:val="24"/>
        </w:rPr>
        <w:t xml:space="preserve">. </w:t>
      </w:r>
    </w:p>
    <w:p w:rsidR="00D549BC" w:rsidRDefault="00D549BC" w:rsidP="00AF4364">
      <w:pPr>
        <w:spacing w:after="240"/>
        <w:ind w:firstLine="851"/>
        <w:contextualSpacing/>
        <w:rPr>
          <w:rFonts w:ascii="Times New Roman" w:hAnsi="Times New Roman"/>
          <w:sz w:val="24"/>
          <w:szCs w:val="24"/>
        </w:rPr>
      </w:pPr>
      <w:r>
        <w:rPr>
          <w:rFonts w:ascii="Times New Roman" w:hAnsi="Times New Roman"/>
          <w:sz w:val="24"/>
          <w:szCs w:val="24"/>
        </w:rPr>
        <w:t xml:space="preserve">Além disso, o site do Supremo Tribunal Federal </w:t>
      </w:r>
      <w:r w:rsidRPr="00AF4364">
        <w:rPr>
          <w:rFonts w:ascii="Times New Roman" w:hAnsi="Times New Roman"/>
          <w:sz w:val="24"/>
          <w:szCs w:val="24"/>
        </w:rPr>
        <w:t>disponibiliza uma página específica, denominada “</w:t>
      </w:r>
      <w:r w:rsidRPr="00AF4364">
        <w:rPr>
          <w:rFonts w:ascii="Times New Roman" w:hAnsi="Times New Roman"/>
          <w:i/>
          <w:sz w:val="24"/>
          <w:szCs w:val="24"/>
        </w:rPr>
        <w:t>Plenário Virtual</w:t>
      </w:r>
      <w:r w:rsidRPr="00AF4364">
        <w:rPr>
          <w:rFonts w:ascii="Times New Roman" w:hAnsi="Times New Roman"/>
          <w:sz w:val="24"/>
          <w:szCs w:val="24"/>
        </w:rPr>
        <w:t xml:space="preserve">”, na qual </w:t>
      </w:r>
      <w:r>
        <w:rPr>
          <w:rFonts w:ascii="Times New Roman" w:hAnsi="Times New Roman"/>
          <w:sz w:val="24"/>
          <w:szCs w:val="24"/>
        </w:rPr>
        <w:t>qualquer pessoa, ainda que não faça parte da relação processual, pode</w:t>
      </w:r>
      <w:r w:rsidRPr="00AF4364">
        <w:rPr>
          <w:rFonts w:ascii="Times New Roman" w:hAnsi="Times New Roman"/>
          <w:sz w:val="24"/>
          <w:szCs w:val="24"/>
        </w:rPr>
        <w:t xml:space="preserve"> acompanhar a trami</w:t>
      </w:r>
      <w:r>
        <w:rPr>
          <w:rFonts w:ascii="Times New Roman" w:hAnsi="Times New Roman"/>
          <w:sz w:val="24"/>
          <w:szCs w:val="24"/>
        </w:rPr>
        <w:t>tação das deliberações sobre a R</w:t>
      </w:r>
      <w:r w:rsidRPr="00AF4364">
        <w:rPr>
          <w:rFonts w:ascii="Times New Roman" w:hAnsi="Times New Roman"/>
          <w:sz w:val="24"/>
          <w:szCs w:val="24"/>
        </w:rPr>
        <w:t xml:space="preserve">epercussão </w:t>
      </w:r>
      <w:r>
        <w:rPr>
          <w:rFonts w:ascii="Times New Roman" w:hAnsi="Times New Roman"/>
          <w:sz w:val="24"/>
          <w:szCs w:val="24"/>
        </w:rPr>
        <w:t>G</w:t>
      </w:r>
      <w:r w:rsidRPr="00AF4364">
        <w:rPr>
          <w:rFonts w:ascii="Times New Roman" w:hAnsi="Times New Roman"/>
          <w:sz w:val="24"/>
          <w:szCs w:val="24"/>
        </w:rPr>
        <w:t>eral</w:t>
      </w:r>
      <w:r>
        <w:rPr>
          <w:rFonts w:ascii="Times New Roman" w:hAnsi="Times New Roman"/>
          <w:sz w:val="24"/>
          <w:szCs w:val="24"/>
        </w:rPr>
        <w:t>. Há informações sobre o Recurso Extraordinário, o nome do Relator, a descrição da matéria objeto de Repercussão Geral e o resultado do julgamento (no campo “situação atual”).</w:t>
      </w:r>
      <w:r>
        <w:rPr>
          <w:rStyle w:val="FootnoteReference"/>
          <w:rFonts w:ascii="Times New Roman" w:hAnsi="Times New Roman"/>
          <w:sz w:val="24"/>
          <w:szCs w:val="24"/>
        </w:rPr>
        <w:footnoteReference w:id="219"/>
      </w:r>
    </w:p>
    <w:p w:rsidR="00D549BC" w:rsidRDefault="00D549BC" w:rsidP="009A484D">
      <w:pPr>
        <w:spacing w:after="240"/>
        <w:contextualSpacing/>
        <w:rPr>
          <w:rFonts w:ascii="Times New Roman" w:hAnsi="Times New Roman"/>
          <w:sz w:val="24"/>
          <w:szCs w:val="24"/>
        </w:rPr>
      </w:pPr>
      <w:r>
        <w:rPr>
          <w:rFonts w:ascii="Times New Roman" w:hAnsi="Times New Roman"/>
          <w:sz w:val="24"/>
          <w:szCs w:val="24"/>
        </w:rPr>
        <w:t>Assim, quanto a suposta obscuridade no julgamento da Repercussão Geral, entendemos que, a princípio, a mesma resta descaracterizada ante os mecanismos descritos acima.</w:t>
      </w:r>
    </w:p>
    <w:p w:rsidR="00D549BC" w:rsidRDefault="00D549BC" w:rsidP="009A484D">
      <w:pPr>
        <w:spacing w:after="240"/>
        <w:contextualSpacing/>
        <w:rPr>
          <w:rFonts w:ascii="Times New Roman" w:hAnsi="Times New Roman"/>
          <w:sz w:val="24"/>
          <w:szCs w:val="24"/>
        </w:rPr>
      </w:pPr>
      <w:r>
        <w:rPr>
          <w:rFonts w:ascii="Times New Roman" w:hAnsi="Times New Roman"/>
          <w:sz w:val="24"/>
          <w:szCs w:val="24"/>
        </w:rPr>
        <w:t xml:space="preserve">A segunda questão, essa sim, mais polêmica, diz respeito à constitucionalidade da decisão tácita que reconhece a Repercussão Geral, afinal são necessários oito votos para sua rejeição (art. 102, § 3º da CRFB/88) e o RISTF (art. 324, § 1º) prevê que, tendo decorrido o prazo de vinte dias sem manifestações suficientes para a recusa, reputa-se cumprido o pressuposto de admissibilidade. </w:t>
      </w:r>
    </w:p>
    <w:p w:rsidR="00D549BC" w:rsidRDefault="00D549BC" w:rsidP="009A484D">
      <w:pPr>
        <w:spacing w:after="240"/>
        <w:contextualSpacing/>
        <w:rPr>
          <w:rFonts w:ascii="Times New Roman" w:hAnsi="Times New Roman"/>
          <w:sz w:val="24"/>
          <w:szCs w:val="24"/>
        </w:rPr>
      </w:pPr>
      <w:r w:rsidRPr="005048CC">
        <w:rPr>
          <w:rFonts w:ascii="Times New Roman" w:hAnsi="Times New Roman"/>
          <w:sz w:val="24"/>
          <w:szCs w:val="24"/>
        </w:rPr>
        <w:t>O problema é que decisões tácitas</w:t>
      </w:r>
      <w:r>
        <w:rPr>
          <w:rFonts w:ascii="Times New Roman" w:hAnsi="Times New Roman"/>
          <w:sz w:val="24"/>
          <w:szCs w:val="24"/>
        </w:rPr>
        <w:t xml:space="preserve"> </w:t>
      </w:r>
      <w:r w:rsidRPr="005048CC">
        <w:rPr>
          <w:rFonts w:ascii="Times New Roman" w:hAnsi="Times New Roman"/>
          <w:sz w:val="24"/>
          <w:szCs w:val="24"/>
        </w:rPr>
        <w:t>normalmente são consideradas constitucionalmente ilegítimas, por serem incompatíveis com a</w:t>
      </w:r>
      <w:r>
        <w:rPr>
          <w:rFonts w:ascii="Times New Roman" w:hAnsi="Times New Roman"/>
          <w:sz w:val="24"/>
          <w:szCs w:val="24"/>
        </w:rPr>
        <w:t xml:space="preserve"> </w:t>
      </w:r>
      <w:r w:rsidRPr="005048CC">
        <w:rPr>
          <w:rFonts w:ascii="Times New Roman" w:hAnsi="Times New Roman"/>
          <w:sz w:val="24"/>
          <w:szCs w:val="24"/>
        </w:rPr>
        <w:t>garantia c</w:t>
      </w:r>
      <w:r>
        <w:rPr>
          <w:rFonts w:ascii="Times New Roman" w:hAnsi="Times New Roman"/>
          <w:sz w:val="24"/>
          <w:szCs w:val="24"/>
        </w:rPr>
        <w:t>onstitucional da fundamentação, prevista no art. 93, inciso IX</w:t>
      </w:r>
      <w:r w:rsidRPr="005048CC">
        <w:rPr>
          <w:rFonts w:ascii="Times New Roman" w:hAnsi="Times New Roman"/>
          <w:sz w:val="24"/>
          <w:szCs w:val="24"/>
        </w:rPr>
        <w:t>.</w:t>
      </w:r>
      <w:r>
        <w:rPr>
          <w:rFonts w:ascii="Times New Roman" w:hAnsi="Times New Roman"/>
          <w:sz w:val="24"/>
          <w:szCs w:val="24"/>
        </w:rPr>
        <w:t xml:space="preserve"> </w:t>
      </w:r>
      <w:r w:rsidRPr="00555444">
        <w:rPr>
          <w:rFonts w:ascii="Times New Roman" w:hAnsi="Times New Roman"/>
          <w:sz w:val="24"/>
          <w:szCs w:val="24"/>
        </w:rPr>
        <w:t xml:space="preserve">A despeito disso, </w:t>
      </w:r>
      <w:r>
        <w:rPr>
          <w:rFonts w:ascii="Times New Roman" w:hAnsi="Times New Roman"/>
          <w:sz w:val="24"/>
          <w:szCs w:val="24"/>
        </w:rPr>
        <w:t xml:space="preserve">entendemos que seria </w:t>
      </w:r>
      <w:r w:rsidRPr="00555444">
        <w:rPr>
          <w:rFonts w:ascii="Times New Roman" w:hAnsi="Times New Roman"/>
          <w:sz w:val="24"/>
          <w:szCs w:val="24"/>
        </w:rPr>
        <w:t xml:space="preserve">legítimo o sistema adotado pela Emenda Regimental </w:t>
      </w:r>
      <w:r>
        <w:rPr>
          <w:rFonts w:ascii="Times New Roman" w:hAnsi="Times New Roman"/>
          <w:sz w:val="24"/>
          <w:szCs w:val="24"/>
        </w:rPr>
        <w:t xml:space="preserve">nº </w:t>
      </w:r>
      <w:r w:rsidRPr="00555444">
        <w:rPr>
          <w:rFonts w:ascii="Times New Roman" w:hAnsi="Times New Roman"/>
          <w:sz w:val="24"/>
          <w:szCs w:val="24"/>
        </w:rPr>
        <w:t>21</w:t>
      </w:r>
      <w:r>
        <w:rPr>
          <w:rFonts w:ascii="Times New Roman" w:hAnsi="Times New Roman"/>
          <w:sz w:val="24"/>
          <w:szCs w:val="24"/>
        </w:rPr>
        <w:t>, de 30 de abril de 2007</w:t>
      </w:r>
      <w:r w:rsidRPr="00555444">
        <w:rPr>
          <w:rFonts w:ascii="Times New Roman" w:hAnsi="Times New Roman"/>
          <w:sz w:val="24"/>
          <w:szCs w:val="24"/>
        </w:rPr>
        <w:t xml:space="preserve">. </w:t>
      </w:r>
    </w:p>
    <w:p w:rsidR="00D549BC" w:rsidRDefault="00D549BC" w:rsidP="009A484D">
      <w:pPr>
        <w:spacing w:after="240"/>
        <w:contextualSpacing/>
        <w:rPr>
          <w:rFonts w:ascii="Times New Roman" w:hAnsi="Times New Roman"/>
          <w:sz w:val="24"/>
          <w:szCs w:val="24"/>
        </w:rPr>
      </w:pPr>
      <w:r w:rsidRPr="00555444">
        <w:rPr>
          <w:rFonts w:ascii="Times New Roman" w:hAnsi="Times New Roman"/>
          <w:sz w:val="24"/>
          <w:szCs w:val="24"/>
        </w:rPr>
        <w:t xml:space="preserve">A premissa é de que a </w:t>
      </w:r>
      <w:r>
        <w:rPr>
          <w:rFonts w:ascii="Times New Roman" w:hAnsi="Times New Roman"/>
          <w:sz w:val="24"/>
          <w:szCs w:val="24"/>
        </w:rPr>
        <w:t xml:space="preserve">própria </w:t>
      </w:r>
      <w:r w:rsidRPr="00555444">
        <w:rPr>
          <w:rFonts w:ascii="Times New Roman" w:hAnsi="Times New Roman"/>
          <w:sz w:val="24"/>
          <w:szCs w:val="24"/>
        </w:rPr>
        <w:t>Constituição</w:t>
      </w:r>
      <w:r>
        <w:rPr>
          <w:rFonts w:ascii="Times New Roman" w:hAnsi="Times New Roman"/>
          <w:sz w:val="24"/>
          <w:szCs w:val="24"/>
        </w:rPr>
        <w:t xml:space="preserve"> da República de 1988 </w:t>
      </w:r>
      <w:r w:rsidRPr="00555444">
        <w:rPr>
          <w:rFonts w:ascii="Times New Roman" w:hAnsi="Times New Roman"/>
          <w:sz w:val="24"/>
          <w:szCs w:val="24"/>
        </w:rPr>
        <w:t>estabelece um princípio geral d</w:t>
      </w:r>
      <w:r>
        <w:rPr>
          <w:rFonts w:ascii="Times New Roman" w:hAnsi="Times New Roman"/>
          <w:sz w:val="24"/>
          <w:szCs w:val="24"/>
        </w:rPr>
        <w:t>a presunção da R</w:t>
      </w:r>
      <w:r w:rsidRPr="00555444">
        <w:rPr>
          <w:rFonts w:ascii="Times New Roman" w:hAnsi="Times New Roman"/>
          <w:sz w:val="24"/>
          <w:szCs w:val="24"/>
        </w:rPr>
        <w:t xml:space="preserve">epercussão </w:t>
      </w:r>
      <w:r>
        <w:rPr>
          <w:rFonts w:ascii="Times New Roman" w:hAnsi="Times New Roman"/>
          <w:sz w:val="24"/>
          <w:szCs w:val="24"/>
        </w:rPr>
        <w:t>G</w:t>
      </w:r>
      <w:r w:rsidRPr="00555444">
        <w:rPr>
          <w:rFonts w:ascii="Times New Roman" w:hAnsi="Times New Roman"/>
          <w:sz w:val="24"/>
          <w:szCs w:val="24"/>
        </w:rPr>
        <w:t xml:space="preserve">eral no </w:t>
      </w:r>
      <w:r>
        <w:rPr>
          <w:rFonts w:ascii="Times New Roman" w:hAnsi="Times New Roman"/>
          <w:sz w:val="24"/>
          <w:szCs w:val="24"/>
        </w:rPr>
        <w:t>R</w:t>
      </w:r>
      <w:r w:rsidRPr="00555444">
        <w:rPr>
          <w:rFonts w:ascii="Times New Roman" w:hAnsi="Times New Roman"/>
          <w:sz w:val="24"/>
          <w:szCs w:val="24"/>
        </w:rPr>
        <w:t xml:space="preserve">ecurso </w:t>
      </w:r>
      <w:r>
        <w:rPr>
          <w:rFonts w:ascii="Times New Roman" w:hAnsi="Times New Roman"/>
          <w:sz w:val="24"/>
          <w:szCs w:val="24"/>
        </w:rPr>
        <w:t>E</w:t>
      </w:r>
      <w:r w:rsidRPr="00555444">
        <w:rPr>
          <w:rFonts w:ascii="Times New Roman" w:hAnsi="Times New Roman"/>
          <w:sz w:val="24"/>
          <w:szCs w:val="24"/>
        </w:rPr>
        <w:t>xtraordinário</w:t>
      </w:r>
      <w:r>
        <w:rPr>
          <w:rFonts w:ascii="Times New Roman" w:hAnsi="Times New Roman"/>
          <w:sz w:val="24"/>
          <w:szCs w:val="24"/>
        </w:rPr>
        <w:t xml:space="preserve"> ao exigir </w:t>
      </w:r>
      <w:r w:rsidRPr="00FC6B92">
        <w:rPr>
          <w:rFonts w:ascii="Times New Roman" w:hAnsi="Times New Roman"/>
          <w:i/>
          <w:sz w:val="24"/>
          <w:szCs w:val="24"/>
        </w:rPr>
        <w:t>quorum</w:t>
      </w:r>
      <w:r>
        <w:rPr>
          <w:rFonts w:ascii="Times New Roman" w:hAnsi="Times New Roman"/>
          <w:sz w:val="24"/>
          <w:szCs w:val="24"/>
        </w:rPr>
        <w:t xml:space="preserve"> qualificado para sua recusa (art. 102, § 3º: “</w:t>
      </w:r>
      <w:r w:rsidRPr="00555444">
        <w:rPr>
          <w:rFonts w:ascii="Times New Roman" w:hAnsi="Times New Roman"/>
          <w:i/>
          <w:sz w:val="24"/>
          <w:szCs w:val="24"/>
        </w:rPr>
        <w:t>somente podendo recusá-lo pela manifestação de dois terços de seus membros</w:t>
      </w:r>
      <w:r>
        <w:rPr>
          <w:rFonts w:ascii="Times New Roman" w:hAnsi="Times New Roman"/>
          <w:sz w:val="24"/>
          <w:szCs w:val="24"/>
        </w:rPr>
        <w:t>”</w:t>
      </w:r>
      <w:r w:rsidRPr="00555444">
        <w:rPr>
          <w:rFonts w:ascii="Times New Roman" w:hAnsi="Times New Roman"/>
          <w:sz w:val="24"/>
          <w:szCs w:val="24"/>
        </w:rPr>
        <w:t xml:space="preserve">). </w:t>
      </w:r>
    </w:p>
    <w:p w:rsidR="00D549BC" w:rsidRDefault="00D549BC" w:rsidP="009A484D">
      <w:pPr>
        <w:spacing w:after="240"/>
        <w:contextualSpacing/>
        <w:rPr>
          <w:rFonts w:ascii="Times New Roman" w:hAnsi="Times New Roman"/>
          <w:sz w:val="24"/>
          <w:szCs w:val="24"/>
        </w:rPr>
      </w:pPr>
      <w:r w:rsidRPr="00555444">
        <w:rPr>
          <w:rFonts w:ascii="Times New Roman" w:hAnsi="Times New Roman"/>
          <w:sz w:val="24"/>
          <w:szCs w:val="24"/>
        </w:rPr>
        <w:t xml:space="preserve">A matéria constitucional sobre a qual versa esse tipo de recurso é </w:t>
      </w:r>
      <w:r>
        <w:rPr>
          <w:rFonts w:ascii="Times New Roman" w:hAnsi="Times New Roman"/>
          <w:sz w:val="24"/>
          <w:szCs w:val="24"/>
        </w:rPr>
        <w:t xml:space="preserve">constitucionalmente </w:t>
      </w:r>
      <w:r w:rsidRPr="00555444">
        <w:rPr>
          <w:rFonts w:ascii="Times New Roman" w:hAnsi="Times New Roman"/>
          <w:sz w:val="24"/>
          <w:szCs w:val="24"/>
        </w:rPr>
        <w:t>presumida</w:t>
      </w:r>
      <w:r>
        <w:rPr>
          <w:rFonts w:ascii="Times New Roman" w:hAnsi="Times New Roman"/>
          <w:sz w:val="24"/>
          <w:szCs w:val="24"/>
        </w:rPr>
        <w:t xml:space="preserve"> </w:t>
      </w:r>
      <w:r w:rsidRPr="00555444">
        <w:rPr>
          <w:rFonts w:ascii="Times New Roman" w:hAnsi="Times New Roman"/>
          <w:sz w:val="24"/>
          <w:szCs w:val="24"/>
        </w:rPr>
        <w:t>como relevante e</w:t>
      </w:r>
      <w:r>
        <w:rPr>
          <w:rFonts w:ascii="Times New Roman" w:hAnsi="Times New Roman"/>
          <w:sz w:val="24"/>
          <w:szCs w:val="24"/>
        </w:rPr>
        <w:t xml:space="preserve"> </w:t>
      </w:r>
      <w:r w:rsidRPr="00555444">
        <w:rPr>
          <w:rFonts w:ascii="Times New Roman" w:hAnsi="Times New Roman"/>
          <w:sz w:val="24"/>
          <w:szCs w:val="24"/>
        </w:rPr>
        <w:t>cumpre ao Plenário do S</w:t>
      </w:r>
      <w:r>
        <w:rPr>
          <w:rFonts w:ascii="Times New Roman" w:hAnsi="Times New Roman"/>
          <w:sz w:val="24"/>
          <w:szCs w:val="24"/>
        </w:rPr>
        <w:t>TF</w:t>
      </w:r>
      <w:r w:rsidRPr="00555444">
        <w:rPr>
          <w:rFonts w:ascii="Times New Roman" w:hAnsi="Times New Roman"/>
          <w:sz w:val="24"/>
          <w:szCs w:val="24"/>
        </w:rPr>
        <w:t xml:space="preserve">, mediante o </w:t>
      </w:r>
      <w:r w:rsidRPr="00555444">
        <w:rPr>
          <w:rFonts w:ascii="Times New Roman" w:hAnsi="Times New Roman"/>
          <w:i/>
          <w:sz w:val="24"/>
          <w:szCs w:val="24"/>
        </w:rPr>
        <w:t>quorum</w:t>
      </w:r>
      <w:r w:rsidRPr="00555444">
        <w:rPr>
          <w:rFonts w:ascii="Times New Roman" w:hAnsi="Times New Roman"/>
          <w:sz w:val="24"/>
          <w:szCs w:val="24"/>
        </w:rPr>
        <w:t xml:space="preserve"> qualificado de </w:t>
      </w:r>
      <w:r>
        <w:rPr>
          <w:rFonts w:ascii="Times New Roman" w:hAnsi="Times New Roman"/>
          <w:sz w:val="24"/>
          <w:szCs w:val="24"/>
        </w:rPr>
        <w:t xml:space="preserve">dois terços </w:t>
      </w:r>
      <w:r w:rsidRPr="00555444">
        <w:rPr>
          <w:rFonts w:ascii="Times New Roman" w:hAnsi="Times New Roman"/>
          <w:sz w:val="24"/>
          <w:szCs w:val="24"/>
        </w:rPr>
        <w:t>de</w:t>
      </w:r>
      <w:r>
        <w:rPr>
          <w:rFonts w:ascii="Times New Roman" w:hAnsi="Times New Roman"/>
          <w:sz w:val="24"/>
          <w:szCs w:val="24"/>
        </w:rPr>
        <w:t xml:space="preserve"> </w:t>
      </w:r>
      <w:r w:rsidRPr="00555444">
        <w:rPr>
          <w:rFonts w:ascii="Times New Roman" w:hAnsi="Times New Roman"/>
          <w:sz w:val="24"/>
          <w:szCs w:val="24"/>
        </w:rPr>
        <w:t>seus membros derrubar essa presunção.</w:t>
      </w:r>
      <w:r>
        <w:rPr>
          <w:rFonts w:ascii="Times New Roman" w:hAnsi="Times New Roman"/>
          <w:sz w:val="24"/>
          <w:szCs w:val="24"/>
        </w:rPr>
        <w:t xml:space="preserve"> Portanto, c</w:t>
      </w:r>
      <w:r w:rsidRPr="00FC6B92">
        <w:rPr>
          <w:rFonts w:ascii="Times New Roman" w:hAnsi="Times New Roman"/>
          <w:sz w:val="24"/>
          <w:szCs w:val="24"/>
        </w:rPr>
        <w:t>omo a deliberação tácita não violaria tal presunção, não haveria que se falar em</w:t>
      </w:r>
      <w:r>
        <w:rPr>
          <w:rFonts w:ascii="Times New Roman" w:hAnsi="Times New Roman"/>
          <w:sz w:val="24"/>
          <w:szCs w:val="24"/>
        </w:rPr>
        <w:t xml:space="preserve"> </w:t>
      </w:r>
      <w:r w:rsidRPr="00FC6B92">
        <w:rPr>
          <w:rFonts w:ascii="Times New Roman" w:hAnsi="Times New Roman"/>
          <w:sz w:val="24"/>
          <w:szCs w:val="24"/>
        </w:rPr>
        <w:t>inconstitucionalidade</w:t>
      </w:r>
      <w:r>
        <w:rPr>
          <w:rFonts w:ascii="Times New Roman" w:hAnsi="Times New Roman"/>
          <w:sz w:val="24"/>
          <w:szCs w:val="24"/>
        </w:rPr>
        <w:t xml:space="preserve"> do art. 324, § 1º do RISTF. </w:t>
      </w:r>
    </w:p>
    <w:p w:rsidR="00D549BC" w:rsidRDefault="00D549BC" w:rsidP="009A484D">
      <w:pPr>
        <w:spacing w:after="240"/>
        <w:contextualSpacing/>
        <w:rPr>
          <w:rFonts w:ascii="Times New Roman" w:hAnsi="Times New Roman"/>
          <w:sz w:val="24"/>
          <w:szCs w:val="24"/>
        </w:rPr>
      </w:pPr>
      <w:r>
        <w:rPr>
          <w:rFonts w:ascii="Times New Roman" w:hAnsi="Times New Roman"/>
          <w:sz w:val="24"/>
          <w:szCs w:val="24"/>
        </w:rPr>
        <w:t>Em suma, n</w:t>
      </w:r>
      <w:r w:rsidRPr="00F6598D">
        <w:rPr>
          <w:rFonts w:ascii="Times New Roman" w:hAnsi="Times New Roman"/>
          <w:sz w:val="24"/>
          <w:szCs w:val="24"/>
        </w:rPr>
        <w:t xml:space="preserve">o </w:t>
      </w:r>
      <w:r w:rsidRPr="00F6598D">
        <w:rPr>
          <w:rFonts w:ascii="Times New Roman" w:hAnsi="Times New Roman"/>
          <w:i/>
          <w:sz w:val="24"/>
          <w:szCs w:val="24"/>
        </w:rPr>
        <w:t>Plenário Virtual</w:t>
      </w:r>
      <w:r w:rsidRPr="00F6598D">
        <w:rPr>
          <w:rFonts w:ascii="Times New Roman" w:hAnsi="Times New Roman"/>
          <w:sz w:val="24"/>
          <w:szCs w:val="24"/>
        </w:rPr>
        <w:t>, a abstenção é computada como voto a favor do</w:t>
      </w:r>
      <w:r>
        <w:rPr>
          <w:rFonts w:ascii="Times New Roman" w:hAnsi="Times New Roman"/>
          <w:sz w:val="24"/>
          <w:szCs w:val="24"/>
        </w:rPr>
        <w:t xml:space="preserve"> reconhecimento da R</w:t>
      </w:r>
      <w:r w:rsidRPr="00F6598D">
        <w:rPr>
          <w:rFonts w:ascii="Times New Roman" w:hAnsi="Times New Roman"/>
          <w:sz w:val="24"/>
          <w:szCs w:val="24"/>
        </w:rPr>
        <w:t xml:space="preserve">epercussão </w:t>
      </w:r>
      <w:r>
        <w:rPr>
          <w:rFonts w:ascii="Times New Roman" w:hAnsi="Times New Roman"/>
          <w:sz w:val="24"/>
          <w:szCs w:val="24"/>
        </w:rPr>
        <w:t>G</w:t>
      </w:r>
      <w:r w:rsidRPr="00F6598D">
        <w:rPr>
          <w:rFonts w:ascii="Times New Roman" w:hAnsi="Times New Roman"/>
          <w:sz w:val="24"/>
          <w:szCs w:val="24"/>
        </w:rPr>
        <w:t xml:space="preserve">eral. </w:t>
      </w:r>
      <w:r>
        <w:rPr>
          <w:rFonts w:ascii="Times New Roman" w:hAnsi="Times New Roman"/>
          <w:sz w:val="24"/>
          <w:szCs w:val="24"/>
        </w:rPr>
        <w:t>Assim, quando o M</w:t>
      </w:r>
      <w:r w:rsidRPr="00F6598D">
        <w:rPr>
          <w:rFonts w:ascii="Times New Roman" w:hAnsi="Times New Roman"/>
          <w:sz w:val="24"/>
          <w:szCs w:val="24"/>
        </w:rPr>
        <w:t>inistro não aparece</w:t>
      </w:r>
      <w:r>
        <w:rPr>
          <w:rFonts w:ascii="Times New Roman" w:hAnsi="Times New Roman"/>
          <w:sz w:val="24"/>
          <w:szCs w:val="24"/>
        </w:rPr>
        <w:t xml:space="preserve"> </w:t>
      </w:r>
      <w:r w:rsidRPr="00F6598D">
        <w:rPr>
          <w:rFonts w:ascii="Times New Roman" w:hAnsi="Times New Roman"/>
          <w:sz w:val="24"/>
          <w:szCs w:val="24"/>
        </w:rPr>
        <w:t>para votar, é como se ele fosse a favor da admissão de determinado caso</w:t>
      </w:r>
      <w:r>
        <w:rPr>
          <w:rFonts w:ascii="Times New Roman" w:hAnsi="Times New Roman"/>
          <w:sz w:val="24"/>
          <w:szCs w:val="24"/>
        </w:rPr>
        <w:t>. Todavia, essa possibilidade de abstenção, aliada ao fato de serem necessários oito votos expressos para rejeição da RG, levou a um quadro inesperado: foram submetidos ao Plenário Virtual da Corte, entre 2007 e 2014, um total de 787 processos, reconheceu-se a Repercussão Geral em 70% desses casos (aproximadamente 546 processos) e, nesse universo, julgou-se o mérito de apenas 42%, ou seja, 233 casos em sete anos.</w:t>
      </w:r>
      <w:r>
        <w:rPr>
          <w:rStyle w:val="FootnoteReference"/>
          <w:rFonts w:ascii="Times New Roman" w:hAnsi="Times New Roman"/>
          <w:sz w:val="24"/>
          <w:szCs w:val="24"/>
        </w:rPr>
        <w:footnoteReference w:id="220"/>
      </w:r>
      <w:r>
        <w:rPr>
          <w:rFonts w:ascii="Times New Roman" w:hAnsi="Times New Roman"/>
          <w:sz w:val="24"/>
          <w:szCs w:val="24"/>
          <w:vertAlign w:val="superscript"/>
        </w:rPr>
        <w:t>-</w:t>
      </w:r>
      <w:r>
        <w:rPr>
          <w:rStyle w:val="FootnoteReference"/>
          <w:rFonts w:ascii="Times New Roman" w:hAnsi="Times New Roman"/>
          <w:sz w:val="24"/>
          <w:szCs w:val="24"/>
        </w:rPr>
        <w:footnoteReference w:id="221"/>
      </w:r>
    </w:p>
    <w:p w:rsidR="00D549BC" w:rsidRDefault="00D549BC" w:rsidP="004F45AD">
      <w:pPr>
        <w:spacing w:after="240"/>
        <w:contextualSpacing/>
        <w:rPr>
          <w:rFonts w:ascii="Times New Roman" w:hAnsi="Times New Roman"/>
          <w:sz w:val="24"/>
          <w:szCs w:val="24"/>
        </w:rPr>
      </w:pPr>
      <w:r>
        <w:rPr>
          <w:rFonts w:ascii="Times New Roman" w:hAnsi="Times New Roman"/>
          <w:sz w:val="24"/>
          <w:szCs w:val="24"/>
        </w:rPr>
        <w:t xml:space="preserve">Veremos, a seguir, e mais detalhadamente, quais fatores desencadearam esse suposto desvirtuamento da Repercussão Geral. </w:t>
      </w:r>
    </w:p>
    <w:p w:rsidR="00D549BC" w:rsidRDefault="00D549BC" w:rsidP="00F6598D">
      <w:pPr>
        <w:spacing w:after="240"/>
        <w:ind w:firstLine="851"/>
        <w:contextualSpacing/>
        <w:rPr>
          <w:rFonts w:ascii="Times New Roman" w:hAnsi="Times New Roman"/>
          <w:sz w:val="24"/>
          <w:szCs w:val="24"/>
        </w:rPr>
      </w:pPr>
    </w:p>
    <w:p w:rsidR="00D549BC" w:rsidRPr="00C56F1C" w:rsidRDefault="00D549BC" w:rsidP="0013493A">
      <w:pPr>
        <w:spacing w:after="240"/>
        <w:ind w:firstLine="0"/>
        <w:contextualSpacing/>
        <w:rPr>
          <w:rFonts w:ascii="Times New Roman" w:hAnsi="Times New Roman"/>
          <w:b/>
          <w:sz w:val="24"/>
          <w:szCs w:val="24"/>
        </w:rPr>
      </w:pPr>
      <w:r w:rsidRPr="00C56F1C">
        <w:rPr>
          <w:rFonts w:ascii="Times New Roman" w:hAnsi="Times New Roman"/>
          <w:b/>
          <w:sz w:val="24"/>
          <w:szCs w:val="24"/>
        </w:rPr>
        <w:t xml:space="preserve">4.2.3 O desvirtuamento da Repercussão Geral </w:t>
      </w:r>
    </w:p>
    <w:p w:rsidR="00D549BC" w:rsidRDefault="00D549BC" w:rsidP="00F6598D">
      <w:pPr>
        <w:spacing w:after="240"/>
        <w:ind w:firstLine="851"/>
        <w:contextualSpacing/>
        <w:rPr>
          <w:rFonts w:ascii="Times New Roman" w:hAnsi="Times New Roman"/>
          <w:sz w:val="24"/>
          <w:szCs w:val="24"/>
        </w:rPr>
      </w:pPr>
      <w:r>
        <w:rPr>
          <w:rFonts w:ascii="Times New Roman" w:hAnsi="Times New Roman"/>
          <w:sz w:val="24"/>
          <w:szCs w:val="24"/>
        </w:rPr>
        <w:t xml:space="preserve">  </w:t>
      </w:r>
    </w:p>
    <w:p w:rsidR="00D549BC" w:rsidRDefault="00D549BC" w:rsidP="00C56F1C">
      <w:pPr>
        <w:ind w:firstLine="851"/>
        <w:contextualSpacing/>
        <w:rPr>
          <w:rFonts w:ascii="Times New Roman" w:hAnsi="Times New Roman"/>
          <w:sz w:val="24"/>
          <w:szCs w:val="24"/>
        </w:rPr>
      </w:pPr>
      <w:r>
        <w:rPr>
          <w:rFonts w:ascii="Times New Roman" w:hAnsi="Times New Roman"/>
          <w:sz w:val="24"/>
          <w:szCs w:val="24"/>
        </w:rPr>
        <w:t>Cabe analisarmos as estatísticas do sistema de Repercussão Geral, desde sua implantação, em 2007, até dezembro de 2014. Os dados são do Núcleo de Estatística – Assessoria de Gestão Estratégica do STF:</w:t>
      </w:r>
      <w:r>
        <w:rPr>
          <w:rStyle w:val="FootnoteReference"/>
          <w:rFonts w:ascii="Times New Roman" w:hAnsi="Times New Roman"/>
          <w:sz w:val="24"/>
          <w:szCs w:val="24"/>
        </w:rPr>
        <w:footnoteReference w:id="222"/>
      </w:r>
      <w:r>
        <w:rPr>
          <w:rFonts w:ascii="Times New Roman" w:hAnsi="Times New Roman"/>
          <w:sz w:val="24"/>
          <w:szCs w:val="24"/>
        </w:rPr>
        <w:t xml:space="preserve"> </w:t>
      </w:r>
    </w:p>
    <w:p w:rsidR="00D549BC" w:rsidRPr="00C56F1C" w:rsidRDefault="00D549BC" w:rsidP="00C56F1C">
      <w:pPr>
        <w:pStyle w:val="ListParagraph"/>
        <w:numPr>
          <w:ilvl w:val="0"/>
          <w:numId w:val="12"/>
        </w:numPr>
        <w:spacing w:after="240" w:line="240" w:lineRule="auto"/>
        <w:ind w:left="2268" w:firstLine="0"/>
        <w:rPr>
          <w:rFonts w:ascii="Times New Roman" w:hAnsi="Times New Roman"/>
        </w:rPr>
      </w:pPr>
      <w:r w:rsidRPr="00C56F1C">
        <w:rPr>
          <w:rFonts w:ascii="Times New Roman" w:hAnsi="Times New Roman"/>
        </w:rPr>
        <w:t>Número de Processos submetidos ao exame de RG: 787;</w:t>
      </w:r>
    </w:p>
    <w:p w:rsidR="00D549BC" w:rsidRPr="00C56F1C" w:rsidRDefault="00D549BC" w:rsidP="00C56F1C">
      <w:pPr>
        <w:pStyle w:val="ListParagraph"/>
        <w:numPr>
          <w:ilvl w:val="0"/>
          <w:numId w:val="12"/>
        </w:numPr>
        <w:spacing w:after="240" w:line="240" w:lineRule="auto"/>
        <w:ind w:firstLine="697"/>
        <w:rPr>
          <w:rFonts w:ascii="Times New Roman" w:hAnsi="Times New Roman"/>
        </w:rPr>
      </w:pPr>
      <w:r w:rsidRPr="00C56F1C">
        <w:rPr>
          <w:rFonts w:ascii="Times New Roman" w:hAnsi="Times New Roman"/>
        </w:rPr>
        <w:t xml:space="preserve">Número de Processos com RG reconhecida: 546; </w:t>
      </w:r>
    </w:p>
    <w:p w:rsidR="00D549BC" w:rsidRPr="00C56F1C" w:rsidRDefault="00D549BC" w:rsidP="00C56F1C">
      <w:pPr>
        <w:pStyle w:val="ListParagraph"/>
        <w:numPr>
          <w:ilvl w:val="0"/>
          <w:numId w:val="12"/>
        </w:numPr>
        <w:spacing w:after="240" w:line="240" w:lineRule="auto"/>
        <w:ind w:firstLine="697"/>
        <w:rPr>
          <w:rFonts w:ascii="Times New Roman" w:hAnsi="Times New Roman"/>
        </w:rPr>
      </w:pPr>
      <w:r w:rsidRPr="00C56F1C">
        <w:rPr>
          <w:rFonts w:ascii="Times New Roman" w:hAnsi="Times New Roman"/>
        </w:rPr>
        <w:t xml:space="preserve">Número de Processos com RG negada: 245; </w:t>
      </w:r>
    </w:p>
    <w:p w:rsidR="00D549BC" w:rsidRPr="00C56F1C" w:rsidRDefault="00D549BC" w:rsidP="00C56F1C">
      <w:pPr>
        <w:pStyle w:val="ListParagraph"/>
        <w:numPr>
          <w:ilvl w:val="0"/>
          <w:numId w:val="12"/>
        </w:numPr>
        <w:spacing w:after="240" w:line="240" w:lineRule="auto"/>
        <w:ind w:firstLine="697"/>
        <w:rPr>
          <w:rFonts w:ascii="Times New Roman" w:hAnsi="Times New Roman"/>
        </w:rPr>
      </w:pPr>
      <w:r w:rsidRPr="00C56F1C">
        <w:rPr>
          <w:rFonts w:ascii="Times New Roman" w:hAnsi="Times New Roman"/>
        </w:rPr>
        <w:t xml:space="preserve">Número de Processos com Mérito Julgado: 233; </w:t>
      </w:r>
    </w:p>
    <w:p w:rsidR="00D549BC" w:rsidRPr="00C56F1C" w:rsidRDefault="00D549BC" w:rsidP="008D1E9B">
      <w:pPr>
        <w:pStyle w:val="ListParagraph"/>
        <w:numPr>
          <w:ilvl w:val="0"/>
          <w:numId w:val="12"/>
        </w:numPr>
        <w:spacing w:line="240" w:lineRule="auto"/>
        <w:ind w:firstLine="697"/>
        <w:rPr>
          <w:rFonts w:ascii="Times New Roman" w:hAnsi="Times New Roman"/>
        </w:rPr>
      </w:pPr>
      <w:r w:rsidRPr="00C56F1C">
        <w:rPr>
          <w:rFonts w:ascii="Times New Roman" w:hAnsi="Times New Roman"/>
        </w:rPr>
        <w:t xml:space="preserve">Número de Processos com Mérito Pendente: 315. </w:t>
      </w:r>
    </w:p>
    <w:p w:rsidR="00D549BC" w:rsidRDefault="00D549BC" w:rsidP="00183CE2">
      <w:pPr>
        <w:spacing w:after="240"/>
        <w:contextualSpacing/>
      </w:pPr>
    </w:p>
    <w:p w:rsidR="00D549BC" w:rsidRDefault="00D549BC" w:rsidP="008D1E9B">
      <w:pPr>
        <w:spacing w:after="240"/>
        <w:contextualSpacing/>
        <w:rPr>
          <w:rFonts w:ascii="Times New Roman" w:hAnsi="Times New Roman"/>
          <w:sz w:val="24"/>
          <w:szCs w:val="24"/>
        </w:rPr>
      </w:pPr>
      <w:r>
        <w:rPr>
          <w:rFonts w:ascii="Times New Roman" w:hAnsi="Times New Roman"/>
          <w:sz w:val="24"/>
          <w:szCs w:val="24"/>
        </w:rPr>
        <w:t xml:space="preserve">Assim, computando-se os dados desde 2008, o Plenário do STF julgou uma média de 33 processos com Repercussão Geral reconhecida a cada ano (233 ÷ 7), conforme a tabela abaixo: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3"/>
        <w:gridCol w:w="4254"/>
      </w:tblGrid>
      <w:tr w:rsidR="00D549BC" w:rsidRPr="002739CC" w:rsidTr="002739CC">
        <w:trPr>
          <w:jc w:val="center"/>
        </w:trPr>
        <w:tc>
          <w:tcPr>
            <w:tcW w:w="1983" w:type="dxa"/>
          </w:tcPr>
          <w:p w:rsidR="00D549BC" w:rsidRPr="002739CC" w:rsidRDefault="00D549BC" w:rsidP="002739CC">
            <w:pPr>
              <w:spacing w:after="240" w:line="240" w:lineRule="auto"/>
              <w:ind w:firstLine="0"/>
              <w:contextualSpacing/>
              <w:rPr>
                <w:rFonts w:ascii="Times New Roman" w:hAnsi="Times New Roman"/>
                <w:b/>
                <w:sz w:val="28"/>
                <w:szCs w:val="24"/>
              </w:rPr>
            </w:pPr>
            <w:r w:rsidRPr="002739CC">
              <w:rPr>
                <w:rFonts w:ascii="Times New Roman" w:hAnsi="Times New Roman"/>
                <w:sz w:val="28"/>
                <w:szCs w:val="24"/>
              </w:rPr>
              <w:t xml:space="preserve">       </w:t>
            </w:r>
            <w:r w:rsidRPr="002739CC">
              <w:rPr>
                <w:rFonts w:ascii="Times New Roman" w:hAnsi="Times New Roman"/>
                <w:b/>
                <w:szCs w:val="24"/>
              </w:rPr>
              <w:t>Período/Ano</w:t>
            </w:r>
          </w:p>
        </w:tc>
        <w:tc>
          <w:tcPr>
            <w:tcW w:w="4254" w:type="dxa"/>
          </w:tcPr>
          <w:p w:rsidR="00D549BC" w:rsidRPr="002739CC" w:rsidRDefault="00D549BC" w:rsidP="002739CC">
            <w:pPr>
              <w:spacing w:after="240" w:line="240" w:lineRule="auto"/>
              <w:ind w:firstLine="0"/>
              <w:contextualSpacing/>
              <w:rPr>
                <w:rFonts w:ascii="Times New Roman" w:hAnsi="Times New Roman"/>
                <w:b/>
                <w:sz w:val="28"/>
                <w:szCs w:val="24"/>
              </w:rPr>
            </w:pPr>
            <w:r w:rsidRPr="002739CC">
              <w:rPr>
                <w:rFonts w:ascii="Times New Roman" w:hAnsi="Times New Roman"/>
                <w:b/>
                <w:szCs w:val="24"/>
              </w:rPr>
              <w:t>Quantidade de Processos com RG julgados</w:t>
            </w:r>
          </w:p>
        </w:tc>
      </w:tr>
      <w:tr w:rsidR="00D549BC" w:rsidRPr="002739CC" w:rsidTr="002739CC">
        <w:trPr>
          <w:jc w:val="center"/>
        </w:trPr>
        <w:tc>
          <w:tcPr>
            <w:tcW w:w="1983" w:type="dxa"/>
          </w:tcPr>
          <w:p w:rsidR="00D549BC" w:rsidRPr="002739CC" w:rsidRDefault="00D549BC" w:rsidP="002739CC">
            <w:pPr>
              <w:spacing w:after="240" w:line="240" w:lineRule="auto"/>
              <w:ind w:firstLine="34"/>
              <w:contextualSpacing/>
              <w:rPr>
                <w:rFonts w:ascii="Times New Roman" w:hAnsi="Times New Roman"/>
                <w:szCs w:val="20"/>
              </w:rPr>
            </w:pPr>
            <w:r w:rsidRPr="002739CC">
              <w:rPr>
                <w:rFonts w:ascii="Times New Roman" w:hAnsi="Times New Roman"/>
                <w:szCs w:val="20"/>
              </w:rPr>
              <w:t xml:space="preserve">        2007</w:t>
            </w:r>
          </w:p>
        </w:tc>
        <w:tc>
          <w:tcPr>
            <w:tcW w:w="4254" w:type="dxa"/>
          </w:tcPr>
          <w:p w:rsidR="00D549BC" w:rsidRPr="002739CC" w:rsidRDefault="00D549BC" w:rsidP="002739CC">
            <w:pPr>
              <w:spacing w:after="240" w:line="240" w:lineRule="auto"/>
              <w:ind w:firstLine="1169"/>
              <w:contextualSpacing/>
              <w:rPr>
                <w:rFonts w:ascii="Times New Roman" w:hAnsi="Times New Roman"/>
                <w:sz w:val="28"/>
                <w:szCs w:val="24"/>
              </w:rPr>
            </w:pPr>
            <w:r w:rsidRPr="002739CC">
              <w:rPr>
                <w:rFonts w:ascii="Times New Roman" w:hAnsi="Times New Roman"/>
                <w:szCs w:val="24"/>
              </w:rPr>
              <w:t>0</w:t>
            </w:r>
          </w:p>
        </w:tc>
      </w:tr>
      <w:tr w:rsidR="00D549BC" w:rsidRPr="002739CC" w:rsidTr="002739CC">
        <w:trPr>
          <w:jc w:val="center"/>
        </w:trPr>
        <w:tc>
          <w:tcPr>
            <w:tcW w:w="1983" w:type="dxa"/>
          </w:tcPr>
          <w:p w:rsidR="00D549BC" w:rsidRPr="002739CC" w:rsidRDefault="00D549BC" w:rsidP="002739CC">
            <w:pPr>
              <w:spacing w:after="240" w:line="240" w:lineRule="auto"/>
              <w:ind w:firstLine="459"/>
              <w:contextualSpacing/>
              <w:rPr>
                <w:rFonts w:ascii="Times New Roman" w:hAnsi="Times New Roman"/>
                <w:szCs w:val="24"/>
              </w:rPr>
            </w:pPr>
            <w:r w:rsidRPr="002739CC">
              <w:rPr>
                <w:rFonts w:ascii="Times New Roman" w:hAnsi="Times New Roman"/>
                <w:szCs w:val="24"/>
              </w:rPr>
              <w:t>2008</w:t>
            </w:r>
          </w:p>
        </w:tc>
        <w:tc>
          <w:tcPr>
            <w:tcW w:w="4254" w:type="dxa"/>
          </w:tcPr>
          <w:p w:rsidR="00D549BC" w:rsidRPr="002739CC" w:rsidRDefault="00D549BC" w:rsidP="002739CC">
            <w:pPr>
              <w:spacing w:after="240" w:line="240" w:lineRule="auto"/>
              <w:ind w:firstLine="1169"/>
              <w:contextualSpacing/>
              <w:rPr>
                <w:rFonts w:ascii="Times New Roman" w:hAnsi="Times New Roman"/>
                <w:sz w:val="28"/>
                <w:szCs w:val="24"/>
              </w:rPr>
            </w:pPr>
            <w:r w:rsidRPr="002739CC">
              <w:rPr>
                <w:rFonts w:ascii="Times New Roman" w:hAnsi="Times New Roman"/>
                <w:szCs w:val="24"/>
              </w:rPr>
              <w:t>27</w:t>
            </w:r>
          </w:p>
        </w:tc>
      </w:tr>
      <w:tr w:rsidR="00D549BC" w:rsidRPr="002739CC" w:rsidTr="002739CC">
        <w:trPr>
          <w:jc w:val="center"/>
        </w:trPr>
        <w:tc>
          <w:tcPr>
            <w:tcW w:w="1983" w:type="dxa"/>
          </w:tcPr>
          <w:p w:rsidR="00D549BC" w:rsidRPr="002739CC" w:rsidRDefault="00D549BC" w:rsidP="002739CC">
            <w:pPr>
              <w:spacing w:after="240" w:line="240" w:lineRule="auto"/>
              <w:ind w:firstLine="459"/>
              <w:contextualSpacing/>
              <w:rPr>
                <w:rFonts w:ascii="Times New Roman" w:hAnsi="Times New Roman"/>
                <w:szCs w:val="24"/>
              </w:rPr>
            </w:pPr>
            <w:r w:rsidRPr="002739CC">
              <w:rPr>
                <w:rFonts w:ascii="Times New Roman" w:hAnsi="Times New Roman"/>
                <w:szCs w:val="24"/>
              </w:rPr>
              <w:t>2009</w:t>
            </w:r>
          </w:p>
        </w:tc>
        <w:tc>
          <w:tcPr>
            <w:tcW w:w="4254" w:type="dxa"/>
          </w:tcPr>
          <w:p w:rsidR="00D549BC" w:rsidRPr="002739CC" w:rsidRDefault="00D549BC" w:rsidP="002739CC">
            <w:pPr>
              <w:spacing w:after="240" w:line="240" w:lineRule="auto"/>
              <w:ind w:firstLine="1169"/>
              <w:contextualSpacing/>
              <w:rPr>
                <w:rFonts w:ascii="Times New Roman" w:hAnsi="Times New Roman"/>
                <w:sz w:val="28"/>
                <w:szCs w:val="24"/>
              </w:rPr>
            </w:pPr>
            <w:r w:rsidRPr="002739CC">
              <w:rPr>
                <w:rFonts w:ascii="Times New Roman" w:hAnsi="Times New Roman"/>
                <w:szCs w:val="24"/>
              </w:rPr>
              <w:t>25</w:t>
            </w:r>
          </w:p>
        </w:tc>
      </w:tr>
      <w:tr w:rsidR="00D549BC" w:rsidRPr="002739CC" w:rsidTr="002739CC">
        <w:trPr>
          <w:jc w:val="center"/>
        </w:trPr>
        <w:tc>
          <w:tcPr>
            <w:tcW w:w="1983" w:type="dxa"/>
          </w:tcPr>
          <w:p w:rsidR="00D549BC" w:rsidRPr="002739CC" w:rsidRDefault="00D549BC" w:rsidP="002739CC">
            <w:pPr>
              <w:spacing w:after="240" w:line="240" w:lineRule="auto"/>
              <w:ind w:firstLine="459"/>
              <w:contextualSpacing/>
              <w:rPr>
                <w:rFonts w:ascii="Times New Roman" w:hAnsi="Times New Roman"/>
                <w:szCs w:val="24"/>
              </w:rPr>
            </w:pPr>
            <w:r w:rsidRPr="002739CC">
              <w:rPr>
                <w:rFonts w:ascii="Times New Roman" w:hAnsi="Times New Roman"/>
                <w:szCs w:val="24"/>
              </w:rPr>
              <w:t>2010</w:t>
            </w:r>
          </w:p>
        </w:tc>
        <w:tc>
          <w:tcPr>
            <w:tcW w:w="4254" w:type="dxa"/>
          </w:tcPr>
          <w:p w:rsidR="00D549BC" w:rsidRPr="002739CC" w:rsidRDefault="00D549BC" w:rsidP="002739CC">
            <w:pPr>
              <w:spacing w:after="240" w:line="240" w:lineRule="auto"/>
              <w:ind w:firstLine="1169"/>
              <w:contextualSpacing/>
              <w:rPr>
                <w:rFonts w:ascii="Times New Roman" w:hAnsi="Times New Roman"/>
                <w:szCs w:val="24"/>
              </w:rPr>
            </w:pPr>
            <w:r w:rsidRPr="002739CC">
              <w:rPr>
                <w:rFonts w:ascii="Times New Roman" w:hAnsi="Times New Roman"/>
                <w:szCs w:val="24"/>
              </w:rPr>
              <w:t>22</w:t>
            </w:r>
          </w:p>
        </w:tc>
      </w:tr>
      <w:tr w:rsidR="00D549BC" w:rsidRPr="002739CC" w:rsidTr="002739CC">
        <w:trPr>
          <w:jc w:val="center"/>
        </w:trPr>
        <w:tc>
          <w:tcPr>
            <w:tcW w:w="1983" w:type="dxa"/>
          </w:tcPr>
          <w:p w:rsidR="00D549BC" w:rsidRPr="002739CC" w:rsidRDefault="00D549BC" w:rsidP="002739CC">
            <w:pPr>
              <w:spacing w:after="240" w:line="240" w:lineRule="auto"/>
              <w:ind w:firstLine="459"/>
              <w:contextualSpacing/>
              <w:rPr>
                <w:rFonts w:ascii="Times New Roman" w:hAnsi="Times New Roman"/>
                <w:szCs w:val="24"/>
              </w:rPr>
            </w:pPr>
            <w:r w:rsidRPr="002739CC">
              <w:rPr>
                <w:rFonts w:ascii="Times New Roman" w:hAnsi="Times New Roman"/>
                <w:szCs w:val="24"/>
              </w:rPr>
              <w:t>2011</w:t>
            </w:r>
          </w:p>
        </w:tc>
        <w:tc>
          <w:tcPr>
            <w:tcW w:w="4254" w:type="dxa"/>
          </w:tcPr>
          <w:p w:rsidR="00D549BC" w:rsidRPr="002739CC" w:rsidRDefault="00D549BC" w:rsidP="002739CC">
            <w:pPr>
              <w:spacing w:after="240" w:line="240" w:lineRule="auto"/>
              <w:ind w:firstLine="1169"/>
              <w:contextualSpacing/>
              <w:rPr>
                <w:rFonts w:ascii="Times New Roman" w:hAnsi="Times New Roman"/>
                <w:szCs w:val="24"/>
              </w:rPr>
            </w:pPr>
            <w:r w:rsidRPr="002739CC">
              <w:rPr>
                <w:rFonts w:ascii="Times New Roman" w:hAnsi="Times New Roman"/>
                <w:szCs w:val="24"/>
              </w:rPr>
              <w:t>38</w:t>
            </w:r>
          </w:p>
        </w:tc>
      </w:tr>
      <w:tr w:rsidR="00D549BC" w:rsidRPr="002739CC" w:rsidTr="002739CC">
        <w:trPr>
          <w:jc w:val="center"/>
        </w:trPr>
        <w:tc>
          <w:tcPr>
            <w:tcW w:w="1983" w:type="dxa"/>
          </w:tcPr>
          <w:p w:rsidR="00D549BC" w:rsidRPr="002739CC" w:rsidRDefault="00D549BC" w:rsidP="002739CC">
            <w:pPr>
              <w:spacing w:after="240" w:line="240" w:lineRule="auto"/>
              <w:ind w:firstLine="459"/>
              <w:contextualSpacing/>
              <w:rPr>
                <w:rFonts w:ascii="Times New Roman" w:hAnsi="Times New Roman"/>
                <w:szCs w:val="24"/>
              </w:rPr>
            </w:pPr>
            <w:r w:rsidRPr="002739CC">
              <w:rPr>
                <w:rFonts w:ascii="Times New Roman" w:hAnsi="Times New Roman"/>
                <w:szCs w:val="24"/>
              </w:rPr>
              <w:t>2012</w:t>
            </w:r>
          </w:p>
        </w:tc>
        <w:tc>
          <w:tcPr>
            <w:tcW w:w="4254" w:type="dxa"/>
          </w:tcPr>
          <w:p w:rsidR="00D549BC" w:rsidRPr="002739CC" w:rsidRDefault="00D549BC" w:rsidP="002739CC">
            <w:pPr>
              <w:spacing w:after="240" w:line="240" w:lineRule="auto"/>
              <w:ind w:firstLine="1169"/>
              <w:contextualSpacing/>
              <w:rPr>
                <w:rFonts w:ascii="Times New Roman" w:hAnsi="Times New Roman"/>
                <w:sz w:val="28"/>
                <w:szCs w:val="24"/>
              </w:rPr>
            </w:pPr>
            <w:r w:rsidRPr="002739CC">
              <w:rPr>
                <w:rFonts w:ascii="Times New Roman" w:hAnsi="Times New Roman"/>
                <w:szCs w:val="24"/>
              </w:rPr>
              <w:t>12</w:t>
            </w:r>
          </w:p>
        </w:tc>
      </w:tr>
      <w:tr w:rsidR="00D549BC" w:rsidRPr="002739CC" w:rsidTr="002739CC">
        <w:trPr>
          <w:jc w:val="center"/>
        </w:trPr>
        <w:tc>
          <w:tcPr>
            <w:tcW w:w="1983" w:type="dxa"/>
          </w:tcPr>
          <w:p w:rsidR="00D549BC" w:rsidRPr="002739CC" w:rsidRDefault="00D549BC" w:rsidP="002739CC">
            <w:pPr>
              <w:spacing w:after="240" w:line="240" w:lineRule="auto"/>
              <w:ind w:firstLine="459"/>
              <w:contextualSpacing/>
              <w:rPr>
                <w:rFonts w:ascii="Times New Roman" w:hAnsi="Times New Roman"/>
                <w:szCs w:val="24"/>
              </w:rPr>
            </w:pPr>
            <w:r w:rsidRPr="002739CC">
              <w:rPr>
                <w:rFonts w:ascii="Times New Roman" w:hAnsi="Times New Roman"/>
                <w:szCs w:val="24"/>
              </w:rPr>
              <w:t>2013</w:t>
            </w:r>
          </w:p>
        </w:tc>
        <w:tc>
          <w:tcPr>
            <w:tcW w:w="4254" w:type="dxa"/>
          </w:tcPr>
          <w:p w:rsidR="00D549BC" w:rsidRPr="002739CC" w:rsidRDefault="00D549BC" w:rsidP="002739CC">
            <w:pPr>
              <w:spacing w:after="240" w:line="240" w:lineRule="auto"/>
              <w:ind w:firstLine="1169"/>
              <w:contextualSpacing/>
              <w:rPr>
                <w:rFonts w:ascii="Times New Roman" w:hAnsi="Times New Roman"/>
                <w:szCs w:val="24"/>
              </w:rPr>
            </w:pPr>
            <w:r w:rsidRPr="002739CC">
              <w:rPr>
                <w:rFonts w:ascii="Times New Roman" w:hAnsi="Times New Roman"/>
                <w:szCs w:val="24"/>
              </w:rPr>
              <w:t>46</w:t>
            </w:r>
          </w:p>
        </w:tc>
      </w:tr>
      <w:tr w:rsidR="00D549BC" w:rsidRPr="002739CC" w:rsidTr="002739CC">
        <w:trPr>
          <w:jc w:val="center"/>
        </w:trPr>
        <w:tc>
          <w:tcPr>
            <w:tcW w:w="1983" w:type="dxa"/>
          </w:tcPr>
          <w:p w:rsidR="00D549BC" w:rsidRPr="002739CC" w:rsidRDefault="00D549BC" w:rsidP="002739CC">
            <w:pPr>
              <w:spacing w:after="240" w:line="240" w:lineRule="auto"/>
              <w:ind w:firstLine="459"/>
              <w:contextualSpacing/>
              <w:rPr>
                <w:rFonts w:ascii="Times New Roman" w:hAnsi="Times New Roman"/>
                <w:szCs w:val="24"/>
              </w:rPr>
            </w:pPr>
            <w:r w:rsidRPr="002739CC">
              <w:rPr>
                <w:rFonts w:ascii="Times New Roman" w:hAnsi="Times New Roman"/>
                <w:szCs w:val="24"/>
              </w:rPr>
              <w:t>2014</w:t>
            </w:r>
          </w:p>
        </w:tc>
        <w:tc>
          <w:tcPr>
            <w:tcW w:w="4254" w:type="dxa"/>
          </w:tcPr>
          <w:p w:rsidR="00D549BC" w:rsidRPr="002739CC" w:rsidRDefault="00D549BC" w:rsidP="002739CC">
            <w:pPr>
              <w:spacing w:after="240" w:line="240" w:lineRule="auto"/>
              <w:ind w:firstLine="1169"/>
              <w:contextualSpacing/>
              <w:rPr>
                <w:rFonts w:ascii="Times New Roman" w:hAnsi="Times New Roman"/>
                <w:szCs w:val="24"/>
              </w:rPr>
            </w:pPr>
            <w:r w:rsidRPr="002739CC">
              <w:rPr>
                <w:rFonts w:ascii="Times New Roman" w:hAnsi="Times New Roman"/>
                <w:szCs w:val="24"/>
              </w:rPr>
              <w:t>60</w:t>
            </w:r>
          </w:p>
        </w:tc>
      </w:tr>
    </w:tbl>
    <w:p w:rsidR="00D549BC" w:rsidRPr="008D1E9B" w:rsidRDefault="00D549BC" w:rsidP="008D1E9B">
      <w:pPr>
        <w:spacing w:after="240"/>
        <w:ind w:firstLine="1276"/>
        <w:contextualSpacing/>
        <w:rPr>
          <w:rFonts w:ascii="Times New Roman" w:hAnsi="Times New Roman"/>
          <w:sz w:val="20"/>
          <w:szCs w:val="20"/>
        </w:rPr>
      </w:pPr>
      <w:r w:rsidRPr="004C2437">
        <w:rPr>
          <w:rFonts w:ascii="Times New Roman" w:hAnsi="Times New Roman"/>
          <w:szCs w:val="24"/>
        </w:rPr>
        <w:t xml:space="preserve">   </w:t>
      </w:r>
      <w:r w:rsidRPr="008D1E9B">
        <w:rPr>
          <w:rFonts w:ascii="Times New Roman" w:hAnsi="Times New Roman"/>
          <w:sz w:val="20"/>
          <w:szCs w:val="20"/>
        </w:rPr>
        <w:t xml:space="preserve">Fonte: o autor </w:t>
      </w:r>
      <w:r>
        <w:rPr>
          <w:rFonts w:ascii="Times New Roman" w:hAnsi="Times New Roman"/>
          <w:sz w:val="20"/>
          <w:szCs w:val="20"/>
        </w:rPr>
        <w:t>–</w:t>
      </w:r>
      <w:r w:rsidRPr="008D1E9B">
        <w:rPr>
          <w:rFonts w:ascii="Times New Roman" w:hAnsi="Times New Roman"/>
          <w:sz w:val="20"/>
          <w:szCs w:val="20"/>
        </w:rPr>
        <w:t xml:space="preserve"> a partir de dados do STF</w:t>
      </w:r>
    </w:p>
    <w:p w:rsidR="00D549BC" w:rsidRDefault="00D549BC" w:rsidP="00E86AAE">
      <w:pPr>
        <w:spacing w:after="240"/>
        <w:ind w:firstLine="4962"/>
        <w:contextualSpacing/>
        <w:rPr>
          <w:rFonts w:ascii="Times New Roman" w:hAnsi="Times New Roman"/>
          <w:szCs w:val="24"/>
        </w:rPr>
      </w:pPr>
    </w:p>
    <w:p w:rsidR="00D549BC" w:rsidRDefault="00D549BC" w:rsidP="005B251F">
      <w:pPr>
        <w:spacing w:after="240"/>
        <w:contextualSpacing/>
        <w:rPr>
          <w:rFonts w:ascii="Times New Roman" w:hAnsi="Times New Roman"/>
          <w:sz w:val="24"/>
          <w:szCs w:val="24"/>
        </w:rPr>
      </w:pPr>
      <w:r>
        <w:rPr>
          <w:rFonts w:ascii="Times New Roman" w:hAnsi="Times New Roman"/>
          <w:sz w:val="24"/>
          <w:szCs w:val="24"/>
        </w:rPr>
        <w:t>Tomando-se como referência a média anual de julgamentos dos processos com RG reconhecida (33), conclui-se que seriam necessários mais de nove anos para que a Corte conseguisse zerar o estoque de processos com RG pendentes de julgamento (315 ÷ 33). Ainda que levássemos em consideração o número recorde de Repercussões Gerais julgadas em 2014 (60), a média de tempo para liquidar o estoque pendente cairia para 5,25 anos (315 ÷ 60). E isso, obviamente, em um cenário perfeito, no qual não se reconheceria nenhuma nova Repercussão Geral ao longo dos próximos anos.</w:t>
      </w:r>
    </w:p>
    <w:p w:rsidR="00D549BC" w:rsidRDefault="00D549BC" w:rsidP="009321EC">
      <w:pPr>
        <w:spacing w:after="240"/>
        <w:contextualSpacing/>
        <w:rPr>
          <w:rFonts w:ascii="Times New Roman" w:hAnsi="Times New Roman"/>
          <w:sz w:val="24"/>
          <w:szCs w:val="24"/>
        </w:rPr>
      </w:pPr>
      <w:r>
        <w:rPr>
          <w:rFonts w:ascii="Times New Roman" w:hAnsi="Times New Roman"/>
          <w:sz w:val="24"/>
          <w:szCs w:val="24"/>
        </w:rPr>
        <w:t>Esta situação de excessiva delonga nos julgamentos dos Recursos Extraordinários que já tiveram a Repercussão Geral reconhecida no Plenário Virtual, torna-se</w:t>
      </w:r>
      <w:r>
        <w:rPr>
          <w:rFonts w:ascii="Times New Roman" w:hAnsi="Times New Roman"/>
          <w:sz w:val="24"/>
          <w:szCs w:val="24"/>
        </w:rPr>
        <w:tab/>
        <w:t xml:space="preserve"> ainda mais grave diante da possibilidade de </w:t>
      </w:r>
      <w:r w:rsidRPr="004E7D23">
        <w:rPr>
          <w:rFonts w:ascii="Times New Roman" w:hAnsi="Times New Roman"/>
          <w:i/>
          <w:sz w:val="24"/>
          <w:szCs w:val="24"/>
        </w:rPr>
        <w:t>sobrestamento</w:t>
      </w:r>
      <w:r>
        <w:rPr>
          <w:rFonts w:ascii="Times New Roman" w:hAnsi="Times New Roman"/>
          <w:sz w:val="24"/>
          <w:szCs w:val="24"/>
        </w:rPr>
        <w:t xml:space="preserve"> prevista pela Lei 11.418 de 2006. </w:t>
      </w:r>
    </w:p>
    <w:p w:rsidR="00D549BC" w:rsidRDefault="00D549BC" w:rsidP="00D01C25">
      <w:pPr>
        <w:spacing w:after="240"/>
        <w:ind w:firstLine="851"/>
        <w:contextualSpacing/>
        <w:rPr>
          <w:rFonts w:ascii="Times New Roman" w:hAnsi="Times New Roman"/>
          <w:sz w:val="24"/>
          <w:szCs w:val="24"/>
        </w:rPr>
      </w:pPr>
      <w:r>
        <w:rPr>
          <w:rFonts w:ascii="Times New Roman" w:hAnsi="Times New Roman"/>
          <w:sz w:val="24"/>
          <w:szCs w:val="24"/>
        </w:rPr>
        <w:t>Expliquemos melhor, nos termos do art. 543-B, § 1º do CPC</w:t>
      </w:r>
      <w:r>
        <w:rPr>
          <w:rStyle w:val="FootnoteReference"/>
          <w:rFonts w:ascii="Times New Roman" w:hAnsi="Times New Roman"/>
          <w:sz w:val="24"/>
          <w:szCs w:val="24"/>
        </w:rPr>
        <w:footnoteReference w:id="223"/>
      </w:r>
      <w:r>
        <w:rPr>
          <w:rFonts w:ascii="Times New Roman" w:hAnsi="Times New Roman"/>
          <w:sz w:val="24"/>
          <w:szCs w:val="24"/>
        </w:rPr>
        <w:t>,</w:t>
      </w:r>
      <w:r w:rsidRPr="004E7D23">
        <w:rPr>
          <w:rFonts w:ascii="Times New Roman" w:hAnsi="Times New Roman"/>
          <w:sz w:val="24"/>
          <w:szCs w:val="24"/>
        </w:rPr>
        <w:t xml:space="preserve"> c/c o art. 328</w:t>
      </w:r>
      <w:r>
        <w:rPr>
          <w:rFonts w:ascii="Times New Roman" w:hAnsi="Times New Roman"/>
          <w:sz w:val="24"/>
          <w:szCs w:val="24"/>
        </w:rPr>
        <w:t xml:space="preserve"> </w:t>
      </w:r>
      <w:r w:rsidRPr="004E7D23">
        <w:rPr>
          <w:rFonts w:ascii="Times New Roman" w:hAnsi="Times New Roman"/>
          <w:sz w:val="24"/>
          <w:szCs w:val="24"/>
        </w:rPr>
        <w:t>do RISTF</w:t>
      </w:r>
      <w:r>
        <w:rPr>
          <w:rFonts w:ascii="Times New Roman" w:hAnsi="Times New Roman"/>
          <w:sz w:val="24"/>
          <w:szCs w:val="24"/>
        </w:rPr>
        <w:t>,</w:t>
      </w:r>
      <w:r>
        <w:rPr>
          <w:rStyle w:val="FootnoteReference"/>
          <w:rFonts w:ascii="Times New Roman" w:hAnsi="Times New Roman"/>
          <w:sz w:val="24"/>
          <w:szCs w:val="24"/>
        </w:rPr>
        <w:footnoteReference w:id="224"/>
      </w:r>
      <w:r w:rsidRPr="004E7D23">
        <w:rPr>
          <w:rFonts w:ascii="Times New Roman" w:hAnsi="Times New Roman"/>
          <w:sz w:val="24"/>
          <w:szCs w:val="24"/>
        </w:rPr>
        <w:t xml:space="preserve"> os</w:t>
      </w:r>
      <w:r>
        <w:rPr>
          <w:rFonts w:ascii="Times New Roman" w:hAnsi="Times New Roman"/>
          <w:sz w:val="24"/>
          <w:szCs w:val="24"/>
        </w:rPr>
        <w:t xml:space="preserve"> </w:t>
      </w:r>
      <w:r w:rsidRPr="004E7D23">
        <w:rPr>
          <w:rFonts w:ascii="Times New Roman" w:hAnsi="Times New Roman"/>
          <w:sz w:val="24"/>
          <w:szCs w:val="24"/>
        </w:rPr>
        <w:t xml:space="preserve">recursos referentes </w:t>
      </w:r>
      <w:r>
        <w:rPr>
          <w:rFonts w:ascii="Times New Roman" w:hAnsi="Times New Roman"/>
          <w:sz w:val="24"/>
          <w:szCs w:val="24"/>
        </w:rPr>
        <w:t>à controvérsia cuja análise de R</w:t>
      </w:r>
      <w:r w:rsidRPr="004E7D23">
        <w:rPr>
          <w:rFonts w:ascii="Times New Roman" w:hAnsi="Times New Roman"/>
          <w:sz w:val="24"/>
          <w:szCs w:val="24"/>
        </w:rPr>
        <w:t xml:space="preserve">epercussão </w:t>
      </w:r>
      <w:r>
        <w:rPr>
          <w:rFonts w:ascii="Times New Roman" w:hAnsi="Times New Roman"/>
          <w:sz w:val="24"/>
          <w:szCs w:val="24"/>
        </w:rPr>
        <w:t>G</w:t>
      </w:r>
      <w:r w:rsidRPr="004E7D23">
        <w:rPr>
          <w:rFonts w:ascii="Times New Roman" w:hAnsi="Times New Roman"/>
          <w:sz w:val="24"/>
          <w:szCs w:val="24"/>
        </w:rPr>
        <w:t>eral se encontre pendente</w:t>
      </w:r>
      <w:r>
        <w:rPr>
          <w:rFonts w:ascii="Times New Roman" w:hAnsi="Times New Roman"/>
          <w:sz w:val="24"/>
          <w:szCs w:val="24"/>
        </w:rPr>
        <w:t xml:space="preserve"> </w:t>
      </w:r>
      <w:r w:rsidRPr="004E7D23">
        <w:rPr>
          <w:rFonts w:ascii="Times New Roman" w:hAnsi="Times New Roman"/>
          <w:sz w:val="24"/>
          <w:szCs w:val="24"/>
        </w:rPr>
        <w:t>de julgamento no STF têm o seu andamento sobrestado até o pronunciamento definitivo</w:t>
      </w:r>
      <w:r>
        <w:rPr>
          <w:rFonts w:ascii="Times New Roman" w:hAnsi="Times New Roman"/>
          <w:sz w:val="24"/>
          <w:szCs w:val="24"/>
        </w:rPr>
        <w:t xml:space="preserve"> </w:t>
      </w:r>
      <w:r w:rsidRPr="004E7D23">
        <w:rPr>
          <w:rFonts w:ascii="Times New Roman" w:hAnsi="Times New Roman"/>
          <w:sz w:val="24"/>
          <w:szCs w:val="24"/>
        </w:rPr>
        <w:t>da Corte.</w:t>
      </w:r>
      <w:r>
        <w:rPr>
          <w:rFonts w:ascii="Times New Roman" w:hAnsi="Times New Roman"/>
          <w:sz w:val="24"/>
          <w:szCs w:val="24"/>
        </w:rPr>
        <w:t xml:space="preserve"> Segundo as informações da Assessoria de Gestão Estratégica do STF, encontram-se, atualmente, sobrestados na origem, </w:t>
      </w:r>
      <w:r w:rsidRPr="000D66F7">
        <w:rPr>
          <w:rFonts w:ascii="Times New Roman" w:hAnsi="Times New Roman"/>
          <w:sz w:val="24"/>
          <w:szCs w:val="24"/>
        </w:rPr>
        <w:t>aguarda</w:t>
      </w:r>
      <w:r>
        <w:rPr>
          <w:rFonts w:ascii="Times New Roman" w:hAnsi="Times New Roman"/>
          <w:sz w:val="24"/>
          <w:szCs w:val="24"/>
        </w:rPr>
        <w:t>ndo</w:t>
      </w:r>
      <w:r w:rsidRPr="000D66F7">
        <w:rPr>
          <w:rFonts w:ascii="Times New Roman" w:hAnsi="Times New Roman"/>
          <w:sz w:val="24"/>
          <w:szCs w:val="24"/>
        </w:rPr>
        <w:t xml:space="preserve"> julgamento definiti</w:t>
      </w:r>
      <w:r>
        <w:rPr>
          <w:rFonts w:ascii="Times New Roman" w:hAnsi="Times New Roman"/>
          <w:sz w:val="24"/>
          <w:szCs w:val="24"/>
        </w:rPr>
        <w:t xml:space="preserve">vo de mérito, nada menos do que: </w:t>
      </w:r>
      <w:r w:rsidRPr="00106B31">
        <w:rPr>
          <w:rFonts w:ascii="Times New Roman" w:hAnsi="Times New Roman"/>
          <w:b/>
          <w:sz w:val="24"/>
          <w:szCs w:val="24"/>
        </w:rPr>
        <w:t xml:space="preserve">1.019.937 </w:t>
      </w:r>
      <w:r w:rsidRPr="00106B31">
        <w:rPr>
          <w:rFonts w:ascii="Times New Roman" w:hAnsi="Times New Roman"/>
          <w:sz w:val="24"/>
          <w:szCs w:val="24"/>
        </w:rPr>
        <w:t>processos</w:t>
      </w:r>
      <w:r>
        <w:rPr>
          <w:rFonts w:ascii="Times New Roman" w:hAnsi="Times New Roman"/>
          <w:sz w:val="24"/>
          <w:szCs w:val="24"/>
        </w:rPr>
        <w:t>.</w:t>
      </w:r>
      <w:r>
        <w:rPr>
          <w:rStyle w:val="FootnoteReference"/>
          <w:rFonts w:ascii="Times New Roman" w:hAnsi="Times New Roman"/>
          <w:sz w:val="24"/>
          <w:szCs w:val="24"/>
        </w:rPr>
        <w:footnoteReference w:id="225"/>
      </w:r>
    </w:p>
    <w:p w:rsidR="00D549BC" w:rsidRDefault="00D549BC" w:rsidP="009A035C">
      <w:pPr>
        <w:spacing w:after="240"/>
        <w:contextualSpacing/>
        <w:rPr>
          <w:rFonts w:ascii="Times New Roman" w:hAnsi="Times New Roman"/>
          <w:sz w:val="24"/>
          <w:szCs w:val="24"/>
        </w:rPr>
      </w:pPr>
      <w:r>
        <w:rPr>
          <w:rFonts w:ascii="Times New Roman" w:hAnsi="Times New Roman"/>
          <w:sz w:val="24"/>
          <w:szCs w:val="24"/>
        </w:rPr>
        <w:t xml:space="preserve">A título de exemplo e como confirmação do seríssimo problema gerado pelo retardamento nos julgamentos das Repercussões Gerais, analisar-se-ão os Temas de números </w:t>
      </w:r>
      <w:r w:rsidRPr="00B154FA">
        <w:rPr>
          <w:rFonts w:ascii="Times New Roman" w:hAnsi="Times New Roman"/>
          <w:b/>
          <w:sz w:val="24"/>
          <w:szCs w:val="24"/>
        </w:rPr>
        <w:t>6</w:t>
      </w:r>
      <w:r>
        <w:rPr>
          <w:rFonts w:ascii="Times New Roman" w:hAnsi="Times New Roman"/>
          <w:sz w:val="24"/>
          <w:szCs w:val="24"/>
        </w:rPr>
        <w:t xml:space="preserve"> e </w:t>
      </w:r>
      <w:r w:rsidRPr="00BB2581">
        <w:rPr>
          <w:rFonts w:ascii="Times New Roman" w:hAnsi="Times New Roman"/>
          <w:b/>
          <w:sz w:val="24"/>
          <w:szCs w:val="24"/>
        </w:rPr>
        <w:t>264</w:t>
      </w:r>
      <w:r>
        <w:rPr>
          <w:rFonts w:ascii="Times New Roman" w:hAnsi="Times New Roman"/>
          <w:sz w:val="24"/>
          <w:szCs w:val="24"/>
        </w:rPr>
        <w:t xml:space="preserve">, ambos pendentes de julgamento. </w:t>
      </w:r>
    </w:p>
    <w:p w:rsidR="00D549BC" w:rsidRDefault="00D549BC" w:rsidP="009A035C">
      <w:pPr>
        <w:spacing w:after="240"/>
        <w:contextualSpacing/>
        <w:rPr>
          <w:rFonts w:ascii="Times New Roman" w:hAnsi="Times New Roman"/>
          <w:sz w:val="24"/>
          <w:szCs w:val="24"/>
        </w:rPr>
      </w:pPr>
      <w:r>
        <w:rPr>
          <w:rFonts w:ascii="Times New Roman" w:hAnsi="Times New Roman"/>
          <w:sz w:val="24"/>
          <w:szCs w:val="24"/>
        </w:rPr>
        <w:t xml:space="preserve">O </w:t>
      </w:r>
      <w:r w:rsidRPr="00B154FA">
        <w:rPr>
          <w:rFonts w:ascii="Times New Roman" w:hAnsi="Times New Roman"/>
          <w:b/>
          <w:sz w:val="24"/>
          <w:szCs w:val="24"/>
        </w:rPr>
        <w:t>Tema</w:t>
      </w:r>
      <w:r>
        <w:rPr>
          <w:rFonts w:ascii="Times New Roman" w:hAnsi="Times New Roman"/>
          <w:sz w:val="24"/>
          <w:szCs w:val="24"/>
        </w:rPr>
        <w:t xml:space="preserve"> </w:t>
      </w:r>
      <w:r w:rsidRPr="00B154FA">
        <w:rPr>
          <w:rFonts w:ascii="Times New Roman" w:hAnsi="Times New Roman"/>
          <w:b/>
          <w:sz w:val="24"/>
          <w:szCs w:val="24"/>
        </w:rPr>
        <w:t>6</w:t>
      </w:r>
      <w:r>
        <w:rPr>
          <w:rFonts w:ascii="Times New Roman" w:hAnsi="Times New Roman"/>
          <w:sz w:val="24"/>
          <w:szCs w:val="24"/>
        </w:rPr>
        <w:t xml:space="preserve"> discute, à luz dos artigos </w:t>
      </w:r>
      <w:r w:rsidRPr="00401466">
        <w:rPr>
          <w:rFonts w:ascii="Times New Roman" w:hAnsi="Times New Roman"/>
          <w:sz w:val="24"/>
          <w:szCs w:val="24"/>
        </w:rPr>
        <w:t xml:space="preserve">2º; 5º; 6º; 196; e 198, §§ </w:t>
      </w:r>
      <w:r>
        <w:rPr>
          <w:rFonts w:ascii="Times New Roman" w:hAnsi="Times New Roman"/>
          <w:sz w:val="24"/>
          <w:szCs w:val="24"/>
        </w:rPr>
        <w:t>1º e 2º, da Constituição da República</w:t>
      </w:r>
      <w:r w:rsidRPr="00401466">
        <w:rPr>
          <w:rFonts w:ascii="Times New Roman" w:hAnsi="Times New Roman"/>
          <w:sz w:val="24"/>
          <w:szCs w:val="24"/>
        </w:rPr>
        <w:t>, a obrigatoriedade, ou não, de o Estado fornecer medicamento de alto custo a portador de doença grave que não possui condições financeiras para comprá-lo</w:t>
      </w:r>
      <w:r>
        <w:rPr>
          <w:rFonts w:ascii="Times New Roman" w:hAnsi="Times New Roman"/>
          <w:sz w:val="24"/>
          <w:szCs w:val="24"/>
        </w:rPr>
        <w:t xml:space="preserve">. O </w:t>
      </w:r>
      <w:r w:rsidRPr="00401466">
        <w:rPr>
          <w:rFonts w:ascii="Times New Roman" w:hAnsi="Times New Roman"/>
          <w:i/>
          <w:sz w:val="24"/>
          <w:szCs w:val="24"/>
        </w:rPr>
        <w:t>leading case</w:t>
      </w:r>
      <w:r>
        <w:rPr>
          <w:rFonts w:ascii="Times New Roman" w:hAnsi="Times New Roman"/>
          <w:i/>
          <w:sz w:val="24"/>
          <w:szCs w:val="24"/>
        </w:rPr>
        <w:t xml:space="preserve"> </w:t>
      </w:r>
      <w:r>
        <w:rPr>
          <w:rFonts w:ascii="Times New Roman" w:hAnsi="Times New Roman"/>
          <w:sz w:val="24"/>
          <w:szCs w:val="24"/>
        </w:rPr>
        <w:t xml:space="preserve">é o RE 566.471, que foi distribuído em </w:t>
      </w:r>
      <w:r w:rsidRPr="00217D80">
        <w:rPr>
          <w:rFonts w:ascii="Times New Roman" w:hAnsi="Times New Roman"/>
          <w:b/>
          <w:sz w:val="24"/>
          <w:szCs w:val="24"/>
        </w:rPr>
        <w:t>09.10.2007</w:t>
      </w:r>
      <w:r>
        <w:rPr>
          <w:rFonts w:ascii="Times New Roman" w:hAnsi="Times New Roman"/>
          <w:sz w:val="24"/>
          <w:szCs w:val="24"/>
        </w:rPr>
        <w:t xml:space="preserve"> ao Ministro Marco Aurélio, sendo a Repercussão Geral do caso reconhecida, por unanimidade, em </w:t>
      </w:r>
      <w:r w:rsidRPr="00217D80">
        <w:rPr>
          <w:rFonts w:ascii="Times New Roman" w:hAnsi="Times New Roman"/>
          <w:b/>
          <w:sz w:val="24"/>
          <w:szCs w:val="24"/>
        </w:rPr>
        <w:t>03.12.2007</w:t>
      </w:r>
      <w:r>
        <w:rPr>
          <w:rFonts w:ascii="Times New Roman" w:hAnsi="Times New Roman"/>
          <w:sz w:val="24"/>
          <w:szCs w:val="24"/>
        </w:rPr>
        <w:t>, e o acórdão publicado no DJe em 07.12.2007.</w:t>
      </w:r>
      <w:r>
        <w:rPr>
          <w:rStyle w:val="FootnoteReference"/>
          <w:rFonts w:ascii="Times New Roman" w:hAnsi="Times New Roman"/>
          <w:sz w:val="24"/>
          <w:szCs w:val="24"/>
        </w:rPr>
        <w:footnoteReference w:id="226"/>
      </w:r>
      <w:r>
        <w:rPr>
          <w:rFonts w:ascii="Times New Roman" w:hAnsi="Times New Roman"/>
          <w:sz w:val="24"/>
          <w:szCs w:val="24"/>
        </w:rPr>
        <w:t xml:space="preserve"> Acontece que, desde o dia </w:t>
      </w:r>
      <w:r w:rsidRPr="00244C2C">
        <w:rPr>
          <w:rFonts w:ascii="Times New Roman" w:hAnsi="Times New Roman"/>
          <w:b/>
          <w:sz w:val="24"/>
          <w:szCs w:val="24"/>
        </w:rPr>
        <w:t>15.10.2014</w:t>
      </w:r>
      <w:r>
        <w:rPr>
          <w:rFonts w:ascii="Times New Roman" w:hAnsi="Times New Roman"/>
          <w:sz w:val="24"/>
          <w:szCs w:val="24"/>
        </w:rPr>
        <w:t xml:space="preserve">, o processo encontra-se concluso ao Relator. </w:t>
      </w:r>
    </w:p>
    <w:p w:rsidR="00D549BC" w:rsidRDefault="00D549BC" w:rsidP="009A035C">
      <w:pPr>
        <w:spacing w:after="240"/>
        <w:contextualSpacing/>
        <w:rPr>
          <w:rFonts w:ascii="Times New Roman" w:hAnsi="Times New Roman"/>
          <w:sz w:val="24"/>
          <w:szCs w:val="24"/>
        </w:rPr>
      </w:pPr>
      <w:r>
        <w:rPr>
          <w:rFonts w:ascii="Times New Roman" w:hAnsi="Times New Roman"/>
          <w:sz w:val="24"/>
          <w:szCs w:val="24"/>
        </w:rPr>
        <w:t xml:space="preserve">Com efeito, existe um total de </w:t>
      </w:r>
      <w:r w:rsidRPr="00244C2C">
        <w:rPr>
          <w:rFonts w:ascii="Times New Roman" w:hAnsi="Times New Roman"/>
          <w:b/>
          <w:sz w:val="24"/>
          <w:szCs w:val="24"/>
        </w:rPr>
        <w:t>20.784</w:t>
      </w:r>
      <w:r w:rsidRPr="00F05EF1">
        <w:rPr>
          <w:rStyle w:val="FootnoteReference"/>
          <w:rFonts w:ascii="Times New Roman" w:hAnsi="Times New Roman"/>
          <w:sz w:val="24"/>
          <w:szCs w:val="24"/>
        </w:rPr>
        <w:footnoteReference w:id="227"/>
      </w:r>
      <w:r>
        <w:rPr>
          <w:rFonts w:ascii="Times New Roman" w:hAnsi="Times New Roman"/>
          <w:sz w:val="24"/>
          <w:szCs w:val="24"/>
        </w:rPr>
        <w:t xml:space="preserve"> processos sobrestados na origem aguardando o julgamento de mérito do </w:t>
      </w:r>
      <w:r w:rsidRPr="00244C2C">
        <w:rPr>
          <w:rFonts w:ascii="Times New Roman" w:hAnsi="Times New Roman"/>
          <w:i/>
          <w:sz w:val="24"/>
          <w:szCs w:val="24"/>
        </w:rPr>
        <w:t>leading case</w:t>
      </w:r>
      <w:r>
        <w:rPr>
          <w:rFonts w:ascii="Times New Roman" w:hAnsi="Times New Roman"/>
          <w:sz w:val="24"/>
          <w:szCs w:val="24"/>
        </w:rPr>
        <w:t xml:space="preserve"> 566.471. Ou seja, em poucos meses, caso não seja colocado em pauta, o processo completará oito anos de tramitação na Suprema Corte – e o que é pior, sendo a questão constitucional nele versada de suma importância para a sociedade brasileira.   </w:t>
      </w:r>
    </w:p>
    <w:p w:rsidR="00D549BC" w:rsidRDefault="00D549BC" w:rsidP="002B5A0C">
      <w:pPr>
        <w:spacing w:after="240"/>
        <w:contextualSpacing/>
        <w:rPr>
          <w:rFonts w:ascii="Times New Roman" w:hAnsi="Times New Roman"/>
          <w:sz w:val="24"/>
          <w:szCs w:val="24"/>
        </w:rPr>
      </w:pPr>
      <w:r>
        <w:rPr>
          <w:rFonts w:ascii="Times New Roman" w:hAnsi="Times New Roman"/>
          <w:sz w:val="24"/>
          <w:szCs w:val="24"/>
        </w:rPr>
        <w:t xml:space="preserve">Outro caso bastante conhecido e que ainda se encontra pendente de julgamento é o </w:t>
      </w:r>
      <w:r w:rsidRPr="00B154FA">
        <w:rPr>
          <w:rFonts w:ascii="Times New Roman" w:hAnsi="Times New Roman"/>
          <w:b/>
          <w:sz w:val="24"/>
          <w:szCs w:val="24"/>
        </w:rPr>
        <w:t>Tema nº</w:t>
      </w:r>
      <w:r>
        <w:rPr>
          <w:rFonts w:ascii="Times New Roman" w:hAnsi="Times New Roman"/>
          <w:sz w:val="24"/>
          <w:szCs w:val="24"/>
        </w:rPr>
        <w:t xml:space="preserve"> </w:t>
      </w:r>
      <w:r w:rsidRPr="00B154FA">
        <w:rPr>
          <w:rFonts w:ascii="Times New Roman" w:hAnsi="Times New Roman"/>
          <w:b/>
          <w:sz w:val="24"/>
          <w:szCs w:val="24"/>
        </w:rPr>
        <w:t>264</w:t>
      </w:r>
      <w:r>
        <w:rPr>
          <w:rFonts w:ascii="Times New Roman" w:hAnsi="Times New Roman"/>
          <w:sz w:val="24"/>
          <w:szCs w:val="24"/>
        </w:rPr>
        <w:t>, o qual trata da questão referente às d</w:t>
      </w:r>
      <w:r w:rsidRPr="00864856">
        <w:rPr>
          <w:rFonts w:ascii="Times New Roman" w:hAnsi="Times New Roman"/>
          <w:sz w:val="24"/>
          <w:szCs w:val="24"/>
        </w:rPr>
        <w:t>iferenças de correção monetária de depósitos em caderneta de poupança por alegados expurgos inflacionários decorr</w:t>
      </w:r>
      <w:r>
        <w:rPr>
          <w:rFonts w:ascii="Times New Roman" w:hAnsi="Times New Roman"/>
          <w:sz w:val="24"/>
          <w:szCs w:val="24"/>
        </w:rPr>
        <w:t xml:space="preserve">entes dos planos econômicos Bresser e Verão. O </w:t>
      </w:r>
      <w:r w:rsidRPr="00864856">
        <w:rPr>
          <w:rFonts w:ascii="Times New Roman" w:hAnsi="Times New Roman"/>
          <w:i/>
          <w:sz w:val="24"/>
          <w:szCs w:val="24"/>
        </w:rPr>
        <w:t>leading case</w:t>
      </w:r>
      <w:r>
        <w:rPr>
          <w:rFonts w:ascii="Times New Roman" w:hAnsi="Times New Roman"/>
          <w:i/>
          <w:sz w:val="24"/>
          <w:szCs w:val="24"/>
        </w:rPr>
        <w:t xml:space="preserve"> </w:t>
      </w:r>
      <w:r>
        <w:rPr>
          <w:rFonts w:ascii="Times New Roman" w:hAnsi="Times New Roman"/>
          <w:sz w:val="24"/>
          <w:szCs w:val="24"/>
        </w:rPr>
        <w:t xml:space="preserve">é o RE 626.307, de relatoria do Ministro Dias Toffoli, cuja Repercussão Geral foi reconhecida no bojo do AI 722.834/SP em </w:t>
      </w:r>
      <w:r w:rsidRPr="00B154FA">
        <w:rPr>
          <w:rFonts w:ascii="Times New Roman" w:hAnsi="Times New Roman"/>
          <w:b/>
          <w:sz w:val="24"/>
          <w:szCs w:val="24"/>
        </w:rPr>
        <w:t>16.04.2010</w:t>
      </w:r>
      <w:r w:rsidRPr="002B5A0C">
        <w:rPr>
          <w:rFonts w:ascii="Times New Roman" w:hAnsi="Times New Roman"/>
          <w:sz w:val="24"/>
          <w:szCs w:val="24"/>
        </w:rPr>
        <w:t>.</w:t>
      </w:r>
      <w:r w:rsidRPr="002B5A0C">
        <w:rPr>
          <w:rStyle w:val="FootnoteReference"/>
          <w:rFonts w:ascii="Times New Roman" w:hAnsi="Times New Roman"/>
          <w:sz w:val="24"/>
          <w:szCs w:val="24"/>
        </w:rPr>
        <w:footnoteReference w:id="228"/>
      </w:r>
      <w:r>
        <w:rPr>
          <w:rFonts w:ascii="Times New Roman" w:hAnsi="Times New Roman"/>
          <w:sz w:val="24"/>
          <w:szCs w:val="24"/>
        </w:rPr>
        <w:t xml:space="preserve"> </w:t>
      </w:r>
    </w:p>
    <w:p w:rsidR="00D549BC" w:rsidRDefault="00D549BC" w:rsidP="002B5A0C">
      <w:pPr>
        <w:spacing w:after="240"/>
        <w:contextualSpacing/>
        <w:rPr>
          <w:rFonts w:ascii="Times New Roman" w:hAnsi="Times New Roman"/>
          <w:sz w:val="24"/>
          <w:szCs w:val="24"/>
        </w:rPr>
      </w:pPr>
      <w:r>
        <w:rPr>
          <w:rFonts w:ascii="Times New Roman" w:hAnsi="Times New Roman"/>
          <w:sz w:val="24"/>
          <w:szCs w:val="24"/>
        </w:rPr>
        <w:t xml:space="preserve">O Ministro Dias Toffoli determinou o </w:t>
      </w:r>
      <w:r w:rsidRPr="00B154FA">
        <w:rPr>
          <w:rFonts w:ascii="Times New Roman" w:hAnsi="Times New Roman"/>
          <w:sz w:val="24"/>
          <w:szCs w:val="24"/>
        </w:rPr>
        <w:t xml:space="preserve">sobrestamento de todos os recursos </w:t>
      </w:r>
      <w:r>
        <w:rPr>
          <w:rFonts w:ascii="Times New Roman" w:hAnsi="Times New Roman"/>
          <w:sz w:val="24"/>
          <w:szCs w:val="24"/>
        </w:rPr>
        <w:t>que se referiam ao mesmo objeto da presente Repercussão G</w:t>
      </w:r>
      <w:r w:rsidRPr="00B154FA">
        <w:rPr>
          <w:rFonts w:ascii="Times New Roman" w:hAnsi="Times New Roman"/>
          <w:sz w:val="24"/>
          <w:szCs w:val="24"/>
        </w:rPr>
        <w:t>era</w:t>
      </w:r>
      <w:r>
        <w:rPr>
          <w:rFonts w:ascii="Times New Roman" w:hAnsi="Times New Roman"/>
          <w:sz w:val="24"/>
          <w:szCs w:val="24"/>
        </w:rPr>
        <w:t xml:space="preserve">l em </w:t>
      </w:r>
      <w:r w:rsidRPr="00B154FA">
        <w:rPr>
          <w:rFonts w:ascii="Times New Roman" w:hAnsi="Times New Roman"/>
          <w:b/>
          <w:sz w:val="24"/>
          <w:szCs w:val="24"/>
        </w:rPr>
        <w:t>28.08.2010</w:t>
      </w:r>
      <w:r>
        <w:rPr>
          <w:rFonts w:ascii="Times New Roman" w:hAnsi="Times New Roman"/>
          <w:sz w:val="24"/>
          <w:szCs w:val="24"/>
        </w:rPr>
        <w:t xml:space="preserve">, com isso, foram sobrestados na instância de origem: </w:t>
      </w:r>
      <w:r w:rsidRPr="00B154FA">
        <w:rPr>
          <w:rFonts w:ascii="Times New Roman" w:hAnsi="Times New Roman"/>
          <w:b/>
          <w:sz w:val="24"/>
          <w:szCs w:val="24"/>
        </w:rPr>
        <w:t>375.072</w:t>
      </w:r>
      <w:r>
        <w:rPr>
          <w:rFonts w:ascii="Times New Roman" w:hAnsi="Times New Roman"/>
          <w:sz w:val="24"/>
          <w:szCs w:val="24"/>
        </w:rPr>
        <w:t xml:space="preserve"> </w:t>
      </w:r>
      <w:r w:rsidRPr="00B154FA">
        <w:rPr>
          <w:rFonts w:ascii="Times New Roman" w:hAnsi="Times New Roman"/>
          <w:sz w:val="24"/>
          <w:szCs w:val="24"/>
        </w:rPr>
        <w:t>processos</w:t>
      </w:r>
      <w:r>
        <w:rPr>
          <w:rFonts w:ascii="Times New Roman" w:hAnsi="Times New Roman"/>
          <w:sz w:val="24"/>
          <w:szCs w:val="24"/>
        </w:rPr>
        <w:t>.</w:t>
      </w:r>
      <w:r w:rsidRPr="00DE0D21">
        <w:rPr>
          <w:rStyle w:val="FootnoteReference"/>
          <w:rFonts w:ascii="Times New Roman" w:hAnsi="Times New Roman"/>
          <w:sz w:val="24"/>
          <w:szCs w:val="24"/>
        </w:rPr>
        <w:footnoteReference w:id="229"/>
      </w:r>
      <w:r>
        <w:rPr>
          <w:rFonts w:ascii="Times New Roman" w:hAnsi="Times New Roman"/>
          <w:sz w:val="24"/>
          <w:szCs w:val="24"/>
        </w:rPr>
        <w:t xml:space="preserve"> O RE 626.307 está concluso para o Relator desde o dia </w:t>
      </w:r>
      <w:r w:rsidRPr="00B154FA">
        <w:rPr>
          <w:rFonts w:ascii="Times New Roman" w:hAnsi="Times New Roman"/>
          <w:b/>
          <w:sz w:val="24"/>
          <w:szCs w:val="24"/>
        </w:rPr>
        <w:t>14.04.2015</w:t>
      </w:r>
      <w:r>
        <w:rPr>
          <w:rFonts w:ascii="Times New Roman" w:hAnsi="Times New Roman"/>
          <w:sz w:val="24"/>
          <w:szCs w:val="24"/>
        </w:rPr>
        <w:t>, o que significa que dentro de alguns meses, caso não seja pautado para julgamento, completarão cinco anos que 375.072 processos estão à espera da decisão de mérito decorrente do Tema 264.</w:t>
      </w:r>
    </w:p>
    <w:p w:rsidR="00D549BC" w:rsidRDefault="00D549BC" w:rsidP="002B5A0C">
      <w:pPr>
        <w:spacing w:after="240"/>
        <w:contextualSpacing/>
        <w:rPr>
          <w:rFonts w:ascii="Times New Roman" w:hAnsi="Times New Roman"/>
          <w:sz w:val="24"/>
          <w:szCs w:val="24"/>
        </w:rPr>
      </w:pPr>
      <w:r>
        <w:rPr>
          <w:rFonts w:ascii="Times New Roman" w:hAnsi="Times New Roman"/>
          <w:sz w:val="24"/>
          <w:szCs w:val="24"/>
        </w:rPr>
        <w:t>Portanto, o desvirtuamento da Repercussão Geral, aqui sustentado, decorreria, principalmente, de dois fatores, a saber: (i) o Tribunal passou a reconhecer a Repercussão Geral em um excessivo número de casos, mormente em virtude da abstenção de voto no Plenário Virtual contar favoravelmente à caracterização da preliminar; (ii) segundo, como consequência do primeiro, a grande demora no julgamento de mérito dos processos com Repercussão Geral já reconhecida, o que acarreta sérias consequências, tendo em vista a possibilidade de sobrestamento dos recursos idênticos ao paradigmático.</w:t>
      </w:r>
    </w:p>
    <w:p w:rsidR="00D549BC" w:rsidRDefault="00D549BC" w:rsidP="00864856">
      <w:pPr>
        <w:spacing w:after="240"/>
        <w:ind w:firstLine="851"/>
        <w:contextualSpacing/>
        <w:rPr>
          <w:rFonts w:ascii="Times New Roman" w:hAnsi="Times New Roman"/>
          <w:sz w:val="24"/>
          <w:szCs w:val="24"/>
        </w:rPr>
      </w:pPr>
      <w:r>
        <w:rPr>
          <w:rFonts w:ascii="Times New Roman" w:hAnsi="Times New Roman"/>
          <w:sz w:val="24"/>
          <w:szCs w:val="24"/>
        </w:rPr>
        <w:t>Na tabela a seguir é possível termos uma melhor dimensão da quantidade de processos sobrestados em cada Tribunal do Brasil, incluídos aí os 26 Tribunais de Justiça dos Estados (TJ), os 5 Tribunais Regionais Federais (TRF), o Superior Tribunal de Justiça (STJ) e o Tribunal Superior do Trabalho (TST).</w:t>
      </w:r>
    </w:p>
    <w:p w:rsidR="00D549BC" w:rsidRDefault="00D549BC" w:rsidP="00864856">
      <w:pPr>
        <w:spacing w:after="240"/>
        <w:ind w:firstLine="851"/>
        <w:contextualSpacing/>
        <w:rPr>
          <w:rFonts w:ascii="Times New Roman" w:hAnsi="Times New Roman"/>
          <w:sz w:val="24"/>
          <w:szCs w:val="24"/>
        </w:rPr>
      </w:pPr>
    </w:p>
    <w:p w:rsidR="00D549BC" w:rsidRDefault="00D549BC" w:rsidP="00864856">
      <w:pPr>
        <w:spacing w:after="240"/>
        <w:ind w:firstLine="851"/>
        <w:contextualSpacing/>
        <w:rPr>
          <w:rFonts w:ascii="Times New Roman" w:hAnsi="Times New Roman"/>
          <w:sz w:val="24"/>
          <w:szCs w:val="24"/>
        </w:rPr>
      </w:pPr>
    </w:p>
    <w:p w:rsidR="00D549BC" w:rsidRDefault="00D549BC" w:rsidP="00864856">
      <w:pPr>
        <w:spacing w:after="240"/>
        <w:ind w:firstLine="851"/>
        <w:contextualSpacing/>
        <w:rPr>
          <w:rFonts w:ascii="Times New Roman" w:hAnsi="Times New Roman"/>
          <w:sz w:val="24"/>
          <w:szCs w:val="24"/>
        </w:rPr>
      </w:pPr>
    </w:p>
    <w:p w:rsidR="00D549BC" w:rsidRDefault="00D549BC" w:rsidP="00864856">
      <w:pPr>
        <w:spacing w:after="240"/>
        <w:ind w:firstLine="851"/>
        <w:contextualSpacing/>
        <w:rPr>
          <w:rFonts w:ascii="Times New Roman" w:hAnsi="Times New Roman"/>
          <w:sz w:val="24"/>
          <w:szCs w:val="24"/>
        </w:rPr>
      </w:pPr>
    </w:p>
    <w:tbl>
      <w:tblPr>
        <w:tblpPr w:leftFromText="141" w:rightFromText="141" w:vertAnchor="text" w:horzAnchor="margin" w:tblpX="715"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48"/>
        <w:gridCol w:w="1984"/>
        <w:gridCol w:w="2127"/>
      </w:tblGrid>
      <w:tr w:rsidR="00D549BC" w:rsidRPr="002739CC" w:rsidTr="0091043E">
        <w:trPr>
          <w:trHeight w:val="270"/>
        </w:trPr>
        <w:tc>
          <w:tcPr>
            <w:tcW w:w="8359" w:type="dxa"/>
            <w:gridSpan w:val="3"/>
          </w:tcPr>
          <w:p w:rsidR="00D549BC" w:rsidRPr="002739CC" w:rsidRDefault="00D549BC" w:rsidP="004C2437">
            <w:pPr>
              <w:ind w:firstLine="0"/>
              <w:jc w:val="center"/>
              <w:rPr>
                <w:rFonts w:ascii="Times New Roman" w:hAnsi="Times New Roman"/>
                <w:b/>
              </w:rPr>
            </w:pPr>
            <w:r w:rsidRPr="002739CC">
              <w:rPr>
                <w:rFonts w:ascii="Times New Roman" w:hAnsi="Times New Roman"/>
                <w:b/>
              </w:rPr>
              <w:t>Total de Processos Sobrestados pela Repercussão Geral por Tribunal</w:t>
            </w:r>
          </w:p>
        </w:tc>
      </w:tr>
      <w:tr w:rsidR="00D549BC" w:rsidRPr="002739CC" w:rsidTr="0091043E">
        <w:trPr>
          <w:trHeight w:val="530"/>
        </w:trPr>
        <w:tc>
          <w:tcPr>
            <w:tcW w:w="4248" w:type="dxa"/>
          </w:tcPr>
          <w:p w:rsidR="00D549BC" w:rsidRPr="002739CC" w:rsidRDefault="00D549BC" w:rsidP="004C2437">
            <w:pPr>
              <w:spacing w:after="240"/>
              <w:ind w:firstLine="0"/>
              <w:jc w:val="center"/>
              <w:rPr>
                <w:rFonts w:ascii="Times New Roman" w:hAnsi="Times New Roman"/>
                <w:b/>
              </w:rPr>
            </w:pPr>
            <w:r w:rsidRPr="002739CC">
              <w:rPr>
                <w:rFonts w:ascii="Times New Roman" w:hAnsi="Times New Roman"/>
                <w:b/>
              </w:rPr>
              <w:t>Tribunal</w:t>
            </w:r>
          </w:p>
        </w:tc>
        <w:tc>
          <w:tcPr>
            <w:tcW w:w="1984" w:type="dxa"/>
          </w:tcPr>
          <w:p w:rsidR="00D549BC" w:rsidRPr="002739CC" w:rsidRDefault="00D549BC" w:rsidP="004C2437">
            <w:pPr>
              <w:ind w:firstLine="0"/>
              <w:rPr>
                <w:rFonts w:ascii="Times New Roman" w:hAnsi="Times New Roman"/>
                <w:b/>
              </w:rPr>
            </w:pPr>
            <w:r w:rsidRPr="002739CC">
              <w:rPr>
                <w:rFonts w:ascii="Times New Roman" w:hAnsi="Times New Roman"/>
                <w:b/>
              </w:rPr>
              <w:t>Data de atualização</w:t>
            </w:r>
          </w:p>
        </w:tc>
        <w:tc>
          <w:tcPr>
            <w:tcW w:w="2127" w:type="dxa"/>
          </w:tcPr>
          <w:p w:rsidR="00D549BC" w:rsidRPr="002739CC" w:rsidRDefault="00D549BC" w:rsidP="004C2437">
            <w:pPr>
              <w:ind w:firstLine="0"/>
              <w:rPr>
                <w:rFonts w:ascii="Times New Roman" w:hAnsi="Times New Roman"/>
                <w:b/>
              </w:rPr>
            </w:pPr>
            <w:r w:rsidRPr="002739CC">
              <w:rPr>
                <w:rFonts w:ascii="Times New Roman" w:hAnsi="Times New Roman"/>
                <w:b/>
              </w:rPr>
              <w:t>Número de Processos</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Superior Tribunal de Justiça - STJ</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4.133</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da Bahia</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19/03/2015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5.283</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da Paraíba</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773</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de Alagoas</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17/03/2015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49</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de Minas Gerais</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19.888</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 xml:space="preserve">Tribunal de Justiça de Pernambuco </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2.267</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de Rondônia</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177</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de Roraima</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905</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de Santa Catarina</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102.671</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de São Paulo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336.440</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de Sergipe</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1.154</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Acre</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23/03/2015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319</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Amapá</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22</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Amazonas</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17/03/2015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179</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Ceará</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388</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Distrito Federal e Territórios</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4.068</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Espírito Santo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285</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Goiás</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17/03/2015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448</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Maranhão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813</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Mato Grosso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538</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Mato Grosso do Sul</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17/03/2015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2.445</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Pará</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2.745</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Piauí</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17/03/2015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257</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Rio de Janeiro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14.159</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Rio Grande do Norte</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1.000</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Rio Grande do Sul</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141.252</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de Justiça do Tocantins</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49</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Regional Federal da 1ª Região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13/03/2015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9.195</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Regional Federal da 2ª Região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19/03/2015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53.035</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Regional Federal da 3ª Região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16/03/2015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27.095</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Regional Federal da 4ª Região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19/03/2015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210.414</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Tribunal Regional Federal da 5ª Região</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19/03/2015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15.769</w:t>
            </w:r>
          </w:p>
        </w:tc>
      </w:tr>
      <w:tr w:rsidR="00D549BC" w:rsidRPr="002739CC" w:rsidTr="0091043E">
        <w:trPr>
          <w:trHeight w:val="530"/>
        </w:trPr>
        <w:tc>
          <w:tcPr>
            <w:tcW w:w="4248" w:type="dxa"/>
          </w:tcPr>
          <w:p w:rsidR="00D549BC" w:rsidRPr="002739CC" w:rsidRDefault="00D549BC" w:rsidP="004C2437">
            <w:pPr>
              <w:ind w:firstLine="0"/>
              <w:rPr>
                <w:rFonts w:ascii="Times New Roman" w:hAnsi="Times New Roman"/>
              </w:rPr>
            </w:pPr>
            <w:r w:rsidRPr="002739CC">
              <w:rPr>
                <w:rFonts w:ascii="Times New Roman" w:hAnsi="Times New Roman"/>
              </w:rPr>
              <w:t xml:space="preserve">Tribunal Superior do Trabalho - TST </w:t>
            </w:r>
          </w:p>
        </w:tc>
        <w:tc>
          <w:tcPr>
            <w:tcW w:w="1984" w:type="dxa"/>
          </w:tcPr>
          <w:p w:rsidR="00D549BC" w:rsidRPr="002739CC" w:rsidRDefault="00D549BC" w:rsidP="004C2437">
            <w:pPr>
              <w:ind w:firstLine="0"/>
              <w:rPr>
                <w:rFonts w:ascii="Times New Roman" w:hAnsi="Times New Roman"/>
              </w:rPr>
            </w:pPr>
            <w:r w:rsidRPr="002739CC">
              <w:rPr>
                <w:rFonts w:ascii="Times New Roman" w:hAnsi="Times New Roman"/>
              </w:rPr>
              <w:t>17/03/2015</w:t>
            </w:r>
          </w:p>
        </w:tc>
        <w:tc>
          <w:tcPr>
            <w:tcW w:w="2127" w:type="dxa"/>
          </w:tcPr>
          <w:p w:rsidR="00D549BC" w:rsidRPr="002739CC" w:rsidRDefault="00D549BC" w:rsidP="004C2437">
            <w:pPr>
              <w:ind w:firstLine="0"/>
              <w:jc w:val="right"/>
              <w:rPr>
                <w:rFonts w:ascii="Times New Roman" w:hAnsi="Times New Roman"/>
              </w:rPr>
            </w:pPr>
            <w:r w:rsidRPr="002739CC">
              <w:rPr>
                <w:rFonts w:ascii="Times New Roman" w:hAnsi="Times New Roman"/>
              </w:rPr>
              <w:t>47.452</w:t>
            </w:r>
          </w:p>
        </w:tc>
      </w:tr>
      <w:tr w:rsidR="00D549BC" w:rsidRPr="002739CC" w:rsidTr="0091043E">
        <w:trPr>
          <w:trHeight w:val="495"/>
        </w:trPr>
        <w:tc>
          <w:tcPr>
            <w:tcW w:w="4248" w:type="dxa"/>
          </w:tcPr>
          <w:p w:rsidR="00D549BC" w:rsidRPr="002739CC" w:rsidRDefault="00D549BC" w:rsidP="004C2437">
            <w:pPr>
              <w:ind w:firstLine="0"/>
              <w:rPr>
                <w:rFonts w:ascii="Times New Roman" w:hAnsi="Times New Roman"/>
                <w:b/>
              </w:rPr>
            </w:pPr>
            <w:r w:rsidRPr="002739CC">
              <w:rPr>
                <w:rFonts w:ascii="Times New Roman" w:hAnsi="Times New Roman"/>
                <w:b/>
              </w:rPr>
              <w:t xml:space="preserve">Total de Processos sobrestados em todo país </w:t>
            </w:r>
          </w:p>
        </w:tc>
        <w:tc>
          <w:tcPr>
            <w:tcW w:w="4111" w:type="dxa"/>
            <w:gridSpan w:val="2"/>
          </w:tcPr>
          <w:p w:rsidR="00D549BC" w:rsidRPr="002739CC" w:rsidRDefault="00D549BC" w:rsidP="004C2437">
            <w:pPr>
              <w:ind w:firstLine="0"/>
              <w:jc w:val="right"/>
              <w:rPr>
                <w:rFonts w:ascii="Times New Roman" w:hAnsi="Times New Roman"/>
                <w:b/>
              </w:rPr>
            </w:pPr>
            <w:r w:rsidRPr="002739CC">
              <w:rPr>
                <w:rFonts w:ascii="Times New Roman" w:hAnsi="Times New Roman"/>
                <w:b/>
              </w:rPr>
              <w:t>1.019.937</w:t>
            </w:r>
          </w:p>
        </w:tc>
      </w:tr>
    </w:tbl>
    <w:p w:rsidR="00D549BC" w:rsidRPr="00CD5836" w:rsidRDefault="00D549BC" w:rsidP="00CD5836">
      <w:pPr>
        <w:spacing w:after="240"/>
        <w:contextualSpacing/>
        <w:rPr>
          <w:rFonts w:ascii="Times New Roman" w:hAnsi="Times New Roman"/>
          <w:sz w:val="20"/>
          <w:szCs w:val="20"/>
        </w:rPr>
      </w:pPr>
      <w:r w:rsidRPr="00CD5836">
        <w:rPr>
          <w:rFonts w:ascii="Times New Roman" w:hAnsi="Times New Roman"/>
          <w:sz w:val="20"/>
          <w:szCs w:val="20"/>
        </w:rPr>
        <w:t>Fonte: o autor - a partir de dados do STF</w:t>
      </w:r>
    </w:p>
    <w:p w:rsidR="00D549BC" w:rsidRDefault="00D549BC" w:rsidP="00E91C1F">
      <w:pPr>
        <w:spacing w:after="240"/>
        <w:ind w:firstLine="851"/>
        <w:contextualSpacing/>
        <w:rPr>
          <w:rFonts w:ascii="Times New Roman" w:hAnsi="Times New Roman"/>
          <w:sz w:val="24"/>
          <w:szCs w:val="24"/>
        </w:rPr>
      </w:pPr>
    </w:p>
    <w:p w:rsidR="00D549BC" w:rsidRDefault="00D549BC" w:rsidP="00612142">
      <w:pPr>
        <w:spacing w:after="240"/>
        <w:contextualSpacing/>
        <w:rPr>
          <w:rFonts w:ascii="Times New Roman" w:hAnsi="Times New Roman"/>
          <w:sz w:val="24"/>
          <w:szCs w:val="24"/>
        </w:rPr>
      </w:pPr>
      <w:r>
        <w:rPr>
          <w:rFonts w:ascii="Times New Roman" w:hAnsi="Times New Roman"/>
          <w:sz w:val="24"/>
          <w:szCs w:val="24"/>
        </w:rPr>
        <w:t>Os números acima evidenciam que o STF precisa, o quanto antes, repensar sua atuação nessa matéria, notadamente para o fim de reavaliar o próprio conceito de Repercussão Geral – que deveria ser a exceção e não a regra. Na prática, isso significaria limitar o reconhecimento de novas Repercussões Gerais e, principalmente, administrar, com a maior celeridade possível, o atual estoque de Repercussões Gerais já admitidas, diante dos milhares de processos que estão estagnados nas instâncias originárias de todo o país.</w:t>
      </w:r>
    </w:p>
    <w:p w:rsidR="00D549BC" w:rsidRDefault="00D549BC" w:rsidP="00DC7AA0">
      <w:pPr>
        <w:spacing w:after="240"/>
        <w:contextualSpacing/>
        <w:rPr>
          <w:rFonts w:ascii="Times New Roman" w:hAnsi="Times New Roman"/>
          <w:sz w:val="24"/>
          <w:szCs w:val="24"/>
        </w:rPr>
      </w:pPr>
      <w:r>
        <w:rPr>
          <w:rFonts w:ascii="Times New Roman" w:hAnsi="Times New Roman"/>
          <w:sz w:val="24"/>
          <w:szCs w:val="24"/>
        </w:rPr>
        <w:t>A Jurisdição Constitucional demanda, ao mesmo tempo, eficiência e celeridade, ainda que seja penoso conciliá-los, sendo que essas exigências decorrem de comandos constitucionais, lapidados em nossa atual Carta Política. Portanto, segundo as palavras de LUÍS ROBERTO BARROSO,</w:t>
      </w:r>
      <w:r>
        <w:rPr>
          <w:rStyle w:val="FootnoteReference"/>
          <w:rFonts w:ascii="Times New Roman" w:hAnsi="Times New Roman"/>
          <w:sz w:val="24"/>
          <w:szCs w:val="24"/>
        </w:rPr>
        <w:footnoteReference w:id="230"/>
      </w:r>
      <w:r>
        <w:rPr>
          <w:rFonts w:ascii="Times New Roman" w:hAnsi="Times New Roman"/>
          <w:sz w:val="24"/>
          <w:szCs w:val="24"/>
        </w:rPr>
        <w:t xml:space="preserve"> “ o novo modelo foi criado para o Supremo Tribunal Federal selecionar, com critério e transparência, o que vai efetivamente julgar. E não para ficar vergado sob o peso de um trabalho de baixa relevância, levando mais de uma década para concluir o julgamento dos processos”. </w:t>
      </w:r>
    </w:p>
    <w:p w:rsidR="00D549BC" w:rsidRDefault="00D549BC" w:rsidP="00DC7AA0">
      <w:pPr>
        <w:spacing w:after="240"/>
        <w:contextualSpacing/>
        <w:rPr>
          <w:rFonts w:ascii="Times New Roman" w:hAnsi="Times New Roman"/>
          <w:sz w:val="24"/>
          <w:szCs w:val="24"/>
        </w:rPr>
      </w:pPr>
      <w:r>
        <w:rPr>
          <w:rFonts w:ascii="Times New Roman" w:hAnsi="Times New Roman"/>
          <w:sz w:val="24"/>
          <w:szCs w:val="24"/>
        </w:rPr>
        <w:t>Veremos, no tópico seguinte, que o ano de 2014 foi de mudanças na pauta institucional da Corte Suprema brasileira, principalmente em decorrência das ideias defendidas pelo Ministro Luís Roberto Barroso, o qual – e isso ele não esconde de ninguém – almeja, ainda que a longo prazo, transformar o Supremo Tribunal Federal em verdadeira Corte Constitucional. A sua bandeira é a racionalização dos trabalhos na Corte.</w:t>
      </w:r>
    </w:p>
    <w:p w:rsidR="00D549BC" w:rsidRPr="00050421" w:rsidRDefault="00D549BC" w:rsidP="00E91C1F">
      <w:pPr>
        <w:spacing w:after="240"/>
        <w:ind w:firstLine="851"/>
        <w:contextualSpacing/>
        <w:rPr>
          <w:rFonts w:ascii="Times New Roman" w:hAnsi="Times New Roman"/>
          <w:sz w:val="24"/>
        </w:rPr>
      </w:pPr>
      <w:r w:rsidRPr="00050421">
        <w:rPr>
          <w:rFonts w:ascii="Times New Roman" w:hAnsi="Times New Roman"/>
          <w:sz w:val="24"/>
        </w:rPr>
        <w:t>Segundo as palavras do próprio Minis</w:t>
      </w:r>
      <w:r>
        <w:rPr>
          <w:rFonts w:ascii="Times New Roman" w:hAnsi="Times New Roman"/>
          <w:sz w:val="24"/>
        </w:rPr>
        <w:t>tro,</w:t>
      </w:r>
      <w:r w:rsidRPr="00050421">
        <w:rPr>
          <w:rFonts w:ascii="Times New Roman" w:hAnsi="Times New Roman"/>
          <w:sz w:val="24"/>
        </w:rPr>
        <w:t xml:space="preserve"> ao responder indagação do site jurídico </w:t>
      </w:r>
      <w:r w:rsidRPr="00050421">
        <w:rPr>
          <w:rFonts w:ascii="Times New Roman" w:hAnsi="Times New Roman"/>
          <w:i/>
          <w:sz w:val="24"/>
        </w:rPr>
        <w:t>Os Constitucionalistas</w:t>
      </w:r>
      <w:r w:rsidRPr="00050421">
        <w:rPr>
          <w:rFonts w:ascii="Times New Roman" w:hAnsi="Times New Roman"/>
          <w:sz w:val="24"/>
        </w:rPr>
        <w:t xml:space="preserve"> sobre a “bandeira” que ele defende: </w:t>
      </w:r>
    </w:p>
    <w:p w:rsidR="00D549BC" w:rsidRDefault="00D549BC" w:rsidP="00D9281D">
      <w:pPr>
        <w:spacing w:after="240" w:line="240" w:lineRule="auto"/>
        <w:ind w:left="2268" w:firstLine="0"/>
        <w:contextualSpacing/>
        <w:rPr>
          <w:rFonts w:ascii="Times New Roman" w:hAnsi="Times New Roman"/>
        </w:rPr>
      </w:pPr>
      <w:r>
        <w:rPr>
          <w:rFonts w:ascii="Times New Roman" w:hAnsi="Times New Roman"/>
        </w:rPr>
        <w:t xml:space="preserve">Eu </w:t>
      </w:r>
      <w:r w:rsidRPr="00611209">
        <w:rPr>
          <w:rFonts w:ascii="Times New Roman" w:hAnsi="Times New Roman"/>
        </w:rPr>
        <w:t>estou em campanha pela racionalização do trabalho do Supre</w:t>
      </w:r>
      <w:r>
        <w:rPr>
          <w:rFonts w:ascii="Times New Roman" w:hAnsi="Times New Roman"/>
        </w:rPr>
        <w:t>mo. Em campanha para criar uma C</w:t>
      </w:r>
      <w:r w:rsidRPr="00611209">
        <w:rPr>
          <w:rFonts w:ascii="Times New Roman" w:hAnsi="Times New Roman"/>
        </w:rPr>
        <w:t xml:space="preserve">orte verdadeiramente constitucional, que julgue dentro das suas limitações. </w:t>
      </w:r>
      <w:r w:rsidRPr="00D9281D">
        <w:rPr>
          <w:rFonts w:ascii="Times New Roman" w:hAnsi="Times New Roman"/>
          <w:i/>
        </w:rPr>
        <w:t>Não tenho nenhum orgulho do volume de processos que o Supremo julga</w:t>
      </w:r>
      <w:r w:rsidRPr="00611209">
        <w:rPr>
          <w:rFonts w:ascii="Times New Roman" w:hAnsi="Times New Roman"/>
        </w:rPr>
        <w:t>. A jurisdição constitucional não tem de ser de quantidade, tem de ser de qualidade. Essa é a minha cruzada atual</w:t>
      </w:r>
      <w:r>
        <w:rPr>
          <w:rFonts w:ascii="Times New Roman" w:hAnsi="Times New Roman"/>
        </w:rPr>
        <w:t>.</w:t>
      </w:r>
      <w:r>
        <w:rPr>
          <w:rStyle w:val="FootnoteReference"/>
          <w:rFonts w:ascii="Times New Roman" w:hAnsi="Times New Roman"/>
        </w:rPr>
        <w:footnoteReference w:id="231"/>
      </w:r>
    </w:p>
    <w:p w:rsidR="00D549BC" w:rsidRDefault="00D549BC" w:rsidP="00D9281D">
      <w:pPr>
        <w:spacing w:after="240" w:line="240" w:lineRule="auto"/>
        <w:contextualSpacing/>
        <w:rPr>
          <w:rFonts w:ascii="Times New Roman" w:hAnsi="Times New Roman"/>
        </w:rPr>
      </w:pPr>
    </w:p>
    <w:p w:rsidR="00D549BC" w:rsidRPr="00D9281D" w:rsidRDefault="00D549BC" w:rsidP="00D9281D">
      <w:pPr>
        <w:spacing w:after="240"/>
        <w:ind w:firstLine="851"/>
        <w:contextualSpacing/>
        <w:rPr>
          <w:rFonts w:ascii="Times New Roman" w:hAnsi="Times New Roman"/>
          <w:sz w:val="24"/>
          <w:szCs w:val="24"/>
        </w:rPr>
      </w:pPr>
    </w:p>
    <w:p w:rsidR="00D549BC" w:rsidRPr="006575D5" w:rsidRDefault="00D549BC" w:rsidP="00FE2FB5">
      <w:pPr>
        <w:spacing w:after="240"/>
        <w:ind w:firstLine="0"/>
        <w:contextualSpacing/>
        <w:rPr>
          <w:rFonts w:ascii="Times New Roman" w:hAnsi="Times New Roman"/>
          <w:sz w:val="24"/>
          <w:szCs w:val="24"/>
        </w:rPr>
      </w:pPr>
      <w:r w:rsidRPr="006575D5">
        <w:rPr>
          <w:rFonts w:ascii="Times New Roman" w:hAnsi="Times New Roman"/>
          <w:sz w:val="24"/>
          <w:szCs w:val="24"/>
        </w:rPr>
        <w:t xml:space="preserve">4.3 A PAUTA INSTITUCIONAL DO SUPREMO TRIBUNAL FEDERAL EM 2014: RACIONALIZAÇÃO DOS TRABALHOS </w:t>
      </w:r>
    </w:p>
    <w:p w:rsidR="00D549BC" w:rsidRPr="00FE2FB5" w:rsidRDefault="00D549BC" w:rsidP="00FE2FB5">
      <w:pPr>
        <w:spacing w:after="240"/>
        <w:ind w:firstLine="0"/>
        <w:contextualSpacing/>
        <w:rPr>
          <w:rFonts w:ascii="Times New Roman" w:hAnsi="Times New Roman"/>
          <w:b/>
          <w:sz w:val="24"/>
          <w:szCs w:val="24"/>
        </w:rPr>
      </w:pPr>
    </w:p>
    <w:p w:rsidR="00D549BC" w:rsidRPr="006575D5" w:rsidRDefault="00D549BC" w:rsidP="001923DB">
      <w:pPr>
        <w:spacing w:after="240"/>
        <w:ind w:firstLine="0"/>
        <w:contextualSpacing/>
        <w:rPr>
          <w:rFonts w:ascii="Times New Roman" w:hAnsi="Times New Roman"/>
          <w:b/>
          <w:sz w:val="24"/>
          <w:szCs w:val="24"/>
        </w:rPr>
      </w:pPr>
      <w:r w:rsidRPr="006575D5">
        <w:rPr>
          <w:rFonts w:ascii="Times New Roman" w:hAnsi="Times New Roman"/>
          <w:b/>
          <w:sz w:val="24"/>
          <w:szCs w:val="24"/>
        </w:rPr>
        <w:t xml:space="preserve">4.3.1 - O que seria uma pauta institucional? </w:t>
      </w:r>
    </w:p>
    <w:p w:rsidR="00D549BC" w:rsidRDefault="00D549BC" w:rsidP="001923DB">
      <w:pPr>
        <w:spacing w:after="240"/>
        <w:ind w:firstLine="0"/>
        <w:contextualSpacing/>
        <w:rPr>
          <w:rFonts w:ascii="Times New Roman" w:hAnsi="Times New Roman"/>
          <w:sz w:val="24"/>
          <w:szCs w:val="24"/>
        </w:rPr>
      </w:pPr>
    </w:p>
    <w:p w:rsidR="00D549BC" w:rsidRDefault="00D549BC" w:rsidP="006575D5">
      <w:pPr>
        <w:spacing w:after="240"/>
        <w:contextualSpacing/>
        <w:rPr>
          <w:rFonts w:ascii="Times New Roman" w:hAnsi="Times New Roman"/>
          <w:sz w:val="24"/>
          <w:szCs w:val="24"/>
        </w:rPr>
      </w:pPr>
      <w:r>
        <w:rPr>
          <w:rFonts w:ascii="Times New Roman" w:hAnsi="Times New Roman"/>
          <w:sz w:val="24"/>
          <w:szCs w:val="24"/>
        </w:rPr>
        <w:t>Primeiramente, cabe esclarecermos o que entendemos por pauta institucional, a fim de apontarmos quais foram as principais mudanças que aconteceram no ano de 2014 em relação ao Supremo Tribunal Federal. A pauta institucional, seguindo as lições do Ministro Luís Roberto Barroso,</w:t>
      </w:r>
      <w:r>
        <w:rPr>
          <w:rStyle w:val="FootnoteReference"/>
          <w:rFonts w:ascii="Times New Roman" w:hAnsi="Times New Roman"/>
          <w:sz w:val="24"/>
          <w:szCs w:val="24"/>
        </w:rPr>
        <w:footnoteReference w:id="232"/>
      </w:r>
      <w:r>
        <w:rPr>
          <w:rFonts w:ascii="Times New Roman" w:hAnsi="Times New Roman"/>
          <w:sz w:val="24"/>
          <w:szCs w:val="24"/>
        </w:rPr>
        <w:t xml:space="preserve"> diz respeito ao aprimoramento da atuação do Supremo Tribunal Federal, assim como o esforço de racionalização na gestão de uma sobrecarga processos (principalmente AREs, REs e AIs). </w:t>
      </w:r>
    </w:p>
    <w:p w:rsidR="00D549BC" w:rsidRDefault="00D549BC" w:rsidP="006575D5">
      <w:pPr>
        <w:spacing w:after="240"/>
        <w:contextualSpacing/>
        <w:rPr>
          <w:rFonts w:ascii="Times New Roman" w:hAnsi="Times New Roman"/>
          <w:sz w:val="24"/>
          <w:szCs w:val="24"/>
        </w:rPr>
      </w:pPr>
      <w:r>
        <w:rPr>
          <w:rFonts w:ascii="Times New Roman" w:hAnsi="Times New Roman"/>
          <w:sz w:val="24"/>
          <w:szCs w:val="24"/>
        </w:rPr>
        <w:t xml:space="preserve">Com efeito, a pauta institucional de um Tribunal engloba questões relacionadas tanto à litigiosidade quanto à produtividade. </w:t>
      </w:r>
      <w:r w:rsidRPr="006575D5">
        <w:rPr>
          <w:rFonts w:ascii="Times New Roman" w:hAnsi="Times New Roman"/>
          <w:sz w:val="24"/>
          <w:szCs w:val="24"/>
        </w:rPr>
        <w:t>Ademais</w:t>
      </w:r>
      <w:r>
        <w:rPr>
          <w:rFonts w:ascii="Times New Roman" w:hAnsi="Times New Roman"/>
          <w:sz w:val="24"/>
          <w:szCs w:val="24"/>
        </w:rPr>
        <w:t xml:space="preserve">, envolve, também, as reformas institucionais, que são aquelas promovidas pelo próprio órgão jurisdicional por meio de alterações em seu Regimento Interno. </w:t>
      </w:r>
    </w:p>
    <w:p w:rsidR="00D549BC" w:rsidRDefault="00D549BC" w:rsidP="001923DB">
      <w:pPr>
        <w:spacing w:after="240"/>
        <w:ind w:firstLine="851"/>
        <w:contextualSpacing/>
        <w:rPr>
          <w:rFonts w:ascii="Times New Roman" w:hAnsi="Times New Roman"/>
          <w:sz w:val="24"/>
          <w:szCs w:val="24"/>
        </w:rPr>
      </w:pPr>
      <w:r>
        <w:rPr>
          <w:rFonts w:ascii="Times New Roman" w:hAnsi="Times New Roman"/>
          <w:sz w:val="24"/>
          <w:szCs w:val="24"/>
        </w:rPr>
        <w:t xml:space="preserve">Posto isso, analisar-se-ão, as principais propostas trazidas à tona pelo Ministro Luís Roberto Barroso com a finalidade de racionalizar a pauta institucional do Supremo Tribunal Federal e, por conseguinte, transformá-lo em autêntica </w:t>
      </w:r>
      <w:r w:rsidRPr="0094641C">
        <w:rPr>
          <w:rFonts w:ascii="Times New Roman" w:hAnsi="Times New Roman"/>
          <w:i/>
          <w:sz w:val="24"/>
          <w:szCs w:val="24"/>
        </w:rPr>
        <w:t>Corte Constitucional</w:t>
      </w:r>
      <w:r>
        <w:rPr>
          <w:rFonts w:ascii="Times New Roman" w:hAnsi="Times New Roman"/>
          <w:sz w:val="24"/>
          <w:szCs w:val="24"/>
        </w:rPr>
        <w:t>.</w:t>
      </w:r>
    </w:p>
    <w:p w:rsidR="00D549BC" w:rsidRDefault="00D549BC" w:rsidP="00A40E6B">
      <w:pPr>
        <w:spacing w:after="240"/>
        <w:ind w:firstLine="0"/>
        <w:contextualSpacing/>
        <w:rPr>
          <w:rFonts w:ascii="Times New Roman" w:hAnsi="Times New Roman"/>
          <w:sz w:val="24"/>
          <w:szCs w:val="24"/>
        </w:rPr>
      </w:pPr>
    </w:p>
    <w:p w:rsidR="00D549BC" w:rsidRPr="00DD5839" w:rsidRDefault="00D549BC" w:rsidP="0094641C">
      <w:pPr>
        <w:spacing w:after="240"/>
        <w:ind w:firstLine="0"/>
        <w:contextualSpacing/>
        <w:rPr>
          <w:rFonts w:ascii="Times New Roman" w:hAnsi="Times New Roman"/>
          <w:b/>
          <w:sz w:val="24"/>
          <w:szCs w:val="24"/>
        </w:rPr>
      </w:pPr>
      <w:r w:rsidRPr="00DD5839">
        <w:rPr>
          <w:rFonts w:ascii="Times New Roman" w:hAnsi="Times New Roman"/>
          <w:b/>
          <w:sz w:val="24"/>
          <w:szCs w:val="24"/>
        </w:rPr>
        <w:t xml:space="preserve">4.3.2 O Ministro Luís Roberto Barroso: arquiteto institucional?    </w:t>
      </w:r>
    </w:p>
    <w:p w:rsidR="00D549BC" w:rsidRDefault="00D549BC" w:rsidP="001923DB">
      <w:pPr>
        <w:spacing w:after="240"/>
        <w:ind w:firstLine="851"/>
        <w:contextualSpacing/>
        <w:rPr>
          <w:rFonts w:ascii="Times New Roman" w:hAnsi="Times New Roman"/>
          <w:sz w:val="24"/>
          <w:szCs w:val="24"/>
        </w:rPr>
      </w:pPr>
      <w:r>
        <w:rPr>
          <w:rFonts w:ascii="Times New Roman" w:hAnsi="Times New Roman"/>
          <w:sz w:val="24"/>
          <w:szCs w:val="24"/>
        </w:rPr>
        <w:t xml:space="preserve">  </w:t>
      </w:r>
    </w:p>
    <w:p w:rsidR="00D549BC" w:rsidRDefault="00D549BC" w:rsidP="00DD5839">
      <w:pPr>
        <w:spacing w:after="240"/>
        <w:contextualSpacing/>
        <w:rPr>
          <w:rFonts w:ascii="Times New Roman" w:hAnsi="Times New Roman"/>
          <w:sz w:val="24"/>
          <w:szCs w:val="24"/>
        </w:rPr>
      </w:pPr>
      <w:r>
        <w:rPr>
          <w:rFonts w:ascii="Times New Roman" w:hAnsi="Times New Roman"/>
          <w:sz w:val="24"/>
          <w:szCs w:val="24"/>
        </w:rPr>
        <w:t xml:space="preserve">No dia 26 de agosto de 2014, o Ministro do STF, Luís Roberto Barroso, publicizou, pela primeira vez, em palestra proferida na </w:t>
      </w:r>
      <w:r w:rsidRPr="00DE3AAD">
        <w:rPr>
          <w:rFonts w:ascii="Times New Roman" w:hAnsi="Times New Roman"/>
          <w:sz w:val="24"/>
          <w:szCs w:val="24"/>
        </w:rPr>
        <w:t>Associação dos Advogados de São Paulo (AASP)</w:t>
      </w:r>
      <w:r>
        <w:rPr>
          <w:rFonts w:ascii="Times New Roman" w:hAnsi="Times New Roman"/>
          <w:sz w:val="24"/>
          <w:szCs w:val="24"/>
        </w:rPr>
        <w:t xml:space="preserve">, suas </w:t>
      </w:r>
      <w:r w:rsidRPr="00DE3AAD">
        <w:rPr>
          <w:rFonts w:ascii="Times New Roman" w:hAnsi="Times New Roman"/>
          <w:sz w:val="24"/>
          <w:szCs w:val="24"/>
        </w:rPr>
        <w:t>reflexões acerca das competências e</w:t>
      </w:r>
      <w:r>
        <w:rPr>
          <w:rFonts w:ascii="Times New Roman" w:hAnsi="Times New Roman"/>
          <w:sz w:val="24"/>
          <w:szCs w:val="24"/>
        </w:rPr>
        <w:t xml:space="preserve"> </w:t>
      </w:r>
      <w:r w:rsidRPr="00DE3AAD">
        <w:rPr>
          <w:rFonts w:ascii="Times New Roman" w:hAnsi="Times New Roman"/>
          <w:sz w:val="24"/>
          <w:szCs w:val="24"/>
        </w:rPr>
        <w:t>do funcionamento do Supremo Tribunal Federal</w:t>
      </w:r>
      <w:r>
        <w:rPr>
          <w:rFonts w:ascii="Times New Roman" w:hAnsi="Times New Roman"/>
          <w:sz w:val="24"/>
          <w:szCs w:val="24"/>
        </w:rPr>
        <w:t>.</w:t>
      </w:r>
      <w:r>
        <w:rPr>
          <w:rStyle w:val="FootnoteReference"/>
          <w:rFonts w:ascii="Times New Roman" w:hAnsi="Times New Roman"/>
          <w:sz w:val="24"/>
          <w:szCs w:val="24"/>
        </w:rPr>
        <w:footnoteReference w:id="233"/>
      </w:r>
      <w:r>
        <w:rPr>
          <w:rFonts w:ascii="Times New Roman" w:hAnsi="Times New Roman"/>
          <w:sz w:val="24"/>
          <w:szCs w:val="24"/>
        </w:rPr>
        <w:t xml:space="preserve"> O conteúdo da palestra foi um breve texto, no qual o Ministro defendia uma série de reformas institucionais no âmbito da Suprema Corte brasileira com um duplo objetivo: (i) racionalizar a sobrecarga de trabalhos; e (ii) transformar o STF em autêntica Corte Constitucional.</w:t>
      </w:r>
    </w:p>
    <w:p w:rsidR="00D549BC" w:rsidRDefault="00D549BC" w:rsidP="00DE3AAD">
      <w:pPr>
        <w:spacing w:after="240"/>
        <w:ind w:firstLine="851"/>
        <w:contextualSpacing/>
        <w:rPr>
          <w:rFonts w:ascii="Times New Roman" w:hAnsi="Times New Roman"/>
          <w:sz w:val="24"/>
          <w:szCs w:val="24"/>
        </w:rPr>
      </w:pPr>
      <w:r>
        <w:rPr>
          <w:rFonts w:ascii="Times New Roman" w:hAnsi="Times New Roman"/>
          <w:sz w:val="24"/>
          <w:szCs w:val="24"/>
        </w:rPr>
        <w:t xml:space="preserve">Pela análise do texto, posteriormente disponibilizado em seu </w:t>
      </w:r>
      <w:r w:rsidRPr="005856F5">
        <w:rPr>
          <w:rFonts w:ascii="Times New Roman" w:hAnsi="Times New Roman"/>
          <w:i/>
          <w:sz w:val="24"/>
          <w:szCs w:val="24"/>
        </w:rPr>
        <w:t>site</w:t>
      </w:r>
      <w:r>
        <w:rPr>
          <w:rFonts w:ascii="Times New Roman" w:hAnsi="Times New Roman"/>
          <w:sz w:val="24"/>
          <w:szCs w:val="24"/>
        </w:rPr>
        <w:t xml:space="preserve"> pessoal, é possível visualizarmos, na pessoa/fala do Ministro Barroso, as características de um autêntico reformista, melhor dizendo, </w:t>
      </w:r>
      <w:r w:rsidRPr="007A7C36">
        <w:rPr>
          <w:rFonts w:ascii="Times New Roman" w:hAnsi="Times New Roman"/>
          <w:i/>
          <w:sz w:val="24"/>
          <w:szCs w:val="24"/>
        </w:rPr>
        <w:t>arquiteto institucional</w:t>
      </w:r>
      <w:r>
        <w:rPr>
          <w:rFonts w:ascii="Times New Roman" w:hAnsi="Times New Roman"/>
          <w:sz w:val="24"/>
          <w:szCs w:val="24"/>
        </w:rPr>
        <w:t>. Tentaremos, por conseguinte, fazer breve síntese das propostas sugeridas pelo Ministro e, posteriormente, no tópico seguinte (4.3.3), analisaremos quais dessas propostas já foram implementadas.</w:t>
      </w:r>
    </w:p>
    <w:p w:rsidR="00D549BC" w:rsidRDefault="00D549BC" w:rsidP="001D399C">
      <w:pPr>
        <w:spacing w:after="240"/>
        <w:contextualSpacing/>
        <w:rPr>
          <w:rFonts w:ascii="Times New Roman" w:hAnsi="Times New Roman"/>
          <w:sz w:val="24"/>
          <w:szCs w:val="24"/>
        </w:rPr>
      </w:pPr>
      <w:r>
        <w:rPr>
          <w:rFonts w:ascii="Times New Roman" w:hAnsi="Times New Roman"/>
          <w:sz w:val="24"/>
          <w:szCs w:val="24"/>
        </w:rPr>
        <w:t xml:space="preserve">Antes de indicar quais seriam os supostos caminhos a serem seguidos pela Corte no intuito de enfrentar a crise de funcionalidade e racionalizar os trabalhos, o Ministro nos aponta os atuais três “grandes gargalos no STF”: (i) o congestionamento do Plenário; (ii) o acúmulo de processos com Repercussão Geral reconhecida; por fim, (iii) o volume de </w:t>
      </w:r>
      <w:r w:rsidRPr="006025BD">
        <w:rPr>
          <w:rFonts w:ascii="Times New Roman" w:hAnsi="Times New Roman"/>
          <w:i/>
          <w:sz w:val="24"/>
          <w:szCs w:val="24"/>
        </w:rPr>
        <w:t>habeas corpus</w:t>
      </w:r>
      <w:r>
        <w:rPr>
          <w:rFonts w:ascii="Times New Roman" w:hAnsi="Times New Roman"/>
          <w:sz w:val="24"/>
          <w:szCs w:val="24"/>
        </w:rPr>
        <w:t xml:space="preserve">. </w:t>
      </w:r>
    </w:p>
    <w:p w:rsidR="00D549BC" w:rsidRDefault="00D549BC" w:rsidP="001D399C">
      <w:pPr>
        <w:spacing w:after="240"/>
        <w:contextualSpacing/>
        <w:rPr>
          <w:rFonts w:ascii="Times New Roman" w:hAnsi="Times New Roman"/>
          <w:sz w:val="24"/>
          <w:szCs w:val="24"/>
        </w:rPr>
      </w:pPr>
      <w:r>
        <w:rPr>
          <w:rFonts w:ascii="Times New Roman" w:hAnsi="Times New Roman"/>
          <w:sz w:val="24"/>
          <w:szCs w:val="24"/>
        </w:rPr>
        <w:t xml:space="preserve">Assim como o Ministro afirma que a questão quantitativa dos </w:t>
      </w:r>
      <w:r w:rsidRPr="005856F5">
        <w:rPr>
          <w:rFonts w:ascii="Times New Roman" w:hAnsi="Times New Roman"/>
          <w:i/>
          <w:sz w:val="24"/>
          <w:szCs w:val="24"/>
        </w:rPr>
        <w:t>habeas corpus</w:t>
      </w:r>
      <w:r>
        <w:rPr>
          <w:rFonts w:ascii="Times New Roman" w:hAnsi="Times New Roman"/>
          <w:sz w:val="24"/>
          <w:szCs w:val="24"/>
        </w:rPr>
        <w:t xml:space="preserve"> terá lugar em outro texto que tratará especificamente do assunto, também nós abortaremos a problemática referente aos números desse remédio constitucional, a fim de priorizarmos o objeto da presente pesquisa. </w:t>
      </w:r>
    </w:p>
    <w:p w:rsidR="00D549BC" w:rsidRDefault="00D549BC" w:rsidP="00D47867">
      <w:pPr>
        <w:spacing w:after="240"/>
        <w:contextualSpacing/>
        <w:rPr>
          <w:rFonts w:ascii="Times New Roman" w:hAnsi="Times New Roman"/>
          <w:sz w:val="24"/>
          <w:szCs w:val="24"/>
        </w:rPr>
      </w:pPr>
      <w:r>
        <w:rPr>
          <w:rFonts w:ascii="Times New Roman" w:hAnsi="Times New Roman"/>
          <w:sz w:val="24"/>
          <w:szCs w:val="24"/>
        </w:rPr>
        <w:t>Para enfrentar a problemática do congestionamento do Plenário, o Ministro defende a transferência de competências (do Plenário) para as Turmas do Supremo, sob o fundamento de que esse é um dos graves problemas que comprometem a funcionalidade e a celeridade na atuação do STF. Oportuno, então, colacionarmos parte do trecho em que se destaca alguns números referentes ao Plenário do STF:</w:t>
      </w:r>
    </w:p>
    <w:p w:rsidR="00D549BC" w:rsidRPr="0060007A" w:rsidRDefault="00D549BC" w:rsidP="0060007A">
      <w:pPr>
        <w:spacing w:after="240" w:line="240" w:lineRule="auto"/>
        <w:ind w:left="2268" w:firstLine="0"/>
        <w:contextualSpacing/>
        <w:rPr>
          <w:rFonts w:ascii="Times New Roman" w:hAnsi="Times New Roman"/>
          <w:szCs w:val="24"/>
        </w:rPr>
      </w:pPr>
      <w:r w:rsidRPr="0060007A">
        <w:rPr>
          <w:rFonts w:ascii="Times New Roman" w:hAnsi="Times New Roman"/>
          <w:szCs w:val="24"/>
        </w:rPr>
        <w:t xml:space="preserve">Segundo informações da Secretaria, com dados de dezembro de 2013, </w:t>
      </w:r>
      <w:r w:rsidRPr="003678DC">
        <w:rPr>
          <w:rFonts w:ascii="Times New Roman" w:hAnsi="Times New Roman"/>
          <w:i/>
          <w:szCs w:val="24"/>
        </w:rPr>
        <w:t>existia uma fila de 728 processos já liberados pelos relatores, todos aguardando vez na pauta do Plenário</w:t>
      </w:r>
      <w:r w:rsidRPr="0060007A">
        <w:rPr>
          <w:rFonts w:ascii="Times New Roman" w:hAnsi="Times New Roman"/>
          <w:szCs w:val="24"/>
        </w:rPr>
        <w:t>. Devo dizer, em favor de todos os Ministros e de suas equipes, que o acúmulo não se deve à falta de trabalho. Pelo contrário. Às vezes, ficamos todos tão enredados em processos que sobra pouco tempo para a reflexão. Lembro-me sempre da oração espirituosa que fazia o Ministro Carlos Ayres Britto, quando clamava: “Senhor, não nos deixeis cair em tanta ação</w:t>
      </w:r>
      <w:r>
        <w:rPr>
          <w:rFonts w:ascii="Times New Roman" w:hAnsi="Times New Roman"/>
          <w:szCs w:val="24"/>
        </w:rPr>
        <w:t>.</w:t>
      </w:r>
      <w:r w:rsidRPr="0060007A">
        <w:rPr>
          <w:rFonts w:ascii="Times New Roman" w:hAnsi="Times New Roman"/>
          <w:szCs w:val="24"/>
        </w:rPr>
        <w:t>”</w:t>
      </w:r>
      <w:r>
        <w:rPr>
          <w:rStyle w:val="FootnoteReference"/>
          <w:rFonts w:ascii="Times New Roman" w:hAnsi="Times New Roman"/>
          <w:szCs w:val="24"/>
        </w:rPr>
        <w:footnoteReference w:id="234"/>
      </w:r>
      <w:r w:rsidRPr="0060007A">
        <w:rPr>
          <w:rFonts w:ascii="Times New Roman" w:hAnsi="Times New Roman"/>
          <w:szCs w:val="24"/>
        </w:rPr>
        <w:t xml:space="preserve">  </w:t>
      </w:r>
    </w:p>
    <w:p w:rsidR="00D549BC" w:rsidRDefault="00D549BC" w:rsidP="00DE3AAD">
      <w:pPr>
        <w:spacing w:after="240"/>
        <w:ind w:firstLine="851"/>
        <w:contextualSpacing/>
        <w:rPr>
          <w:rFonts w:ascii="Times New Roman" w:hAnsi="Times New Roman"/>
          <w:sz w:val="24"/>
          <w:szCs w:val="24"/>
        </w:rPr>
      </w:pPr>
    </w:p>
    <w:p w:rsidR="00D549BC" w:rsidRDefault="00D549BC" w:rsidP="00EA1EBE">
      <w:pPr>
        <w:spacing w:after="240"/>
        <w:contextualSpacing/>
        <w:rPr>
          <w:rFonts w:ascii="Times New Roman" w:hAnsi="Times New Roman"/>
          <w:sz w:val="24"/>
          <w:szCs w:val="24"/>
        </w:rPr>
      </w:pPr>
      <w:r>
        <w:rPr>
          <w:rFonts w:ascii="Times New Roman" w:hAnsi="Times New Roman"/>
          <w:sz w:val="24"/>
          <w:szCs w:val="24"/>
        </w:rPr>
        <w:t xml:space="preserve">Uma segunda forma de solucionar o problema de congestionamento do Plenário, além da transferência de competências, seria por meio da expansão do Plenário Virtual, para o julgamento de determinadas causas, a saber: </w:t>
      </w:r>
    </w:p>
    <w:p w:rsidR="00D549BC" w:rsidRDefault="00D549BC" w:rsidP="00EA1EBE">
      <w:pPr>
        <w:pStyle w:val="ListParagraph"/>
        <w:numPr>
          <w:ilvl w:val="0"/>
          <w:numId w:val="13"/>
        </w:numPr>
        <w:rPr>
          <w:rFonts w:ascii="Times New Roman" w:hAnsi="Times New Roman"/>
          <w:sz w:val="24"/>
          <w:szCs w:val="24"/>
        </w:rPr>
      </w:pPr>
      <w:r w:rsidRPr="00D61338">
        <w:rPr>
          <w:rFonts w:ascii="Times New Roman" w:hAnsi="Times New Roman"/>
          <w:i/>
          <w:sz w:val="24"/>
          <w:szCs w:val="24"/>
        </w:rPr>
        <w:t>medidas cautelares</w:t>
      </w:r>
      <w:r w:rsidRPr="00D61338">
        <w:rPr>
          <w:rFonts w:ascii="Times New Roman" w:hAnsi="Times New Roman"/>
          <w:sz w:val="24"/>
          <w:szCs w:val="24"/>
        </w:rPr>
        <w:t xml:space="preserve"> em </w:t>
      </w:r>
      <w:r w:rsidRPr="00D61338">
        <w:rPr>
          <w:rFonts w:ascii="Times New Roman" w:hAnsi="Times New Roman"/>
          <w:i/>
          <w:sz w:val="24"/>
          <w:szCs w:val="24"/>
        </w:rPr>
        <w:t>Ações Diretas</w:t>
      </w:r>
      <w:r w:rsidRPr="00D61338">
        <w:rPr>
          <w:rFonts w:ascii="Times New Roman" w:hAnsi="Times New Roman"/>
          <w:sz w:val="24"/>
          <w:szCs w:val="24"/>
        </w:rPr>
        <w:t>, quando tenha</w:t>
      </w:r>
      <w:r>
        <w:rPr>
          <w:rFonts w:ascii="Times New Roman" w:hAnsi="Times New Roman"/>
          <w:sz w:val="24"/>
          <w:szCs w:val="24"/>
        </w:rPr>
        <w:t xml:space="preserve">m sido concedidas há mais de </w:t>
      </w:r>
      <w:r w:rsidRPr="00D61338">
        <w:rPr>
          <w:rFonts w:ascii="Times New Roman" w:hAnsi="Times New Roman"/>
          <w:sz w:val="24"/>
          <w:szCs w:val="24"/>
        </w:rPr>
        <w:t>cinco anos, poderiam ser julgadas em Plenário Virtual, por proposta do Relator. Se três Ministros discordassem da proposta, então a matéria iria para julgamento no Plenário Físico</w:t>
      </w:r>
      <w:r>
        <w:rPr>
          <w:rFonts w:ascii="Times New Roman" w:hAnsi="Times New Roman"/>
          <w:sz w:val="24"/>
          <w:szCs w:val="24"/>
        </w:rPr>
        <w:t>;</w:t>
      </w:r>
      <w:r>
        <w:rPr>
          <w:rStyle w:val="FootnoteReference"/>
          <w:rFonts w:ascii="Times New Roman" w:hAnsi="Times New Roman"/>
          <w:sz w:val="24"/>
          <w:szCs w:val="24"/>
        </w:rPr>
        <w:footnoteReference w:id="235"/>
      </w:r>
      <w:r w:rsidRPr="00D61338">
        <w:rPr>
          <w:rFonts w:ascii="Times New Roman" w:hAnsi="Times New Roman"/>
          <w:sz w:val="24"/>
          <w:szCs w:val="24"/>
        </w:rPr>
        <w:t xml:space="preserve"> </w:t>
      </w:r>
    </w:p>
    <w:p w:rsidR="00D549BC" w:rsidRPr="00EA1EBE" w:rsidRDefault="00D549BC" w:rsidP="00887D77">
      <w:pPr>
        <w:ind w:firstLine="0"/>
        <w:rPr>
          <w:rFonts w:ascii="Times New Roman" w:hAnsi="Times New Roman"/>
          <w:sz w:val="24"/>
          <w:szCs w:val="24"/>
        </w:rPr>
      </w:pPr>
    </w:p>
    <w:p w:rsidR="00D549BC" w:rsidRDefault="00D549BC" w:rsidP="00EA1EBE">
      <w:pPr>
        <w:pStyle w:val="ListParagraph"/>
        <w:numPr>
          <w:ilvl w:val="0"/>
          <w:numId w:val="13"/>
        </w:numPr>
        <w:rPr>
          <w:rFonts w:ascii="Times New Roman" w:hAnsi="Times New Roman"/>
          <w:sz w:val="24"/>
          <w:szCs w:val="24"/>
        </w:rPr>
      </w:pPr>
      <w:r w:rsidRPr="00D61338">
        <w:rPr>
          <w:rFonts w:ascii="Times New Roman" w:hAnsi="Times New Roman"/>
          <w:sz w:val="24"/>
          <w:szCs w:val="24"/>
        </w:rPr>
        <w:t xml:space="preserve">os </w:t>
      </w:r>
      <w:r w:rsidRPr="00D61338">
        <w:rPr>
          <w:rFonts w:ascii="Times New Roman" w:hAnsi="Times New Roman"/>
          <w:i/>
          <w:sz w:val="24"/>
          <w:szCs w:val="24"/>
        </w:rPr>
        <w:t>Agravos regimentais</w:t>
      </w:r>
      <w:r w:rsidRPr="00D61338">
        <w:rPr>
          <w:rFonts w:ascii="Times New Roman" w:hAnsi="Times New Roman"/>
          <w:sz w:val="24"/>
          <w:szCs w:val="24"/>
        </w:rPr>
        <w:t xml:space="preserve"> e </w:t>
      </w:r>
      <w:r w:rsidRPr="00D61338">
        <w:rPr>
          <w:rFonts w:ascii="Times New Roman" w:hAnsi="Times New Roman"/>
          <w:i/>
          <w:sz w:val="24"/>
          <w:szCs w:val="24"/>
        </w:rPr>
        <w:t>Embargos de Declaração</w:t>
      </w:r>
      <w:r w:rsidRPr="00D61338">
        <w:rPr>
          <w:rFonts w:ascii="Times New Roman" w:hAnsi="Times New Roman"/>
          <w:sz w:val="24"/>
          <w:szCs w:val="24"/>
        </w:rPr>
        <w:t xml:space="preserve"> que, presentemente, são julgados em listas, também poderiam ser decididos em Plenário Virtual; </w:t>
      </w:r>
    </w:p>
    <w:p w:rsidR="00D549BC" w:rsidRDefault="00D549BC" w:rsidP="00EA1EBE">
      <w:pPr>
        <w:pStyle w:val="ListParagraph"/>
        <w:ind w:left="1571" w:firstLine="0"/>
        <w:rPr>
          <w:rFonts w:ascii="Times New Roman" w:hAnsi="Times New Roman"/>
          <w:sz w:val="24"/>
          <w:szCs w:val="24"/>
        </w:rPr>
      </w:pPr>
    </w:p>
    <w:p w:rsidR="00D549BC" w:rsidRPr="00D61338" w:rsidRDefault="00D549BC" w:rsidP="00EA1EBE">
      <w:pPr>
        <w:pStyle w:val="ListParagraph"/>
        <w:numPr>
          <w:ilvl w:val="0"/>
          <w:numId w:val="13"/>
        </w:numPr>
        <w:rPr>
          <w:rFonts w:ascii="Times New Roman" w:hAnsi="Times New Roman"/>
          <w:sz w:val="24"/>
          <w:szCs w:val="24"/>
        </w:rPr>
      </w:pPr>
      <w:r>
        <w:rPr>
          <w:rFonts w:ascii="Times New Roman" w:hAnsi="Times New Roman"/>
          <w:sz w:val="24"/>
          <w:szCs w:val="24"/>
        </w:rPr>
        <w:t>as</w:t>
      </w:r>
      <w:r w:rsidRPr="00D61338">
        <w:rPr>
          <w:rFonts w:ascii="Times New Roman" w:hAnsi="Times New Roman"/>
          <w:sz w:val="24"/>
          <w:szCs w:val="24"/>
        </w:rPr>
        <w:t xml:space="preserve"> </w:t>
      </w:r>
      <w:r w:rsidRPr="00D61338">
        <w:rPr>
          <w:rFonts w:ascii="Times New Roman" w:hAnsi="Times New Roman"/>
          <w:i/>
          <w:sz w:val="24"/>
          <w:szCs w:val="24"/>
        </w:rPr>
        <w:t>Ações Diretas de Inconstitucionalidade</w:t>
      </w:r>
      <w:r w:rsidRPr="00D61338">
        <w:rPr>
          <w:rFonts w:ascii="Times New Roman" w:hAnsi="Times New Roman"/>
          <w:sz w:val="24"/>
          <w:szCs w:val="24"/>
        </w:rPr>
        <w:t xml:space="preserve"> contra leis estaduais, em que a decisão consiste em mera </w:t>
      </w:r>
      <w:r w:rsidRPr="00D61338">
        <w:rPr>
          <w:rFonts w:ascii="Times New Roman" w:hAnsi="Times New Roman"/>
          <w:i/>
          <w:sz w:val="24"/>
          <w:szCs w:val="24"/>
        </w:rPr>
        <w:t>reafirmação da jurisprudência</w:t>
      </w:r>
      <w:r w:rsidRPr="00D61338">
        <w:rPr>
          <w:rFonts w:ascii="Times New Roman" w:hAnsi="Times New Roman"/>
          <w:sz w:val="24"/>
          <w:szCs w:val="24"/>
        </w:rPr>
        <w:t xml:space="preserve"> do Tribunal, deveria ser possível, tal como se passa com a Repercussão Geral, que isso fosse feito em Plenário Virtual.</w:t>
      </w:r>
    </w:p>
    <w:p w:rsidR="00D549BC" w:rsidRDefault="00D549BC" w:rsidP="009A0FBA">
      <w:pPr>
        <w:spacing w:after="240"/>
        <w:ind w:firstLine="851"/>
        <w:contextualSpacing/>
        <w:rPr>
          <w:rFonts w:ascii="Times New Roman" w:hAnsi="Times New Roman"/>
          <w:sz w:val="24"/>
          <w:szCs w:val="24"/>
        </w:rPr>
      </w:pPr>
    </w:p>
    <w:p w:rsidR="00D549BC" w:rsidRDefault="00D549BC" w:rsidP="00887D77">
      <w:pPr>
        <w:spacing w:after="240"/>
        <w:contextualSpacing/>
        <w:rPr>
          <w:rFonts w:ascii="Times New Roman" w:hAnsi="Times New Roman"/>
          <w:sz w:val="24"/>
          <w:szCs w:val="24"/>
        </w:rPr>
      </w:pPr>
      <w:r>
        <w:rPr>
          <w:rFonts w:ascii="Times New Roman" w:hAnsi="Times New Roman"/>
          <w:sz w:val="24"/>
          <w:szCs w:val="24"/>
        </w:rPr>
        <w:t>Para o Ministro Roberto Barroso, “</w:t>
      </w:r>
      <w:r w:rsidRPr="00D91D51">
        <w:rPr>
          <w:rFonts w:ascii="Times New Roman" w:hAnsi="Times New Roman"/>
          <w:sz w:val="24"/>
          <w:szCs w:val="24"/>
        </w:rPr>
        <w:t>na medida em que se libera o Plenário da discussão de questões irrelevantes ou repetitivas, potencializa-se a sua capacidade para deliberar sobre as questões que verdadeiramente interessam ao país e à definição de precedentes que sirvam de orientação para os tribunais do país como um todo</w:t>
      </w:r>
      <w:r>
        <w:rPr>
          <w:rFonts w:ascii="Times New Roman" w:hAnsi="Times New Roman"/>
          <w:sz w:val="24"/>
          <w:szCs w:val="24"/>
        </w:rPr>
        <w:t>.”</w:t>
      </w:r>
      <w:r>
        <w:rPr>
          <w:rStyle w:val="FootnoteReference"/>
          <w:rFonts w:ascii="Times New Roman" w:hAnsi="Times New Roman"/>
          <w:sz w:val="24"/>
          <w:szCs w:val="24"/>
        </w:rPr>
        <w:footnoteReference w:id="236"/>
      </w:r>
      <w:r>
        <w:rPr>
          <w:rFonts w:ascii="Times New Roman" w:hAnsi="Times New Roman"/>
          <w:sz w:val="24"/>
          <w:szCs w:val="24"/>
        </w:rPr>
        <w:t xml:space="preserve"> </w:t>
      </w:r>
    </w:p>
    <w:p w:rsidR="00D549BC" w:rsidRDefault="00D549BC" w:rsidP="00887D77">
      <w:pPr>
        <w:spacing w:after="240"/>
        <w:contextualSpacing/>
        <w:rPr>
          <w:rFonts w:ascii="Times New Roman" w:hAnsi="Times New Roman"/>
          <w:sz w:val="24"/>
          <w:szCs w:val="24"/>
        </w:rPr>
      </w:pPr>
      <w:r>
        <w:rPr>
          <w:rFonts w:ascii="Times New Roman" w:hAnsi="Times New Roman"/>
          <w:sz w:val="24"/>
          <w:szCs w:val="24"/>
        </w:rPr>
        <w:t xml:space="preserve">Na segunda parte do texto, o Ministro trata especificamente do instituto da Repercussão Geral e, nesse ponto, suas propostas são mais ousadas que as anteriores, conforme veremos a seguir. Ele defende uma sistemática </w:t>
      </w:r>
      <w:r w:rsidRPr="00C70626">
        <w:rPr>
          <w:rFonts w:ascii="Times New Roman" w:hAnsi="Times New Roman"/>
          <w:i/>
          <w:sz w:val="24"/>
          <w:szCs w:val="24"/>
        </w:rPr>
        <w:t>peculiar</w:t>
      </w:r>
      <w:r>
        <w:rPr>
          <w:rFonts w:ascii="Times New Roman" w:hAnsi="Times New Roman"/>
          <w:sz w:val="24"/>
          <w:szCs w:val="24"/>
        </w:rPr>
        <w:t xml:space="preserve"> para o julgamento das novas Repercussões Gerais a serem reconhecidas, a qual envolve três pontos a serem observados pelo Tribunal: </w:t>
      </w:r>
    </w:p>
    <w:p w:rsidR="00D549BC" w:rsidRDefault="00D549BC" w:rsidP="00303BD1">
      <w:pPr>
        <w:pStyle w:val="ListParagraph"/>
        <w:numPr>
          <w:ilvl w:val="0"/>
          <w:numId w:val="14"/>
        </w:numPr>
        <w:spacing w:after="240"/>
        <w:rPr>
          <w:rFonts w:ascii="Times New Roman" w:hAnsi="Times New Roman"/>
          <w:sz w:val="24"/>
          <w:szCs w:val="24"/>
        </w:rPr>
      </w:pPr>
      <w:r w:rsidRPr="00303BD1">
        <w:rPr>
          <w:rFonts w:ascii="Times New Roman" w:hAnsi="Times New Roman"/>
          <w:b/>
          <w:sz w:val="24"/>
          <w:szCs w:val="24"/>
        </w:rPr>
        <w:t>Quantidade de Repercussões Gerais a serem reconhecidas</w:t>
      </w:r>
      <w:r w:rsidRPr="00303BD1">
        <w:rPr>
          <w:rFonts w:ascii="Times New Roman" w:hAnsi="Times New Roman"/>
          <w:sz w:val="24"/>
          <w:szCs w:val="24"/>
        </w:rPr>
        <w:t>: segundo o Ministro, até que seja zerado o estoque de Repercussões Gerais já reconhecidas, o Tribunal deverá ser particularmente rigoroso no reconhecimento de novas Repercussões Gerais.</w:t>
      </w:r>
      <w:r>
        <w:rPr>
          <w:rFonts w:ascii="Times New Roman" w:hAnsi="Times New Roman"/>
          <w:sz w:val="24"/>
          <w:szCs w:val="24"/>
        </w:rPr>
        <w:t xml:space="preserve"> Ele s</w:t>
      </w:r>
      <w:r w:rsidRPr="00303BD1">
        <w:rPr>
          <w:rFonts w:ascii="Times New Roman" w:hAnsi="Times New Roman"/>
          <w:sz w:val="24"/>
          <w:szCs w:val="24"/>
        </w:rPr>
        <w:t>ugere, en</w:t>
      </w:r>
      <w:r>
        <w:rPr>
          <w:rFonts w:ascii="Times New Roman" w:hAnsi="Times New Roman"/>
          <w:sz w:val="24"/>
          <w:szCs w:val="24"/>
        </w:rPr>
        <w:t xml:space="preserve">tão, que sejam reconhecidas </w:t>
      </w:r>
      <w:r w:rsidRPr="00303BD1">
        <w:rPr>
          <w:rFonts w:ascii="Times New Roman" w:hAnsi="Times New Roman"/>
          <w:sz w:val="24"/>
          <w:szCs w:val="24"/>
        </w:rPr>
        <w:t xml:space="preserve">dez RG por semestre, visto que </w:t>
      </w:r>
      <w:r>
        <w:rPr>
          <w:rFonts w:ascii="Times New Roman" w:hAnsi="Times New Roman"/>
          <w:sz w:val="24"/>
          <w:szCs w:val="24"/>
        </w:rPr>
        <w:t>considera</w:t>
      </w:r>
      <w:r w:rsidRPr="00303BD1">
        <w:rPr>
          <w:rFonts w:ascii="Times New Roman" w:hAnsi="Times New Roman"/>
          <w:sz w:val="24"/>
          <w:szCs w:val="24"/>
        </w:rPr>
        <w:t xml:space="preserve"> impensável que o STF reconheça mais </w:t>
      </w:r>
      <w:r>
        <w:rPr>
          <w:rFonts w:ascii="Times New Roman" w:hAnsi="Times New Roman"/>
          <w:sz w:val="24"/>
          <w:szCs w:val="24"/>
        </w:rPr>
        <w:t>R</w:t>
      </w:r>
      <w:r w:rsidRPr="00303BD1">
        <w:rPr>
          <w:rFonts w:ascii="Times New Roman" w:hAnsi="Times New Roman"/>
          <w:sz w:val="24"/>
          <w:szCs w:val="24"/>
        </w:rPr>
        <w:t xml:space="preserve">epercussões </w:t>
      </w:r>
      <w:r>
        <w:rPr>
          <w:rFonts w:ascii="Times New Roman" w:hAnsi="Times New Roman"/>
          <w:sz w:val="24"/>
          <w:szCs w:val="24"/>
        </w:rPr>
        <w:t>G</w:t>
      </w:r>
      <w:r w:rsidRPr="00303BD1">
        <w:rPr>
          <w:rFonts w:ascii="Times New Roman" w:hAnsi="Times New Roman"/>
          <w:sz w:val="24"/>
          <w:szCs w:val="24"/>
        </w:rPr>
        <w:t xml:space="preserve">erais do que seja </w:t>
      </w:r>
      <w:r>
        <w:rPr>
          <w:rFonts w:ascii="Times New Roman" w:hAnsi="Times New Roman"/>
          <w:sz w:val="24"/>
          <w:szCs w:val="24"/>
        </w:rPr>
        <w:t xml:space="preserve">efetivamente </w:t>
      </w:r>
      <w:r w:rsidRPr="00303BD1">
        <w:rPr>
          <w:rFonts w:ascii="Times New Roman" w:hAnsi="Times New Roman"/>
          <w:sz w:val="24"/>
          <w:szCs w:val="24"/>
        </w:rPr>
        <w:t xml:space="preserve">capaz de julgar </w:t>
      </w:r>
      <w:r>
        <w:rPr>
          <w:rFonts w:ascii="Times New Roman" w:hAnsi="Times New Roman"/>
          <w:sz w:val="24"/>
          <w:szCs w:val="24"/>
        </w:rPr>
        <w:t xml:space="preserve">em um </w:t>
      </w:r>
      <w:r w:rsidRPr="00303BD1">
        <w:rPr>
          <w:rFonts w:ascii="Times New Roman" w:hAnsi="Times New Roman"/>
          <w:sz w:val="24"/>
          <w:szCs w:val="24"/>
        </w:rPr>
        <w:t>período de</w:t>
      </w:r>
      <w:r>
        <w:rPr>
          <w:rFonts w:ascii="Times New Roman" w:hAnsi="Times New Roman"/>
          <w:sz w:val="24"/>
          <w:szCs w:val="24"/>
        </w:rPr>
        <w:t xml:space="preserve"> </w:t>
      </w:r>
      <w:r w:rsidRPr="00303BD1">
        <w:rPr>
          <w:rFonts w:ascii="Times New Roman" w:hAnsi="Times New Roman"/>
          <w:sz w:val="24"/>
          <w:szCs w:val="24"/>
        </w:rPr>
        <w:t xml:space="preserve">um ano. </w:t>
      </w:r>
    </w:p>
    <w:p w:rsidR="00D549BC" w:rsidRDefault="00D549BC" w:rsidP="004C3811">
      <w:pPr>
        <w:pStyle w:val="ListParagraph"/>
        <w:spacing w:after="240"/>
        <w:ind w:left="1211" w:firstLine="0"/>
        <w:rPr>
          <w:rFonts w:ascii="Times New Roman" w:hAnsi="Times New Roman"/>
          <w:sz w:val="24"/>
          <w:szCs w:val="24"/>
        </w:rPr>
      </w:pPr>
    </w:p>
    <w:p w:rsidR="00D549BC" w:rsidRDefault="00D549BC" w:rsidP="00EB5DD1">
      <w:pPr>
        <w:pStyle w:val="ListParagraph"/>
        <w:numPr>
          <w:ilvl w:val="0"/>
          <w:numId w:val="14"/>
        </w:numPr>
        <w:spacing w:after="240"/>
        <w:rPr>
          <w:rFonts w:ascii="Times New Roman" w:hAnsi="Times New Roman"/>
          <w:sz w:val="24"/>
          <w:szCs w:val="24"/>
        </w:rPr>
      </w:pPr>
      <w:r w:rsidRPr="00073D6B">
        <w:rPr>
          <w:rFonts w:ascii="Times New Roman" w:hAnsi="Times New Roman"/>
          <w:b/>
          <w:sz w:val="24"/>
          <w:szCs w:val="24"/>
        </w:rPr>
        <w:t>Momento e critério de es</w:t>
      </w:r>
      <w:r>
        <w:rPr>
          <w:rFonts w:ascii="Times New Roman" w:hAnsi="Times New Roman"/>
          <w:b/>
          <w:sz w:val="24"/>
          <w:szCs w:val="24"/>
        </w:rPr>
        <w:t>colha das Repercussões Gerais a</w:t>
      </w:r>
      <w:r w:rsidRPr="00073D6B">
        <w:rPr>
          <w:rFonts w:ascii="Times New Roman" w:hAnsi="Times New Roman"/>
          <w:b/>
          <w:sz w:val="24"/>
          <w:szCs w:val="24"/>
        </w:rPr>
        <w:t xml:space="preserve"> serem reconhecidas</w:t>
      </w:r>
      <w:r w:rsidRPr="00073D6B">
        <w:rPr>
          <w:rFonts w:ascii="Times New Roman" w:hAnsi="Times New Roman"/>
          <w:sz w:val="24"/>
          <w:szCs w:val="24"/>
        </w:rPr>
        <w:t xml:space="preserve">: Atualmente, as sugestões de reconhecimento de Repercussão Geral são colocadas no Plenário Virtual pelos Relatores, na medida em que chegam os recursos, e são votadas no prazo regimental de 20 dias. Se não houver dois terços de recusa, a Repercussão Geral é reconhecida. Para o Ministro Barroso, isso faz com que não haja um controle do número de Repercussões Gerais que são dadas, pois elas são decididas </w:t>
      </w:r>
      <w:r>
        <w:rPr>
          <w:rFonts w:ascii="Times New Roman" w:hAnsi="Times New Roman"/>
          <w:sz w:val="24"/>
          <w:szCs w:val="24"/>
        </w:rPr>
        <w:t>à</w:t>
      </w:r>
      <w:r w:rsidRPr="00073D6B">
        <w:rPr>
          <w:rFonts w:ascii="Times New Roman" w:hAnsi="Times New Roman"/>
          <w:sz w:val="24"/>
          <w:szCs w:val="24"/>
        </w:rPr>
        <w:t xml:space="preserve"> medida que vão chegando. Em contraste com a atual sistemática, </w:t>
      </w:r>
      <w:r>
        <w:rPr>
          <w:rFonts w:ascii="Times New Roman" w:hAnsi="Times New Roman"/>
          <w:sz w:val="24"/>
          <w:szCs w:val="24"/>
        </w:rPr>
        <w:t xml:space="preserve">o Ministro </w:t>
      </w:r>
      <w:r w:rsidRPr="00073D6B">
        <w:rPr>
          <w:rFonts w:ascii="Times New Roman" w:hAnsi="Times New Roman"/>
          <w:sz w:val="24"/>
          <w:szCs w:val="24"/>
        </w:rPr>
        <w:t>defende que a atribuição de RG</w:t>
      </w:r>
      <w:r>
        <w:rPr>
          <w:rFonts w:ascii="Times New Roman" w:hAnsi="Times New Roman"/>
          <w:sz w:val="24"/>
          <w:szCs w:val="24"/>
        </w:rPr>
        <w:t xml:space="preserve"> a um caso deva</w:t>
      </w:r>
      <w:r w:rsidRPr="00073D6B">
        <w:rPr>
          <w:rFonts w:ascii="Times New Roman" w:hAnsi="Times New Roman"/>
          <w:sz w:val="24"/>
          <w:szCs w:val="24"/>
        </w:rPr>
        <w:t xml:space="preserve"> combinar um critério qualitativo – </w:t>
      </w:r>
      <w:r w:rsidRPr="00073D6B">
        <w:rPr>
          <w:rFonts w:ascii="Times New Roman" w:hAnsi="Times New Roman"/>
          <w:i/>
          <w:sz w:val="24"/>
          <w:szCs w:val="24"/>
        </w:rPr>
        <w:t>importância da matéria</w:t>
      </w:r>
      <w:r w:rsidRPr="00073D6B">
        <w:rPr>
          <w:rFonts w:ascii="Times New Roman" w:hAnsi="Times New Roman"/>
          <w:sz w:val="24"/>
          <w:szCs w:val="24"/>
        </w:rPr>
        <w:t xml:space="preserve"> – com um critério quantitativo – </w:t>
      </w:r>
      <w:r w:rsidRPr="00073D6B">
        <w:rPr>
          <w:rFonts w:ascii="Times New Roman" w:hAnsi="Times New Roman"/>
          <w:i/>
          <w:sz w:val="24"/>
          <w:szCs w:val="24"/>
        </w:rPr>
        <w:t>capacidade de o Tribunal de julgar a questão no prazo de um ano</w:t>
      </w:r>
      <w:r w:rsidRPr="00073D6B">
        <w:rPr>
          <w:rFonts w:ascii="Times New Roman" w:hAnsi="Times New Roman"/>
          <w:sz w:val="24"/>
          <w:szCs w:val="24"/>
        </w:rPr>
        <w:t xml:space="preserve">. </w:t>
      </w:r>
      <w:r>
        <w:rPr>
          <w:rFonts w:ascii="Times New Roman" w:hAnsi="Times New Roman"/>
          <w:sz w:val="24"/>
          <w:szCs w:val="24"/>
        </w:rPr>
        <w:t>Defende, portanto, que</w:t>
      </w:r>
      <w:r w:rsidRPr="00073D6B">
        <w:rPr>
          <w:rFonts w:ascii="Times New Roman" w:hAnsi="Times New Roman"/>
          <w:sz w:val="24"/>
          <w:szCs w:val="24"/>
        </w:rPr>
        <w:t xml:space="preserve"> a sel</w:t>
      </w:r>
      <w:r>
        <w:rPr>
          <w:rFonts w:ascii="Times New Roman" w:hAnsi="Times New Roman"/>
          <w:sz w:val="24"/>
          <w:szCs w:val="24"/>
        </w:rPr>
        <w:t>eção de questões que receberão R</w:t>
      </w:r>
      <w:r w:rsidRPr="00073D6B">
        <w:rPr>
          <w:rFonts w:ascii="Times New Roman" w:hAnsi="Times New Roman"/>
          <w:sz w:val="24"/>
          <w:szCs w:val="24"/>
        </w:rPr>
        <w:t xml:space="preserve">epercussão </w:t>
      </w:r>
      <w:r>
        <w:rPr>
          <w:rFonts w:ascii="Times New Roman" w:hAnsi="Times New Roman"/>
          <w:sz w:val="24"/>
          <w:szCs w:val="24"/>
        </w:rPr>
        <w:t>G</w:t>
      </w:r>
      <w:r w:rsidRPr="00073D6B">
        <w:rPr>
          <w:rFonts w:ascii="Times New Roman" w:hAnsi="Times New Roman"/>
          <w:sz w:val="24"/>
          <w:szCs w:val="24"/>
        </w:rPr>
        <w:t xml:space="preserve">eral deverá ser feita em conjunto, por semestre, e não </w:t>
      </w:r>
      <w:r>
        <w:rPr>
          <w:rFonts w:ascii="Times New Roman" w:hAnsi="Times New Roman"/>
          <w:sz w:val="24"/>
          <w:szCs w:val="24"/>
        </w:rPr>
        <w:t>à</w:t>
      </w:r>
      <w:r w:rsidRPr="00073D6B">
        <w:rPr>
          <w:rFonts w:ascii="Times New Roman" w:hAnsi="Times New Roman"/>
          <w:sz w:val="24"/>
          <w:szCs w:val="24"/>
        </w:rPr>
        <w:t xml:space="preserve"> medida que cheguem. Assim, </w:t>
      </w:r>
      <w:r>
        <w:rPr>
          <w:rFonts w:ascii="Times New Roman" w:hAnsi="Times New Roman"/>
          <w:sz w:val="24"/>
          <w:szCs w:val="24"/>
        </w:rPr>
        <w:t xml:space="preserve">caso </w:t>
      </w:r>
      <w:r w:rsidRPr="00073D6B">
        <w:rPr>
          <w:rFonts w:ascii="Times New Roman" w:hAnsi="Times New Roman"/>
          <w:sz w:val="24"/>
          <w:szCs w:val="24"/>
        </w:rPr>
        <w:t>os Ministros convencionem</w:t>
      </w:r>
      <w:r>
        <w:rPr>
          <w:rFonts w:ascii="Times New Roman" w:hAnsi="Times New Roman"/>
          <w:sz w:val="24"/>
          <w:szCs w:val="24"/>
        </w:rPr>
        <w:t xml:space="preserve"> que</w:t>
      </w:r>
      <w:r w:rsidRPr="00073D6B">
        <w:rPr>
          <w:rFonts w:ascii="Times New Roman" w:hAnsi="Times New Roman"/>
          <w:sz w:val="24"/>
          <w:szCs w:val="24"/>
        </w:rPr>
        <w:t xml:space="preserve"> sejam </w:t>
      </w:r>
      <w:r>
        <w:rPr>
          <w:rFonts w:ascii="Times New Roman" w:hAnsi="Times New Roman"/>
          <w:sz w:val="24"/>
          <w:szCs w:val="24"/>
        </w:rPr>
        <w:t>reconhecidas apenas dez R</w:t>
      </w:r>
      <w:r w:rsidRPr="00073D6B">
        <w:rPr>
          <w:rFonts w:ascii="Times New Roman" w:hAnsi="Times New Roman"/>
          <w:sz w:val="24"/>
          <w:szCs w:val="24"/>
        </w:rPr>
        <w:t xml:space="preserve">epercussões </w:t>
      </w:r>
      <w:r>
        <w:rPr>
          <w:rFonts w:ascii="Times New Roman" w:hAnsi="Times New Roman"/>
          <w:sz w:val="24"/>
          <w:szCs w:val="24"/>
        </w:rPr>
        <w:t>G</w:t>
      </w:r>
      <w:r w:rsidRPr="00073D6B">
        <w:rPr>
          <w:rFonts w:ascii="Times New Roman" w:hAnsi="Times New Roman"/>
          <w:sz w:val="24"/>
          <w:szCs w:val="24"/>
        </w:rPr>
        <w:t>erais por semestre</w:t>
      </w:r>
      <w:r>
        <w:rPr>
          <w:rFonts w:ascii="Times New Roman" w:hAnsi="Times New Roman"/>
          <w:sz w:val="24"/>
          <w:szCs w:val="24"/>
        </w:rPr>
        <w:t>,</w:t>
      </w:r>
      <w:r w:rsidRPr="00073D6B">
        <w:rPr>
          <w:rFonts w:ascii="Times New Roman" w:hAnsi="Times New Roman"/>
          <w:sz w:val="24"/>
          <w:szCs w:val="24"/>
        </w:rPr>
        <w:t xml:space="preserve"> </w:t>
      </w:r>
      <w:r>
        <w:rPr>
          <w:rFonts w:ascii="Times New Roman" w:hAnsi="Times New Roman"/>
          <w:sz w:val="24"/>
          <w:szCs w:val="24"/>
        </w:rPr>
        <w:t xml:space="preserve">haveria uma </w:t>
      </w:r>
      <w:r w:rsidRPr="00073D6B">
        <w:rPr>
          <w:rFonts w:ascii="Times New Roman" w:hAnsi="Times New Roman"/>
          <w:sz w:val="24"/>
          <w:szCs w:val="24"/>
        </w:rPr>
        <w:t xml:space="preserve">votação designada para o final de junho de cada ano </w:t>
      </w:r>
      <w:r>
        <w:rPr>
          <w:rFonts w:ascii="Times New Roman" w:hAnsi="Times New Roman"/>
          <w:sz w:val="24"/>
          <w:szCs w:val="24"/>
        </w:rPr>
        <w:t>para</w:t>
      </w:r>
      <w:r w:rsidRPr="00073D6B">
        <w:rPr>
          <w:rFonts w:ascii="Times New Roman" w:hAnsi="Times New Roman"/>
          <w:sz w:val="24"/>
          <w:szCs w:val="24"/>
        </w:rPr>
        <w:t xml:space="preserve"> seleciona</w:t>
      </w:r>
      <w:r>
        <w:rPr>
          <w:rFonts w:ascii="Times New Roman" w:hAnsi="Times New Roman"/>
          <w:sz w:val="24"/>
          <w:szCs w:val="24"/>
        </w:rPr>
        <w:t>r</w:t>
      </w:r>
      <w:r w:rsidRPr="00073D6B">
        <w:rPr>
          <w:rFonts w:ascii="Times New Roman" w:hAnsi="Times New Roman"/>
          <w:sz w:val="24"/>
          <w:szCs w:val="24"/>
        </w:rPr>
        <w:t xml:space="preserve">, dentre os processos distribuídos no primeiro semestre, os dez mais importantes, que receberiam </w:t>
      </w:r>
      <w:r>
        <w:rPr>
          <w:rFonts w:ascii="Times New Roman" w:hAnsi="Times New Roman"/>
          <w:sz w:val="24"/>
          <w:szCs w:val="24"/>
        </w:rPr>
        <w:t>R</w:t>
      </w:r>
      <w:r w:rsidRPr="00073D6B">
        <w:rPr>
          <w:rFonts w:ascii="Times New Roman" w:hAnsi="Times New Roman"/>
          <w:sz w:val="24"/>
          <w:szCs w:val="24"/>
        </w:rPr>
        <w:t xml:space="preserve">epercussão </w:t>
      </w:r>
      <w:r>
        <w:rPr>
          <w:rFonts w:ascii="Times New Roman" w:hAnsi="Times New Roman"/>
          <w:sz w:val="24"/>
          <w:szCs w:val="24"/>
        </w:rPr>
        <w:t>G</w:t>
      </w:r>
      <w:r w:rsidRPr="00073D6B">
        <w:rPr>
          <w:rFonts w:ascii="Times New Roman" w:hAnsi="Times New Roman"/>
          <w:sz w:val="24"/>
          <w:szCs w:val="24"/>
        </w:rPr>
        <w:t xml:space="preserve">eral. </w:t>
      </w:r>
      <w:r>
        <w:rPr>
          <w:rFonts w:ascii="Times New Roman" w:hAnsi="Times New Roman"/>
          <w:sz w:val="24"/>
          <w:szCs w:val="24"/>
        </w:rPr>
        <w:t>Igualmente, a</w:t>
      </w:r>
      <w:r w:rsidRPr="00073D6B">
        <w:rPr>
          <w:rFonts w:ascii="Times New Roman" w:hAnsi="Times New Roman"/>
          <w:sz w:val="24"/>
          <w:szCs w:val="24"/>
        </w:rPr>
        <w:t>té o fina</w:t>
      </w:r>
      <w:r>
        <w:rPr>
          <w:rFonts w:ascii="Times New Roman" w:hAnsi="Times New Roman"/>
          <w:sz w:val="24"/>
          <w:szCs w:val="24"/>
        </w:rPr>
        <w:t>l de dezembro, seriam selecionado</w:t>
      </w:r>
      <w:r w:rsidRPr="00073D6B">
        <w:rPr>
          <w:rFonts w:ascii="Times New Roman" w:hAnsi="Times New Roman"/>
          <w:sz w:val="24"/>
          <w:szCs w:val="24"/>
        </w:rPr>
        <w:t>s</w:t>
      </w:r>
      <w:r>
        <w:rPr>
          <w:rFonts w:ascii="Times New Roman" w:hAnsi="Times New Roman"/>
          <w:sz w:val="24"/>
          <w:szCs w:val="24"/>
        </w:rPr>
        <w:t>, em nova reunião conjunta</w:t>
      </w:r>
      <w:r w:rsidRPr="00073D6B">
        <w:rPr>
          <w:rFonts w:ascii="Times New Roman" w:hAnsi="Times New Roman"/>
          <w:sz w:val="24"/>
          <w:szCs w:val="24"/>
        </w:rPr>
        <w:t xml:space="preserve">, dentre os processos distribuídos no segundo semestre, os dez mais importantes, que receberiam </w:t>
      </w:r>
      <w:r>
        <w:rPr>
          <w:rFonts w:ascii="Times New Roman" w:hAnsi="Times New Roman"/>
          <w:sz w:val="24"/>
          <w:szCs w:val="24"/>
        </w:rPr>
        <w:t>R</w:t>
      </w:r>
      <w:r w:rsidRPr="00073D6B">
        <w:rPr>
          <w:rFonts w:ascii="Times New Roman" w:hAnsi="Times New Roman"/>
          <w:sz w:val="24"/>
          <w:szCs w:val="24"/>
        </w:rPr>
        <w:t xml:space="preserve">epercussão </w:t>
      </w:r>
      <w:r>
        <w:rPr>
          <w:rFonts w:ascii="Times New Roman" w:hAnsi="Times New Roman"/>
          <w:sz w:val="24"/>
          <w:szCs w:val="24"/>
        </w:rPr>
        <w:t>G</w:t>
      </w:r>
      <w:r w:rsidRPr="00073D6B">
        <w:rPr>
          <w:rFonts w:ascii="Times New Roman" w:hAnsi="Times New Roman"/>
          <w:sz w:val="24"/>
          <w:szCs w:val="24"/>
        </w:rPr>
        <w:t>eral.</w:t>
      </w:r>
    </w:p>
    <w:p w:rsidR="00D549BC" w:rsidRDefault="00D549BC" w:rsidP="004C3811">
      <w:pPr>
        <w:pStyle w:val="ListParagraph"/>
        <w:spacing w:after="240"/>
        <w:ind w:left="1211" w:firstLine="0"/>
        <w:rPr>
          <w:rFonts w:ascii="Times New Roman" w:hAnsi="Times New Roman"/>
          <w:sz w:val="24"/>
          <w:szCs w:val="24"/>
        </w:rPr>
      </w:pPr>
    </w:p>
    <w:p w:rsidR="00D549BC" w:rsidRPr="007826D4" w:rsidRDefault="00D549BC" w:rsidP="00EB5DD1">
      <w:pPr>
        <w:pStyle w:val="ListParagraph"/>
        <w:numPr>
          <w:ilvl w:val="0"/>
          <w:numId w:val="14"/>
        </w:numPr>
        <w:spacing w:after="240"/>
        <w:rPr>
          <w:rFonts w:ascii="Times New Roman" w:hAnsi="Times New Roman"/>
          <w:sz w:val="24"/>
        </w:rPr>
      </w:pPr>
      <w:r w:rsidRPr="00EB5DD1">
        <w:rPr>
          <w:rFonts w:ascii="Times New Roman" w:hAnsi="Times New Roman"/>
          <w:b/>
          <w:sz w:val="24"/>
          <w:szCs w:val="24"/>
        </w:rPr>
        <w:t>Procedimento para o julgamento das novas Repercussões Gerais</w:t>
      </w:r>
      <w:r w:rsidRPr="00EB5DD1">
        <w:rPr>
          <w:rFonts w:ascii="Times New Roman" w:hAnsi="Times New Roman"/>
          <w:sz w:val="24"/>
          <w:szCs w:val="24"/>
        </w:rPr>
        <w:t>: Nesse terceiro e último ponto, o Ministro Barroso trata das questões procedimentais a serem seguidas após a seleção dos casos. Em suma, as mudanças se referem à redistribuição dos processos após reconhecida a Repercussão Geral, a fixação de datas distintas para sustentação oral e posterior julgamento. No que diz respeito à redistribuição, aduz que os processos seriam redistribuídos, equ</w:t>
      </w:r>
      <w:r>
        <w:rPr>
          <w:rFonts w:ascii="Times New Roman" w:hAnsi="Times New Roman"/>
          <w:sz w:val="24"/>
          <w:szCs w:val="24"/>
        </w:rPr>
        <w:t xml:space="preserve">itativamente, para todos os </w:t>
      </w:r>
      <w:r w:rsidRPr="00EB5DD1">
        <w:rPr>
          <w:rFonts w:ascii="Times New Roman" w:hAnsi="Times New Roman"/>
          <w:sz w:val="24"/>
          <w:szCs w:val="24"/>
        </w:rPr>
        <w:t xml:space="preserve">dez Ministros (o Presidente, como se sabe, não recebe distribuição). Isso </w:t>
      </w:r>
      <w:r>
        <w:rPr>
          <w:rFonts w:ascii="Times New Roman" w:hAnsi="Times New Roman"/>
          <w:sz w:val="24"/>
          <w:szCs w:val="24"/>
        </w:rPr>
        <w:t xml:space="preserve">significa que, se forem </w:t>
      </w:r>
      <w:r w:rsidRPr="00EB5DD1">
        <w:rPr>
          <w:rFonts w:ascii="Times New Roman" w:hAnsi="Times New Roman"/>
          <w:sz w:val="24"/>
          <w:szCs w:val="24"/>
        </w:rPr>
        <w:t>dez as Repercussões Gerais reconhecidas no semestre, cada Ministro receberia uma, mediante sorteio, para relatar. Quanto à data de julgamento de mérito dos recursos com RG selecionados,</w:t>
      </w:r>
      <w:r>
        <w:rPr>
          <w:rFonts w:ascii="Times New Roman" w:hAnsi="Times New Roman"/>
          <w:sz w:val="24"/>
          <w:szCs w:val="24"/>
        </w:rPr>
        <w:t xml:space="preserve"> o Ministro</w:t>
      </w:r>
      <w:r w:rsidRPr="00EB5DD1">
        <w:rPr>
          <w:rFonts w:ascii="Times New Roman" w:hAnsi="Times New Roman"/>
          <w:sz w:val="24"/>
          <w:szCs w:val="24"/>
        </w:rPr>
        <w:t xml:space="preserve"> defende que</w:t>
      </w:r>
      <w:r>
        <w:rPr>
          <w:rFonts w:ascii="Times New Roman" w:hAnsi="Times New Roman"/>
          <w:sz w:val="24"/>
          <w:szCs w:val="24"/>
        </w:rPr>
        <w:t>,</w:t>
      </w:r>
      <w:r w:rsidRPr="00EB5DD1">
        <w:rPr>
          <w:rFonts w:ascii="Times New Roman" w:hAnsi="Times New Roman"/>
          <w:sz w:val="24"/>
          <w:szCs w:val="24"/>
        </w:rPr>
        <w:t xml:space="preserve"> para acabar com o tormento que as pautas confusas e atravancadas do STF representam para Ministros, advogados e interessados, passaria a haver um cronograma pré-fixado de julgamento, definido com mais de um semestre de antecedênci</w:t>
      </w:r>
      <w:r>
        <w:rPr>
          <w:rFonts w:ascii="Times New Roman" w:hAnsi="Times New Roman"/>
          <w:sz w:val="24"/>
          <w:szCs w:val="24"/>
        </w:rPr>
        <w:t xml:space="preserve">a. Por exemplo, as </w:t>
      </w:r>
      <w:r w:rsidRPr="00EB5DD1">
        <w:rPr>
          <w:rFonts w:ascii="Times New Roman" w:hAnsi="Times New Roman"/>
          <w:sz w:val="24"/>
          <w:szCs w:val="24"/>
        </w:rPr>
        <w:t>dez Repercussões Gerais r</w:t>
      </w:r>
      <w:r>
        <w:rPr>
          <w:rFonts w:ascii="Times New Roman" w:hAnsi="Times New Roman"/>
          <w:sz w:val="24"/>
          <w:szCs w:val="24"/>
        </w:rPr>
        <w:t>econhecidas em dezembro de 2014</w:t>
      </w:r>
      <w:r w:rsidRPr="00EB5DD1">
        <w:rPr>
          <w:rFonts w:ascii="Times New Roman" w:hAnsi="Times New Roman"/>
          <w:sz w:val="24"/>
          <w:szCs w:val="24"/>
        </w:rPr>
        <w:t xml:space="preserve"> passariam a ser julgadas a partir de agosto de 2015. </w:t>
      </w:r>
      <w:r>
        <w:rPr>
          <w:rFonts w:ascii="Times New Roman" w:hAnsi="Times New Roman"/>
          <w:sz w:val="24"/>
          <w:szCs w:val="24"/>
        </w:rPr>
        <w:t>Ele s</w:t>
      </w:r>
      <w:r w:rsidRPr="00EB5DD1">
        <w:rPr>
          <w:rFonts w:ascii="Times New Roman" w:hAnsi="Times New Roman"/>
          <w:sz w:val="24"/>
          <w:szCs w:val="24"/>
        </w:rPr>
        <w:t>ustenta que o modelo ideal funcionaria assim: a Repercussão Geral 1 (RG1) seria julgada como o primeiro processo da pauta de quarta-feira, dia 5 de agosto de 2015. A Repercussão Geral 2 (RG2) seria julgada como o primeiro processo da pauta de quarta-feira, dia 19 de agosto, e assim sucessivamente. Com essa nova fórmul</w:t>
      </w:r>
      <w:r>
        <w:rPr>
          <w:rFonts w:ascii="Times New Roman" w:hAnsi="Times New Roman"/>
          <w:sz w:val="24"/>
          <w:szCs w:val="24"/>
        </w:rPr>
        <w:t xml:space="preserve">a, os Ministros teriam mais de </w:t>
      </w:r>
      <w:r w:rsidRPr="00EB5DD1">
        <w:rPr>
          <w:rFonts w:ascii="Times New Roman" w:hAnsi="Times New Roman"/>
          <w:sz w:val="24"/>
          <w:szCs w:val="24"/>
        </w:rPr>
        <w:t xml:space="preserve">seis meses para se prepararem para os casos importantes, eliminando os pedidos de vista e os advogados não </w:t>
      </w:r>
      <w:r>
        <w:rPr>
          <w:rFonts w:ascii="Times New Roman" w:hAnsi="Times New Roman"/>
          <w:sz w:val="24"/>
          <w:szCs w:val="24"/>
        </w:rPr>
        <w:t>necessitariam</w:t>
      </w:r>
      <w:r w:rsidRPr="00EB5DD1">
        <w:rPr>
          <w:rFonts w:ascii="Times New Roman" w:hAnsi="Times New Roman"/>
          <w:sz w:val="24"/>
          <w:szCs w:val="24"/>
        </w:rPr>
        <w:t xml:space="preserve"> viajar sucessivas semanas para Brasília, à espera do julgamento</w:t>
      </w:r>
      <w:r>
        <w:rPr>
          <w:rFonts w:ascii="Times New Roman" w:hAnsi="Times New Roman"/>
          <w:sz w:val="24"/>
          <w:szCs w:val="24"/>
        </w:rPr>
        <w:t>,</w:t>
      </w:r>
      <w:r w:rsidRPr="00EB5DD1">
        <w:rPr>
          <w:rFonts w:ascii="Times New Roman" w:hAnsi="Times New Roman"/>
          <w:sz w:val="24"/>
          <w:szCs w:val="24"/>
        </w:rPr>
        <w:t xml:space="preserve"> que nunca se sabe exatamente quando vai ocorrer. Por fim, quanto à data para sustentações orais, </w:t>
      </w:r>
      <w:r>
        <w:rPr>
          <w:rFonts w:ascii="Times New Roman" w:hAnsi="Times New Roman"/>
          <w:sz w:val="24"/>
          <w:szCs w:val="24"/>
        </w:rPr>
        <w:t xml:space="preserve">o Ministro Barroso </w:t>
      </w:r>
      <w:r w:rsidRPr="00EB5DD1">
        <w:rPr>
          <w:rFonts w:ascii="Times New Roman" w:hAnsi="Times New Roman"/>
          <w:sz w:val="24"/>
          <w:szCs w:val="24"/>
        </w:rPr>
        <w:t xml:space="preserve">defende que os casos com RG reconhecida em dezembro de 2014, por exemplo, e com julgamento a ser realizado a partir de agosto de 2015, seriam realizadas a partir de fevereiro de 2015. Seguir-se-ia, portanto, a mesma lógica para julgamento: a sustentação da Repercussão </w:t>
      </w:r>
      <w:r>
        <w:rPr>
          <w:rFonts w:ascii="Times New Roman" w:hAnsi="Times New Roman"/>
          <w:sz w:val="24"/>
          <w:szCs w:val="24"/>
        </w:rPr>
        <w:t>Geral 1 (RG1) teria lugar na quinta-</w:t>
      </w:r>
      <w:r w:rsidRPr="00EB5DD1">
        <w:rPr>
          <w:rFonts w:ascii="Times New Roman" w:hAnsi="Times New Roman"/>
          <w:sz w:val="24"/>
          <w:szCs w:val="24"/>
        </w:rPr>
        <w:t xml:space="preserve">feira, dia 5 de fevereiro de 2015. A sustentação da Repercussão Geral 2 (RG2) teria lugar na </w:t>
      </w:r>
      <w:r>
        <w:rPr>
          <w:rFonts w:ascii="Times New Roman" w:hAnsi="Times New Roman"/>
          <w:sz w:val="24"/>
          <w:szCs w:val="24"/>
        </w:rPr>
        <w:t>quinta</w:t>
      </w:r>
      <w:r w:rsidRPr="00EB5DD1">
        <w:rPr>
          <w:rFonts w:ascii="Times New Roman" w:hAnsi="Times New Roman"/>
          <w:sz w:val="24"/>
          <w:szCs w:val="24"/>
        </w:rPr>
        <w:t>-feira, dia 20 de fevereiro de 2015, e assim por diante. Segundo o Ministro, o fundamento dessa alteração é por si evidente: sustentação no mesmo dia do julgamento não tem qualquer valia para o Relator</w:t>
      </w:r>
      <w:r>
        <w:rPr>
          <w:rFonts w:ascii="Times New Roman" w:hAnsi="Times New Roman"/>
          <w:sz w:val="24"/>
          <w:szCs w:val="24"/>
        </w:rPr>
        <w:t xml:space="preserve"> e nem para os demais Ministros,</w:t>
      </w:r>
      <w:r w:rsidRPr="00EB5DD1">
        <w:rPr>
          <w:rFonts w:ascii="Times New Roman" w:hAnsi="Times New Roman"/>
          <w:sz w:val="24"/>
          <w:szCs w:val="24"/>
        </w:rPr>
        <w:t xml:space="preserve"> que</w:t>
      </w:r>
      <w:r>
        <w:rPr>
          <w:rFonts w:ascii="Times New Roman" w:hAnsi="Times New Roman"/>
          <w:sz w:val="24"/>
          <w:szCs w:val="24"/>
        </w:rPr>
        <w:t>,</w:t>
      </w:r>
      <w:r w:rsidRPr="00EB5DD1">
        <w:rPr>
          <w:rFonts w:ascii="Times New Roman" w:hAnsi="Times New Roman"/>
          <w:sz w:val="24"/>
          <w:szCs w:val="24"/>
        </w:rPr>
        <w:t xml:space="preserve"> muitas vezes</w:t>
      </w:r>
      <w:r>
        <w:rPr>
          <w:rFonts w:ascii="Times New Roman" w:hAnsi="Times New Roman"/>
          <w:sz w:val="24"/>
          <w:szCs w:val="24"/>
        </w:rPr>
        <w:t>,</w:t>
      </w:r>
      <w:r w:rsidRPr="00EB5DD1">
        <w:rPr>
          <w:rFonts w:ascii="Times New Roman" w:hAnsi="Times New Roman"/>
          <w:sz w:val="24"/>
          <w:szCs w:val="24"/>
        </w:rPr>
        <w:t xml:space="preserve"> já m</w:t>
      </w:r>
      <w:r>
        <w:rPr>
          <w:rFonts w:ascii="Times New Roman" w:hAnsi="Times New Roman"/>
          <w:sz w:val="24"/>
          <w:szCs w:val="24"/>
        </w:rPr>
        <w:t xml:space="preserve">inutaram seus votos ou formaram </w:t>
      </w:r>
      <w:r w:rsidRPr="00EB5DD1">
        <w:rPr>
          <w:rFonts w:ascii="Times New Roman" w:hAnsi="Times New Roman"/>
          <w:sz w:val="24"/>
          <w:szCs w:val="24"/>
        </w:rPr>
        <w:t>sua convicção. Separando as datas de sustentação e julgamento, todos os Ministros poderiam preparar</w:t>
      </w:r>
      <w:r>
        <w:rPr>
          <w:rFonts w:ascii="Times New Roman" w:hAnsi="Times New Roman"/>
          <w:sz w:val="24"/>
          <w:szCs w:val="24"/>
        </w:rPr>
        <w:t>-se</w:t>
      </w:r>
      <w:r w:rsidRPr="00EB5DD1">
        <w:rPr>
          <w:rFonts w:ascii="Times New Roman" w:hAnsi="Times New Roman"/>
          <w:sz w:val="24"/>
          <w:szCs w:val="24"/>
        </w:rPr>
        <w:t xml:space="preserve"> levando em conta os argumentos apresentados.</w:t>
      </w:r>
    </w:p>
    <w:p w:rsidR="00D549BC" w:rsidRDefault="00D549BC" w:rsidP="007826D4">
      <w:pPr>
        <w:spacing w:after="240"/>
        <w:ind w:firstLine="851"/>
        <w:contextualSpacing/>
        <w:rPr>
          <w:rFonts w:ascii="Times New Roman" w:hAnsi="Times New Roman"/>
          <w:sz w:val="24"/>
        </w:rPr>
      </w:pPr>
      <w:r>
        <w:rPr>
          <w:rFonts w:ascii="Times New Roman" w:hAnsi="Times New Roman"/>
          <w:sz w:val="24"/>
        </w:rPr>
        <w:t>Essas seriam, então, as inovações propostas pelo Ministro Roberto Barroso, as quais, em sua percepção, só dependeriam de alterações regimentais, ou seja, não demandariam Emenda à Constituição ou edição de lei ordinária para serem implementadas.</w:t>
      </w:r>
    </w:p>
    <w:p w:rsidR="00D549BC" w:rsidRDefault="00D549BC" w:rsidP="00F039BF">
      <w:pPr>
        <w:spacing w:after="240"/>
        <w:contextualSpacing/>
        <w:rPr>
          <w:rFonts w:ascii="Times New Roman" w:hAnsi="Times New Roman"/>
          <w:sz w:val="24"/>
        </w:rPr>
      </w:pPr>
      <w:r>
        <w:rPr>
          <w:rFonts w:ascii="Times New Roman" w:hAnsi="Times New Roman"/>
          <w:sz w:val="24"/>
        </w:rPr>
        <w:t xml:space="preserve">Contudo, o Ministro entende que, ainda que tal revolução viesse a se concretizar, manter-se-ia pendente uma situação concreta a ser resolvida, qual seja: </w:t>
      </w:r>
      <w:r w:rsidRPr="00F976C7">
        <w:rPr>
          <w:rFonts w:ascii="Times New Roman" w:hAnsi="Times New Roman"/>
          <w:i/>
          <w:sz w:val="24"/>
        </w:rPr>
        <w:t xml:space="preserve">o estoque de </w:t>
      </w:r>
      <w:r>
        <w:rPr>
          <w:rFonts w:ascii="Times New Roman" w:hAnsi="Times New Roman"/>
          <w:i/>
          <w:sz w:val="24"/>
        </w:rPr>
        <w:t>R</w:t>
      </w:r>
      <w:r w:rsidRPr="00F976C7">
        <w:rPr>
          <w:rFonts w:ascii="Times New Roman" w:hAnsi="Times New Roman"/>
          <w:i/>
          <w:sz w:val="24"/>
        </w:rPr>
        <w:t xml:space="preserve">epercussões </w:t>
      </w:r>
      <w:r>
        <w:rPr>
          <w:rFonts w:ascii="Times New Roman" w:hAnsi="Times New Roman"/>
          <w:i/>
          <w:sz w:val="24"/>
        </w:rPr>
        <w:t>G</w:t>
      </w:r>
      <w:r w:rsidRPr="00F976C7">
        <w:rPr>
          <w:rFonts w:ascii="Times New Roman" w:hAnsi="Times New Roman"/>
          <w:i/>
          <w:sz w:val="24"/>
        </w:rPr>
        <w:t>erais já reconhecidas</w:t>
      </w:r>
      <w:r>
        <w:rPr>
          <w:rFonts w:ascii="Times New Roman" w:hAnsi="Times New Roman"/>
          <w:sz w:val="24"/>
        </w:rPr>
        <w:t>.</w:t>
      </w:r>
    </w:p>
    <w:p w:rsidR="00D549BC" w:rsidRDefault="00D549BC" w:rsidP="0089208F">
      <w:pPr>
        <w:spacing w:after="240"/>
        <w:contextualSpacing/>
        <w:rPr>
          <w:rFonts w:ascii="Times New Roman" w:hAnsi="Times New Roman"/>
          <w:sz w:val="24"/>
        </w:rPr>
      </w:pPr>
      <w:r>
        <w:rPr>
          <w:rFonts w:ascii="Times New Roman" w:hAnsi="Times New Roman"/>
          <w:sz w:val="24"/>
        </w:rPr>
        <w:t>Nesse ponto, mais uma vez, a solução buscada pelo Ministro Barroso é ousada, sendo apresentadas três propostas distintas para o problema do estoque de Repercussões com julgamento de mérito pendentes. Vejamos cada uma delas:</w:t>
      </w:r>
    </w:p>
    <w:p w:rsidR="00D549BC" w:rsidRDefault="00D549BC" w:rsidP="006B3965">
      <w:pPr>
        <w:spacing w:after="120" w:line="240" w:lineRule="auto"/>
        <w:ind w:left="2268" w:firstLine="0"/>
        <w:contextualSpacing/>
        <w:rPr>
          <w:rFonts w:ascii="Times New Roman" w:hAnsi="Times New Roman"/>
        </w:rPr>
      </w:pPr>
      <w:r w:rsidRPr="00231B3D">
        <w:rPr>
          <w:rFonts w:ascii="Times New Roman" w:hAnsi="Times New Roman"/>
          <w:b/>
        </w:rPr>
        <w:t>Proposta 1</w:t>
      </w:r>
      <w:r w:rsidRPr="00231B3D">
        <w:rPr>
          <w:rFonts w:ascii="Times New Roman" w:hAnsi="Times New Roman"/>
        </w:rPr>
        <w:t xml:space="preserve">: Cada </w:t>
      </w:r>
      <w:r>
        <w:rPr>
          <w:rFonts w:ascii="Times New Roman" w:hAnsi="Times New Roman"/>
        </w:rPr>
        <w:t>r</w:t>
      </w:r>
      <w:r w:rsidRPr="00231B3D">
        <w:rPr>
          <w:rFonts w:ascii="Times New Roman" w:hAnsi="Times New Roman"/>
        </w:rPr>
        <w:t xml:space="preserve">elator das repercussões gerais já reconhecidas indicará à Presidência os processos que serão submetidos a julgamento breve. São casos relativamente simples, que talvez nem devessem ter recebido repercussão geral. Nos casos de julgamento breve, o relator apresentaria seu relatório e voto em até 20 minutos. A primeira divergência procuraria observar o prazo máximo de 15 minutos. Os demais Ministros procurariam não exceder 5 minutos nos seus votos. Nesses casos, as partes fariam sua sustentação (pelo modelo tradicional, na data do julgamento) e os </w:t>
      </w:r>
      <w:r w:rsidRPr="00231B3D">
        <w:rPr>
          <w:rFonts w:ascii="Times New Roman" w:hAnsi="Times New Roman"/>
          <w:i/>
        </w:rPr>
        <w:t>amici curiae</w:t>
      </w:r>
      <w:r w:rsidRPr="00231B3D">
        <w:rPr>
          <w:rFonts w:ascii="Times New Roman" w:hAnsi="Times New Roman"/>
        </w:rPr>
        <w:t xml:space="preserve"> se manifestariam apenas por escrito (ou, caso se adote a sugestão do Ministro Dias Toffoli, fariam sua sustentação em Plenário Virtual).</w:t>
      </w:r>
      <w:r>
        <w:rPr>
          <w:rFonts w:ascii="Times New Roman" w:hAnsi="Times New Roman"/>
        </w:rPr>
        <w:t xml:space="preserve"> </w:t>
      </w:r>
    </w:p>
    <w:p w:rsidR="00D549BC" w:rsidRDefault="00D549BC" w:rsidP="006B3965">
      <w:pPr>
        <w:spacing w:after="120" w:line="240" w:lineRule="auto"/>
        <w:ind w:left="2268" w:firstLine="0"/>
        <w:contextualSpacing/>
        <w:rPr>
          <w:rFonts w:ascii="Times New Roman" w:hAnsi="Times New Roman"/>
        </w:rPr>
      </w:pPr>
      <w:r w:rsidRPr="00231B3D">
        <w:rPr>
          <w:rFonts w:ascii="Times New Roman" w:hAnsi="Times New Roman"/>
          <w:b/>
        </w:rPr>
        <w:t>Proposta 2</w:t>
      </w:r>
      <w:r w:rsidRPr="00231B3D">
        <w:rPr>
          <w:rFonts w:ascii="Times New Roman" w:hAnsi="Times New Roman"/>
        </w:rPr>
        <w:t>: Cada relator das repercussões gerais já reconhecidas avaliaria se a hipótese é de reafirmação da jurisprudência dominante da Corte, hipótese em que procederia ao julgamento por meio eletrônico, conforme autorizado pelo art. 323-A do RI. É que esta previsão regimental só foi promulgada em 2010, quando inúmeras repercussões gerais já haviam sido reconhecidas. Mas tratando-se de norma procedimental, não há obstáculo a sua aplicação às repercussões gerais reconhecidas anteriormente.</w:t>
      </w:r>
    </w:p>
    <w:p w:rsidR="00D549BC" w:rsidRPr="00231B3D" w:rsidRDefault="00D549BC" w:rsidP="006B3965">
      <w:pPr>
        <w:spacing w:after="240" w:line="240" w:lineRule="auto"/>
        <w:ind w:left="2268" w:firstLine="0"/>
        <w:contextualSpacing/>
        <w:rPr>
          <w:rFonts w:ascii="Times New Roman" w:hAnsi="Times New Roman"/>
        </w:rPr>
      </w:pPr>
      <w:r w:rsidRPr="00231B3D">
        <w:rPr>
          <w:rFonts w:ascii="Times New Roman" w:hAnsi="Times New Roman"/>
          <w:b/>
        </w:rPr>
        <w:t>Proposta 3</w:t>
      </w:r>
      <w:r w:rsidRPr="00231B3D">
        <w:rPr>
          <w:rFonts w:ascii="Times New Roman" w:hAnsi="Times New Roman"/>
        </w:rPr>
        <w:t xml:space="preserve">: Cada relator das repercussões gerais já reconhecidas submeteria, em questão de ordem ao Plenário, </w:t>
      </w:r>
      <w:r w:rsidRPr="00231B3D">
        <w:rPr>
          <w:rFonts w:ascii="Times New Roman" w:hAnsi="Times New Roman"/>
          <w:i/>
        </w:rPr>
        <w:t>a retirada do reconhecimento de repercussão geral nos casos em que, manifestamente, não há questão constitucional em jogo ou relevância da questão constitucional eventualmente presente</w:t>
      </w:r>
      <w:r>
        <w:rPr>
          <w:rFonts w:ascii="Times New Roman" w:hAnsi="Times New Roman"/>
          <w:i/>
        </w:rPr>
        <w:t>.</w:t>
      </w:r>
      <w:r>
        <w:rPr>
          <w:rStyle w:val="FootnoteReference"/>
          <w:rFonts w:ascii="Times New Roman" w:hAnsi="Times New Roman"/>
          <w:i/>
        </w:rPr>
        <w:footnoteReference w:id="237"/>
      </w:r>
    </w:p>
    <w:p w:rsidR="00D549BC" w:rsidRDefault="00D549BC" w:rsidP="006B3965">
      <w:pPr>
        <w:spacing w:after="240"/>
        <w:ind w:firstLine="851"/>
        <w:contextualSpacing/>
        <w:rPr>
          <w:rFonts w:ascii="Times New Roman" w:hAnsi="Times New Roman"/>
          <w:sz w:val="24"/>
        </w:rPr>
      </w:pPr>
    </w:p>
    <w:p w:rsidR="00D549BC" w:rsidRDefault="00D549BC" w:rsidP="0089208F">
      <w:pPr>
        <w:spacing w:after="240"/>
        <w:contextualSpacing/>
        <w:rPr>
          <w:rFonts w:ascii="Times New Roman" w:hAnsi="Times New Roman"/>
          <w:sz w:val="24"/>
        </w:rPr>
      </w:pPr>
      <w:r>
        <w:rPr>
          <w:rFonts w:ascii="Times New Roman" w:hAnsi="Times New Roman"/>
          <w:sz w:val="24"/>
        </w:rPr>
        <w:t>Percebe-se, por todo o exposto, que o Ministro Roberto Barroso pretende fazer, não individualmente, mas, ao contrário, coletivamente, profundas alterações na pauta institucional do Supremo Tribunal Federal, em especial no que diz respeito aos recursos com preliminar de Repercussão Geral. Dessa forma, é oportuno, analisarmos, doravante, quais medidas, dentre aquelas defendidas pelo Ministro Roberto Barroso, que chegou à Corte no ano de 2013, já foram efetivamente implementadas ou estão em via de o serem.</w:t>
      </w:r>
    </w:p>
    <w:p w:rsidR="00D549BC" w:rsidRDefault="00D549BC" w:rsidP="006B3965">
      <w:pPr>
        <w:spacing w:after="240"/>
        <w:ind w:firstLine="851"/>
        <w:contextualSpacing/>
        <w:rPr>
          <w:rFonts w:ascii="Times New Roman" w:hAnsi="Times New Roman"/>
          <w:sz w:val="24"/>
        </w:rPr>
      </w:pPr>
    </w:p>
    <w:p w:rsidR="00D549BC" w:rsidRPr="0089208F" w:rsidRDefault="00D549BC" w:rsidP="008A2CEF">
      <w:pPr>
        <w:spacing w:after="240"/>
        <w:ind w:firstLine="0"/>
        <w:contextualSpacing/>
        <w:rPr>
          <w:rFonts w:ascii="Times New Roman" w:hAnsi="Times New Roman"/>
          <w:b/>
          <w:sz w:val="24"/>
        </w:rPr>
      </w:pPr>
      <w:r w:rsidRPr="0089208F">
        <w:rPr>
          <w:rFonts w:ascii="Times New Roman" w:hAnsi="Times New Roman"/>
          <w:b/>
          <w:sz w:val="24"/>
        </w:rPr>
        <w:t>4.3.3 O que foi concretizado em 2014, e o que esperar para os próximos anos?</w:t>
      </w:r>
    </w:p>
    <w:p w:rsidR="00D549BC" w:rsidRDefault="00D549BC" w:rsidP="008A2CEF">
      <w:pPr>
        <w:spacing w:after="240"/>
        <w:ind w:firstLine="0"/>
        <w:contextualSpacing/>
        <w:rPr>
          <w:rFonts w:ascii="Times New Roman" w:hAnsi="Times New Roman"/>
          <w:sz w:val="24"/>
        </w:rPr>
      </w:pPr>
    </w:p>
    <w:p w:rsidR="00D549BC" w:rsidRDefault="00D549BC" w:rsidP="0089208F">
      <w:pPr>
        <w:spacing w:after="240"/>
        <w:contextualSpacing/>
        <w:rPr>
          <w:rFonts w:ascii="Times New Roman" w:hAnsi="Times New Roman"/>
          <w:sz w:val="24"/>
        </w:rPr>
      </w:pPr>
      <w:r>
        <w:rPr>
          <w:rFonts w:ascii="Times New Roman" w:hAnsi="Times New Roman"/>
          <w:sz w:val="24"/>
        </w:rPr>
        <w:t>Podemos afirmar, de pronto, que a conjunção de dois fatores foi imprescindível para o que ocorreu, do ponto de vista institucional, no ano de 2014 na Suprema Corte do Brasil, a saber: (i) a chegada do Ministro Luís Roberto Barroso, no segundo semestre de 2013; e (ii) a nova presidência da Corte, sob o comando do Ministro Ricardo Lewandowski (2014-2016).</w:t>
      </w:r>
    </w:p>
    <w:p w:rsidR="00D549BC" w:rsidRDefault="00D549BC" w:rsidP="0089208F">
      <w:pPr>
        <w:spacing w:after="240"/>
        <w:contextualSpacing/>
        <w:rPr>
          <w:rFonts w:ascii="Times New Roman" w:hAnsi="Times New Roman"/>
          <w:sz w:val="24"/>
        </w:rPr>
      </w:pPr>
      <w:r>
        <w:rPr>
          <w:rFonts w:ascii="Times New Roman" w:hAnsi="Times New Roman"/>
          <w:sz w:val="24"/>
        </w:rPr>
        <w:t xml:space="preserve">O primeiro fator decorre da plena ciência do Ministro Roberto Barroso, ao assumir seu cargo na Corte Suprema brasileira, acerca do quadro de instabilidade funcional que afligia o STF, em decorrência do excessivo número de processos, principalmente os da classe recursal. Isso ficou ainda mais perceptível quando tornou públicas suas ideias de tentar reverter a situação em que a Corte se encontrava. </w:t>
      </w:r>
    </w:p>
    <w:p w:rsidR="00D549BC" w:rsidRDefault="00D549BC" w:rsidP="0089208F">
      <w:pPr>
        <w:spacing w:after="240"/>
        <w:contextualSpacing/>
        <w:rPr>
          <w:rFonts w:ascii="Times New Roman" w:hAnsi="Times New Roman"/>
          <w:sz w:val="24"/>
        </w:rPr>
      </w:pPr>
      <w:r>
        <w:rPr>
          <w:rFonts w:ascii="Times New Roman" w:hAnsi="Times New Roman"/>
          <w:sz w:val="24"/>
        </w:rPr>
        <w:t>Já o segundo fator, a nova presidência da Corte, advém do compromisso firmado pelo Ministro Ricardo Lewandowski, no momento de sua posse como Presidente, em 10 de setembro de 2014, em priorizar o julgamento das Repercussões Gerais pendentes, bem como viabilizar a edição de novos enunciados de Súmula Vinculante. Em seu discurso de posse afirmou que:</w:t>
      </w:r>
    </w:p>
    <w:p w:rsidR="00D549BC" w:rsidRDefault="00D549BC" w:rsidP="00353CC5">
      <w:pPr>
        <w:spacing w:after="240" w:line="240" w:lineRule="auto"/>
        <w:ind w:left="2268" w:firstLine="0"/>
        <w:contextualSpacing/>
        <w:rPr>
          <w:rFonts w:ascii="Times New Roman" w:hAnsi="Times New Roman"/>
        </w:rPr>
      </w:pPr>
      <w:r w:rsidRPr="000B68E5">
        <w:rPr>
          <w:rFonts w:ascii="Times New Roman" w:hAnsi="Times New Roman"/>
        </w:rPr>
        <w:t>A racionalização e intensificação do emprego da repercussão geral será prestigiada não apenas porque reduzirá substancialmente o trabalho dos integrantes do tribunal. Merecerá especial destaque sobretudo porque a solução de um recurso extraordinário qualquer, qualificado com esse rótulo,</w:t>
      </w:r>
      <w:r>
        <w:rPr>
          <w:rFonts w:ascii="Times New Roman" w:hAnsi="Times New Roman"/>
        </w:rPr>
        <w:t xml:space="preserve"> </w:t>
      </w:r>
      <w:r w:rsidRPr="000B68E5">
        <w:rPr>
          <w:rFonts w:ascii="Times New Roman" w:hAnsi="Times New Roman"/>
        </w:rPr>
        <w:t>permitirá que sejam decididas centenas ou até milhares de ações nos tribunais de origem</w:t>
      </w:r>
      <w:r>
        <w:rPr>
          <w:rFonts w:ascii="Times New Roman" w:hAnsi="Times New Roman"/>
        </w:rPr>
        <w:t xml:space="preserve">. </w:t>
      </w:r>
      <w:r w:rsidRPr="00353CC5">
        <w:rPr>
          <w:rFonts w:ascii="Times New Roman" w:hAnsi="Times New Roman"/>
        </w:rPr>
        <w:t>Atualmente, tramitam na Corte 333 recursos extraordinários com</w:t>
      </w:r>
      <w:r>
        <w:rPr>
          <w:rFonts w:ascii="Times New Roman" w:hAnsi="Times New Roman"/>
        </w:rPr>
        <w:t xml:space="preserve"> </w:t>
      </w:r>
      <w:r w:rsidRPr="00353CC5">
        <w:rPr>
          <w:rFonts w:ascii="Times New Roman" w:hAnsi="Times New Roman"/>
        </w:rPr>
        <w:t>repercussão geral reconhecida e apreciação de mérito pendente, os quais mantém em</w:t>
      </w:r>
      <w:r>
        <w:rPr>
          <w:rFonts w:ascii="Times New Roman" w:hAnsi="Times New Roman"/>
        </w:rPr>
        <w:t xml:space="preserve"> </w:t>
      </w:r>
      <w:r w:rsidRPr="00353CC5">
        <w:rPr>
          <w:rFonts w:ascii="Times New Roman" w:hAnsi="Times New Roman"/>
        </w:rPr>
        <w:t>suspenso, nas instâncias inferiores, enquanto não forem julgados, cerca de 700 mil</w:t>
      </w:r>
      <w:r>
        <w:rPr>
          <w:rFonts w:ascii="Times New Roman" w:hAnsi="Times New Roman"/>
        </w:rPr>
        <w:t xml:space="preserve"> </w:t>
      </w:r>
      <w:r w:rsidRPr="00353CC5">
        <w:rPr>
          <w:rFonts w:ascii="Times New Roman" w:hAnsi="Times New Roman"/>
        </w:rPr>
        <w:t>processos</w:t>
      </w:r>
      <w:r>
        <w:rPr>
          <w:rFonts w:ascii="Times New Roman" w:hAnsi="Times New Roman"/>
        </w:rPr>
        <w:t xml:space="preserve">. </w:t>
      </w:r>
      <w:r w:rsidRPr="000B68E5">
        <w:rPr>
          <w:rFonts w:ascii="Times New Roman" w:hAnsi="Times New Roman"/>
        </w:rPr>
        <w:t xml:space="preserve"> </w:t>
      </w:r>
    </w:p>
    <w:p w:rsidR="00D549BC" w:rsidRPr="0089208F" w:rsidRDefault="00D549BC" w:rsidP="00353CC5">
      <w:pPr>
        <w:spacing w:after="240" w:line="240" w:lineRule="auto"/>
        <w:ind w:left="2268" w:firstLine="0"/>
        <w:contextualSpacing/>
        <w:rPr>
          <w:rFonts w:ascii="Times New Roman" w:hAnsi="Times New Roman"/>
        </w:rPr>
      </w:pPr>
      <w:r w:rsidRPr="0089208F">
        <w:rPr>
          <w:rFonts w:ascii="Times New Roman" w:hAnsi="Times New Roman"/>
        </w:rPr>
        <w:t>Pretendemos, ademais, facilitar e ampliar a edição de súmulas vinculantes, que fornecem diretrizes seguras e permanentes aos operadores do direito sobre pontos controvertidos da interpretação constitucional, por meio de enunciados sintéticos e objetivos. Nessa linha, buscaremos transformar as súmulas tradicionais já editadas em verbetes vinculantes, sempre que tecnicamente viável, de modo a ampliar a celeridade da prestação jurisdicional em todas as instâncias</w:t>
      </w:r>
      <w:r>
        <w:rPr>
          <w:rFonts w:ascii="Times New Roman" w:hAnsi="Times New Roman"/>
        </w:rPr>
        <w:t>.</w:t>
      </w:r>
      <w:r w:rsidRPr="0089208F">
        <w:rPr>
          <w:rStyle w:val="FootnoteReference"/>
          <w:rFonts w:ascii="Times New Roman" w:hAnsi="Times New Roman"/>
        </w:rPr>
        <w:footnoteReference w:id="238"/>
      </w:r>
      <w:r w:rsidRPr="0089208F">
        <w:rPr>
          <w:rFonts w:ascii="Times New Roman" w:hAnsi="Times New Roman"/>
        </w:rPr>
        <w:t xml:space="preserve"> </w:t>
      </w:r>
    </w:p>
    <w:p w:rsidR="00D549BC" w:rsidRDefault="00D549BC" w:rsidP="00654250">
      <w:pPr>
        <w:spacing w:after="240"/>
        <w:ind w:firstLine="851"/>
        <w:contextualSpacing/>
        <w:rPr>
          <w:rFonts w:ascii="Times New Roman" w:hAnsi="Times New Roman"/>
          <w:sz w:val="24"/>
        </w:rPr>
      </w:pPr>
    </w:p>
    <w:p w:rsidR="00D549BC" w:rsidRDefault="00D549BC" w:rsidP="0089208F">
      <w:pPr>
        <w:spacing w:after="240"/>
        <w:contextualSpacing/>
        <w:rPr>
          <w:rFonts w:ascii="Times New Roman" w:hAnsi="Times New Roman"/>
          <w:sz w:val="24"/>
        </w:rPr>
      </w:pPr>
      <w:r>
        <w:rPr>
          <w:rFonts w:ascii="Times New Roman" w:hAnsi="Times New Roman"/>
          <w:sz w:val="24"/>
        </w:rPr>
        <w:t xml:space="preserve">Com isso, percebe-se que ambos os Ministros tinham plena consciência da crise numérica enfrentada pelo STF e, dessa forma, assumiram, publicamente, a responsabilidade de, em conjunto com os demais Ministros, reverter o quadro de disfuncionalidade na Corte. Veremos, portanto, quais foram as principais mudanças ocorridas na pauta institucional do STF no ano de 2014. </w:t>
      </w:r>
    </w:p>
    <w:p w:rsidR="00D549BC" w:rsidRDefault="00D549BC" w:rsidP="00654250">
      <w:pPr>
        <w:spacing w:after="240"/>
        <w:ind w:firstLine="851"/>
        <w:contextualSpacing/>
        <w:rPr>
          <w:rFonts w:ascii="Times New Roman" w:hAnsi="Times New Roman"/>
          <w:sz w:val="24"/>
        </w:rPr>
      </w:pPr>
      <w:r>
        <w:rPr>
          <w:rFonts w:ascii="Times New Roman" w:hAnsi="Times New Roman"/>
          <w:sz w:val="24"/>
        </w:rPr>
        <w:t xml:space="preserve"> </w:t>
      </w:r>
    </w:p>
    <w:p w:rsidR="00D549BC" w:rsidRDefault="00D549BC" w:rsidP="00C35AB8">
      <w:pPr>
        <w:spacing w:after="240"/>
        <w:ind w:firstLine="0"/>
        <w:contextualSpacing/>
        <w:rPr>
          <w:rFonts w:ascii="Times New Roman" w:hAnsi="Times New Roman"/>
          <w:sz w:val="24"/>
        </w:rPr>
      </w:pPr>
      <w:r>
        <w:rPr>
          <w:rFonts w:ascii="Times New Roman" w:hAnsi="Times New Roman"/>
          <w:sz w:val="24"/>
        </w:rPr>
        <w:t xml:space="preserve">4.3.3.1 </w:t>
      </w:r>
      <w:r w:rsidRPr="0093508B">
        <w:rPr>
          <w:rFonts w:ascii="Times New Roman" w:hAnsi="Times New Roman"/>
          <w:sz w:val="24"/>
        </w:rPr>
        <w:t>Mudanças nas competências do Plenário</w:t>
      </w:r>
      <w:r>
        <w:rPr>
          <w:rFonts w:ascii="Times New Roman" w:hAnsi="Times New Roman"/>
          <w:sz w:val="24"/>
        </w:rPr>
        <w:t>: aprovação da Emenda Regimental nº 49, de 3 de junho de 2014</w:t>
      </w:r>
    </w:p>
    <w:p w:rsidR="00D549BC" w:rsidRDefault="00D549BC" w:rsidP="00C35AB8">
      <w:pPr>
        <w:spacing w:after="240"/>
        <w:ind w:firstLine="0"/>
        <w:contextualSpacing/>
        <w:rPr>
          <w:rFonts w:ascii="Times New Roman" w:hAnsi="Times New Roman"/>
          <w:sz w:val="24"/>
        </w:rPr>
      </w:pPr>
    </w:p>
    <w:p w:rsidR="00D549BC" w:rsidRDefault="00D549BC" w:rsidP="0089208F">
      <w:pPr>
        <w:spacing w:after="240"/>
        <w:contextualSpacing/>
        <w:rPr>
          <w:rFonts w:ascii="Times New Roman" w:hAnsi="Times New Roman"/>
          <w:sz w:val="24"/>
        </w:rPr>
      </w:pPr>
      <w:r w:rsidRPr="00A80B59">
        <w:rPr>
          <w:rFonts w:ascii="Times New Roman" w:hAnsi="Times New Roman"/>
          <w:sz w:val="24"/>
        </w:rPr>
        <w:t xml:space="preserve">Uma das principais alterações </w:t>
      </w:r>
      <w:r>
        <w:rPr>
          <w:rFonts w:ascii="Times New Roman" w:hAnsi="Times New Roman"/>
          <w:sz w:val="24"/>
        </w:rPr>
        <w:t>promovidas</w:t>
      </w:r>
      <w:r w:rsidRPr="00A80B59">
        <w:rPr>
          <w:rFonts w:ascii="Times New Roman" w:hAnsi="Times New Roman"/>
          <w:sz w:val="24"/>
        </w:rPr>
        <w:t xml:space="preserve"> no Supremo Tribunal Federal em 2014</w:t>
      </w:r>
      <w:r>
        <w:rPr>
          <w:rFonts w:ascii="Times New Roman" w:hAnsi="Times New Roman"/>
          <w:sz w:val="24"/>
        </w:rPr>
        <w:t xml:space="preserve"> </w:t>
      </w:r>
      <w:r w:rsidRPr="00A80B59">
        <w:rPr>
          <w:rFonts w:ascii="Times New Roman" w:hAnsi="Times New Roman"/>
          <w:sz w:val="24"/>
        </w:rPr>
        <w:t xml:space="preserve">foi a aprovação da Emenda Regimental </w:t>
      </w:r>
      <w:r>
        <w:rPr>
          <w:rFonts w:ascii="Times New Roman" w:hAnsi="Times New Roman"/>
          <w:sz w:val="24"/>
        </w:rPr>
        <w:t>nº 49, de 3</w:t>
      </w:r>
      <w:r w:rsidRPr="00A80B59">
        <w:rPr>
          <w:rFonts w:ascii="Times New Roman" w:hAnsi="Times New Roman"/>
          <w:sz w:val="24"/>
        </w:rPr>
        <w:t xml:space="preserve"> de </w:t>
      </w:r>
      <w:r>
        <w:rPr>
          <w:rFonts w:ascii="Times New Roman" w:hAnsi="Times New Roman"/>
          <w:sz w:val="24"/>
        </w:rPr>
        <w:t>junho</w:t>
      </w:r>
      <w:r w:rsidRPr="00A80B59">
        <w:rPr>
          <w:rFonts w:ascii="Times New Roman" w:hAnsi="Times New Roman"/>
          <w:sz w:val="24"/>
        </w:rPr>
        <w:t xml:space="preserve"> de 2014</w:t>
      </w:r>
      <w:r>
        <w:rPr>
          <w:rFonts w:ascii="Times New Roman" w:hAnsi="Times New Roman"/>
          <w:sz w:val="24"/>
        </w:rPr>
        <w:t>,</w:t>
      </w:r>
      <w:r>
        <w:rPr>
          <w:rStyle w:val="FootnoteReference"/>
          <w:rFonts w:ascii="Times New Roman" w:hAnsi="Times New Roman"/>
          <w:sz w:val="24"/>
        </w:rPr>
        <w:footnoteReference w:id="239"/>
      </w:r>
      <w:r w:rsidRPr="00A80B59">
        <w:rPr>
          <w:rFonts w:ascii="Times New Roman" w:hAnsi="Times New Roman"/>
          <w:sz w:val="24"/>
        </w:rPr>
        <w:t xml:space="preserve"> que</w:t>
      </w:r>
      <w:r>
        <w:rPr>
          <w:rFonts w:ascii="Times New Roman" w:hAnsi="Times New Roman"/>
          <w:sz w:val="24"/>
        </w:rPr>
        <w:t xml:space="preserve"> </w:t>
      </w:r>
      <w:r w:rsidRPr="00A80B59">
        <w:rPr>
          <w:rFonts w:ascii="Times New Roman" w:hAnsi="Times New Roman"/>
          <w:sz w:val="24"/>
        </w:rPr>
        <w:t>concretizou a transferência de inúmeras competências</w:t>
      </w:r>
      <w:r>
        <w:rPr>
          <w:rFonts w:ascii="Times New Roman" w:hAnsi="Times New Roman"/>
          <w:sz w:val="24"/>
        </w:rPr>
        <w:t xml:space="preserve"> originárias</w:t>
      </w:r>
      <w:r w:rsidRPr="00A80B59">
        <w:rPr>
          <w:rFonts w:ascii="Times New Roman" w:hAnsi="Times New Roman"/>
          <w:sz w:val="24"/>
        </w:rPr>
        <w:t xml:space="preserve"> do Plenário para as</w:t>
      </w:r>
      <w:r>
        <w:rPr>
          <w:rFonts w:ascii="Times New Roman" w:hAnsi="Times New Roman"/>
          <w:sz w:val="24"/>
        </w:rPr>
        <w:t xml:space="preserve"> T</w:t>
      </w:r>
      <w:r w:rsidRPr="00A80B59">
        <w:rPr>
          <w:rFonts w:ascii="Times New Roman" w:hAnsi="Times New Roman"/>
          <w:sz w:val="24"/>
        </w:rPr>
        <w:t>urmas</w:t>
      </w:r>
      <w:r>
        <w:rPr>
          <w:rFonts w:ascii="Times New Roman" w:hAnsi="Times New Roman"/>
          <w:sz w:val="24"/>
        </w:rPr>
        <w:t>, a saber: (i) ações penais contra D</w:t>
      </w:r>
      <w:r w:rsidRPr="00E0412C">
        <w:rPr>
          <w:rFonts w:ascii="Times New Roman" w:hAnsi="Times New Roman"/>
          <w:sz w:val="24"/>
        </w:rPr>
        <w:t>eputados</w:t>
      </w:r>
      <w:r>
        <w:rPr>
          <w:rFonts w:ascii="Times New Roman" w:hAnsi="Times New Roman"/>
          <w:sz w:val="24"/>
        </w:rPr>
        <w:t xml:space="preserve"> Federais</w:t>
      </w:r>
      <w:r w:rsidRPr="00E0412C">
        <w:rPr>
          <w:rFonts w:ascii="Times New Roman" w:hAnsi="Times New Roman"/>
          <w:sz w:val="24"/>
        </w:rPr>
        <w:t xml:space="preserve"> e </w:t>
      </w:r>
      <w:r>
        <w:rPr>
          <w:rFonts w:ascii="Times New Roman" w:hAnsi="Times New Roman"/>
          <w:sz w:val="24"/>
        </w:rPr>
        <w:t>S</w:t>
      </w:r>
      <w:r w:rsidRPr="00E0412C">
        <w:rPr>
          <w:rFonts w:ascii="Times New Roman" w:hAnsi="Times New Roman"/>
          <w:sz w:val="24"/>
        </w:rPr>
        <w:t>enadores</w:t>
      </w:r>
      <w:r>
        <w:rPr>
          <w:rFonts w:ascii="Times New Roman" w:hAnsi="Times New Roman"/>
          <w:sz w:val="24"/>
        </w:rPr>
        <w:t xml:space="preserve"> (à exceção dos P</w:t>
      </w:r>
      <w:r w:rsidRPr="00E0412C">
        <w:rPr>
          <w:rFonts w:ascii="Times New Roman" w:hAnsi="Times New Roman"/>
          <w:sz w:val="24"/>
        </w:rPr>
        <w:t>residentes das</w:t>
      </w:r>
      <w:r>
        <w:rPr>
          <w:rFonts w:ascii="Times New Roman" w:hAnsi="Times New Roman"/>
          <w:sz w:val="24"/>
        </w:rPr>
        <w:t xml:space="preserve"> respectivas </w:t>
      </w:r>
      <w:r w:rsidRPr="00E0412C">
        <w:rPr>
          <w:rFonts w:ascii="Times New Roman" w:hAnsi="Times New Roman"/>
          <w:sz w:val="24"/>
        </w:rPr>
        <w:t>Casas</w:t>
      </w:r>
      <w:r>
        <w:rPr>
          <w:rFonts w:ascii="Times New Roman" w:hAnsi="Times New Roman"/>
          <w:sz w:val="24"/>
        </w:rPr>
        <w:t>), Ministros de Estado, C</w:t>
      </w:r>
      <w:r w:rsidRPr="002101DC">
        <w:rPr>
          <w:rFonts w:ascii="Times New Roman" w:hAnsi="Times New Roman"/>
          <w:sz w:val="24"/>
        </w:rPr>
        <w:t xml:space="preserve">omandantes das Forças Armadas, </w:t>
      </w:r>
      <w:r>
        <w:rPr>
          <w:rFonts w:ascii="Times New Roman" w:hAnsi="Times New Roman"/>
          <w:sz w:val="24"/>
        </w:rPr>
        <w:t>m</w:t>
      </w:r>
      <w:r w:rsidRPr="002101DC">
        <w:rPr>
          <w:rFonts w:ascii="Times New Roman" w:hAnsi="Times New Roman"/>
          <w:sz w:val="24"/>
        </w:rPr>
        <w:t>embros dos</w:t>
      </w:r>
      <w:r>
        <w:rPr>
          <w:rFonts w:ascii="Times New Roman" w:hAnsi="Times New Roman"/>
          <w:sz w:val="24"/>
        </w:rPr>
        <w:t xml:space="preserve"> T</w:t>
      </w:r>
      <w:r w:rsidRPr="002101DC">
        <w:rPr>
          <w:rFonts w:ascii="Times New Roman" w:hAnsi="Times New Roman"/>
          <w:sz w:val="24"/>
        </w:rPr>
        <w:t>ribunais</w:t>
      </w:r>
      <w:r>
        <w:rPr>
          <w:rFonts w:ascii="Times New Roman" w:hAnsi="Times New Roman"/>
          <w:sz w:val="24"/>
        </w:rPr>
        <w:t xml:space="preserve"> S</w:t>
      </w:r>
      <w:r w:rsidRPr="002101DC">
        <w:rPr>
          <w:rFonts w:ascii="Times New Roman" w:hAnsi="Times New Roman"/>
          <w:sz w:val="24"/>
        </w:rPr>
        <w:t xml:space="preserve">uperiores, membros do Tribunal de Contas da União e </w:t>
      </w:r>
      <w:r>
        <w:rPr>
          <w:rFonts w:ascii="Times New Roman" w:hAnsi="Times New Roman"/>
          <w:sz w:val="24"/>
        </w:rPr>
        <w:t>C</w:t>
      </w:r>
      <w:r w:rsidRPr="002101DC">
        <w:rPr>
          <w:rFonts w:ascii="Times New Roman" w:hAnsi="Times New Roman"/>
          <w:sz w:val="24"/>
        </w:rPr>
        <w:t>hefes de</w:t>
      </w:r>
      <w:r>
        <w:rPr>
          <w:rFonts w:ascii="Times New Roman" w:hAnsi="Times New Roman"/>
          <w:sz w:val="24"/>
        </w:rPr>
        <w:t xml:space="preserve"> M</w:t>
      </w:r>
      <w:r w:rsidRPr="002101DC">
        <w:rPr>
          <w:rFonts w:ascii="Times New Roman" w:hAnsi="Times New Roman"/>
          <w:sz w:val="24"/>
        </w:rPr>
        <w:t xml:space="preserve">issão </w:t>
      </w:r>
      <w:r>
        <w:rPr>
          <w:rFonts w:ascii="Times New Roman" w:hAnsi="Times New Roman"/>
          <w:sz w:val="24"/>
        </w:rPr>
        <w:t>D</w:t>
      </w:r>
      <w:r w:rsidRPr="002101DC">
        <w:rPr>
          <w:rFonts w:ascii="Times New Roman" w:hAnsi="Times New Roman"/>
          <w:sz w:val="24"/>
        </w:rPr>
        <w:t>iplomática de caráter permanente</w:t>
      </w:r>
      <w:r>
        <w:rPr>
          <w:rFonts w:ascii="Times New Roman" w:hAnsi="Times New Roman"/>
          <w:sz w:val="24"/>
        </w:rPr>
        <w:t>;</w:t>
      </w:r>
      <w:r>
        <w:rPr>
          <w:rStyle w:val="FootnoteReference"/>
          <w:rFonts w:ascii="Times New Roman" w:hAnsi="Times New Roman"/>
          <w:sz w:val="24"/>
        </w:rPr>
        <w:footnoteReference w:id="240"/>
      </w:r>
      <w:r>
        <w:rPr>
          <w:rFonts w:ascii="Times New Roman" w:hAnsi="Times New Roman"/>
          <w:sz w:val="24"/>
        </w:rPr>
        <w:t xml:space="preserve"> (ii) recebimento de D</w:t>
      </w:r>
      <w:r w:rsidRPr="00864676">
        <w:rPr>
          <w:rFonts w:ascii="Times New Roman" w:hAnsi="Times New Roman"/>
          <w:sz w:val="24"/>
        </w:rPr>
        <w:t xml:space="preserve">enúncia ou </w:t>
      </w:r>
      <w:r>
        <w:rPr>
          <w:rFonts w:ascii="Times New Roman" w:hAnsi="Times New Roman"/>
          <w:sz w:val="24"/>
        </w:rPr>
        <w:t>Q</w:t>
      </w:r>
      <w:r w:rsidRPr="00864676">
        <w:rPr>
          <w:rFonts w:ascii="Times New Roman" w:hAnsi="Times New Roman"/>
          <w:sz w:val="24"/>
        </w:rPr>
        <w:t>ueixa</w:t>
      </w:r>
      <w:r>
        <w:rPr>
          <w:rFonts w:ascii="Times New Roman" w:hAnsi="Times New Roman"/>
          <w:sz w:val="24"/>
        </w:rPr>
        <w:t>-crime;</w:t>
      </w:r>
      <w:r>
        <w:rPr>
          <w:rStyle w:val="FootnoteReference"/>
          <w:rFonts w:ascii="Times New Roman" w:hAnsi="Times New Roman"/>
          <w:sz w:val="24"/>
        </w:rPr>
        <w:footnoteReference w:id="241"/>
      </w:r>
      <w:r>
        <w:rPr>
          <w:rFonts w:ascii="Times New Roman" w:hAnsi="Times New Roman"/>
          <w:sz w:val="24"/>
        </w:rPr>
        <w:t xml:space="preserve"> (iii</w:t>
      </w:r>
      <w:r w:rsidRPr="006D7A69">
        <w:rPr>
          <w:rFonts w:ascii="Times New Roman" w:hAnsi="Times New Roman"/>
          <w:sz w:val="24"/>
        </w:rPr>
        <w:t>) ações contra o Conselho</w:t>
      </w:r>
      <w:r>
        <w:rPr>
          <w:rFonts w:ascii="Times New Roman" w:hAnsi="Times New Roman"/>
          <w:sz w:val="24"/>
        </w:rPr>
        <w:t xml:space="preserve"> </w:t>
      </w:r>
      <w:r w:rsidRPr="006D7A69">
        <w:rPr>
          <w:rFonts w:ascii="Times New Roman" w:hAnsi="Times New Roman"/>
          <w:sz w:val="24"/>
        </w:rPr>
        <w:t>Nacional de Justiça</w:t>
      </w:r>
      <w:r>
        <w:rPr>
          <w:rFonts w:ascii="Times New Roman" w:hAnsi="Times New Roman"/>
          <w:sz w:val="24"/>
        </w:rPr>
        <w:t xml:space="preserve"> (CNJ)</w:t>
      </w:r>
      <w:r w:rsidRPr="006D7A69">
        <w:rPr>
          <w:rFonts w:ascii="Times New Roman" w:hAnsi="Times New Roman"/>
          <w:sz w:val="24"/>
        </w:rPr>
        <w:t xml:space="preserve"> e o Conselho Nacional do Ministério Público</w:t>
      </w:r>
      <w:r>
        <w:rPr>
          <w:rFonts w:ascii="Times New Roman" w:hAnsi="Times New Roman"/>
          <w:sz w:val="24"/>
        </w:rPr>
        <w:t xml:space="preserve"> (CNMP);</w:t>
      </w:r>
      <w:r>
        <w:rPr>
          <w:rStyle w:val="FootnoteReference"/>
          <w:rFonts w:ascii="Times New Roman" w:hAnsi="Times New Roman"/>
          <w:sz w:val="24"/>
        </w:rPr>
        <w:footnoteReference w:id="242"/>
      </w:r>
      <w:r>
        <w:rPr>
          <w:rFonts w:ascii="Times New Roman" w:hAnsi="Times New Roman"/>
          <w:sz w:val="24"/>
        </w:rPr>
        <w:t xml:space="preserve"> (iv) as Reclamações Constitucionais (CR, art. 102, inciso I, alínea </w:t>
      </w:r>
      <w:r w:rsidRPr="00744548">
        <w:rPr>
          <w:rFonts w:ascii="Times New Roman" w:hAnsi="Times New Roman"/>
          <w:i/>
          <w:sz w:val="24"/>
        </w:rPr>
        <w:t>l</w:t>
      </w:r>
      <w:r>
        <w:rPr>
          <w:rFonts w:ascii="Times New Roman" w:hAnsi="Times New Roman"/>
          <w:sz w:val="24"/>
        </w:rPr>
        <w:t>);</w:t>
      </w:r>
      <w:r>
        <w:rPr>
          <w:rStyle w:val="FootnoteReference"/>
          <w:rFonts w:ascii="Times New Roman" w:hAnsi="Times New Roman"/>
          <w:sz w:val="24"/>
        </w:rPr>
        <w:footnoteReference w:id="243"/>
      </w:r>
      <w:r>
        <w:rPr>
          <w:rFonts w:ascii="Times New Roman" w:hAnsi="Times New Roman"/>
          <w:sz w:val="24"/>
        </w:rPr>
        <w:t xml:space="preserve">  e, por fim, (v)  o julgamento de</w:t>
      </w:r>
      <w:r w:rsidRPr="00D648CF">
        <w:rPr>
          <w:rFonts w:ascii="Times New Roman" w:hAnsi="Times New Roman"/>
          <w:sz w:val="24"/>
        </w:rPr>
        <w:t xml:space="preserve"> </w:t>
      </w:r>
      <w:r>
        <w:rPr>
          <w:rFonts w:ascii="Times New Roman" w:hAnsi="Times New Roman"/>
          <w:sz w:val="24"/>
        </w:rPr>
        <w:t>M</w:t>
      </w:r>
      <w:r w:rsidRPr="00D648CF">
        <w:rPr>
          <w:rFonts w:ascii="Times New Roman" w:hAnsi="Times New Roman"/>
          <w:sz w:val="24"/>
        </w:rPr>
        <w:t xml:space="preserve">andados de </w:t>
      </w:r>
      <w:r>
        <w:rPr>
          <w:rFonts w:ascii="Times New Roman" w:hAnsi="Times New Roman"/>
          <w:sz w:val="24"/>
        </w:rPr>
        <w:t>Segurança, exclusivamente contra ato praticado pelo Tribunal de Contas da União (TCU), assim como pelo Procurador Geral da República (PGR).</w:t>
      </w:r>
      <w:r>
        <w:rPr>
          <w:rStyle w:val="FootnoteReference"/>
          <w:rFonts w:ascii="Times New Roman" w:hAnsi="Times New Roman"/>
          <w:sz w:val="24"/>
        </w:rPr>
        <w:footnoteReference w:id="244"/>
      </w:r>
    </w:p>
    <w:p w:rsidR="00D549BC" w:rsidRDefault="00D549BC" w:rsidP="0084332C">
      <w:pPr>
        <w:spacing w:after="240"/>
        <w:contextualSpacing/>
        <w:rPr>
          <w:rFonts w:ascii="Times New Roman" w:hAnsi="Times New Roman"/>
          <w:sz w:val="24"/>
        </w:rPr>
      </w:pPr>
      <w:r>
        <w:rPr>
          <w:rFonts w:ascii="Times New Roman" w:hAnsi="Times New Roman"/>
          <w:sz w:val="24"/>
        </w:rPr>
        <w:t>O Ministro Roberto Barroso, no texto analisado no tópico anterior (4.3.3), traz-nos a informação de que, n</w:t>
      </w:r>
      <w:r w:rsidRPr="00D648CF">
        <w:rPr>
          <w:rFonts w:ascii="Times New Roman" w:hAnsi="Times New Roman"/>
          <w:sz w:val="24"/>
        </w:rPr>
        <w:t xml:space="preserve">a mesma sessão </w:t>
      </w:r>
      <w:r>
        <w:rPr>
          <w:rFonts w:ascii="Times New Roman" w:hAnsi="Times New Roman"/>
          <w:sz w:val="24"/>
        </w:rPr>
        <w:t xml:space="preserve">plenária, realizada em 28 de maio de 2014, na qual se aprovou a redação da ER n. 49/2014, </w:t>
      </w:r>
      <w:r w:rsidRPr="00D648CF">
        <w:rPr>
          <w:rFonts w:ascii="Times New Roman" w:hAnsi="Times New Roman"/>
          <w:sz w:val="24"/>
        </w:rPr>
        <w:t xml:space="preserve">teve </w:t>
      </w:r>
      <w:r>
        <w:rPr>
          <w:rFonts w:ascii="Times New Roman" w:hAnsi="Times New Roman"/>
          <w:sz w:val="24"/>
        </w:rPr>
        <w:t>aceitação geral também</w:t>
      </w:r>
      <w:r w:rsidRPr="00D648CF">
        <w:rPr>
          <w:rFonts w:ascii="Times New Roman" w:hAnsi="Times New Roman"/>
          <w:sz w:val="24"/>
        </w:rPr>
        <w:t xml:space="preserve"> </w:t>
      </w:r>
      <w:r>
        <w:rPr>
          <w:rFonts w:ascii="Times New Roman" w:hAnsi="Times New Roman"/>
          <w:sz w:val="24"/>
        </w:rPr>
        <w:t>uma segunda</w:t>
      </w:r>
      <w:r w:rsidRPr="00D648CF">
        <w:rPr>
          <w:rFonts w:ascii="Times New Roman" w:hAnsi="Times New Roman"/>
          <w:sz w:val="24"/>
        </w:rPr>
        <w:t xml:space="preserve"> proposta de</w:t>
      </w:r>
      <w:r>
        <w:rPr>
          <w:rFonts w:ascii="Times New Roman" w:hAnsi="Times New Roman"/>
          <w:sz w:val="24"/>
        </w:rPr>
        <w:t xml:space="preserve"> se transferir para </w:t>
      </w:r>
      <w:r w:rsidRPr="009B7E0E">
        <w:rPr>
          <w:rFonts w:ascii="Times New Roman" w:hAnsi="Times New Roman"/>
          <w:sz w:val="24"/>
        </w:rPr>
        <w:t>a</w:t>
      </w:r>
      <w:r>
        <w:rPr>
          <w:rFonts w:ascii="Times New Roman" w:hAnsi="Times New Roman"/>
          <w:sz w:val="24"/>
        </w:rPr>
        <w:t>s</w:t>
      </w:r>
      <w:r w:rsidRPr="009B7E0E">
        <w:rPr>
          <w:rFonts w:ascii="Times New Roman" w:hAnsi="Times New Roman"/>
          <w:sz w:val="24"/>
        </w:rPr>
        <w:t xml:space="preserve"> </w:t>
      </w:r>
      <w:r>
        <w:rPr>
          <w:rFonts w:ascii="Times New Roman" w:hAnsi="Times New Roman"/>
          <w:sz w:val="24"/>
        </w:rPr>
        <w:t>T</w:t>
      </w:r>
      <w:r w:rsidRPr="009B7E0E">
        <w:rPr>
          <w:rFonts w:ascii="Times New Roman" w:hAnsi="Times New Roman"/>
          <w:sz w:val="24"/>
        </w:rPr>
        <w:t>urma</w:t>
      </w:r>
      <w:r>
        <w:rPr>
          <w:rFonts w:ascii="Times New Roman" w:hAnsi="Times New Roman"/>
          <w:sz w:val="24"/>
        </w:rPr>
        <w:t>s o julgamento de todas as hipóteses de cabimento de</w:t>
      </w:r>
      <w:r w:rsidRPr="009B7E0E">
        <w:rPr>
          <w:rFonts w:ascii="Times New Roman" w:hAnsi="Times New Roman"/>
          <w:sz w:val="24"/>
        </w:rPr>
        <w:t xml:space="preserve"> </w:t>
      </w:r>
      <w:r>
        <w:rPr>
          <w:rFonts w:ascii="Times New Roman" w:hAnsi="Times New Roman"/>
          <w:sz w:val="24"/>
        </w:rPr>
        <w:t>Mandado</w:t>
      </w:r>
      <w:r w:rsidRPr="009B7E0E">
        <w:rPr>
          <w:rFonts w:ascii="Times New Roman" w:hAnsi="Times New Roman"/>
          <w:sz w:val="24"/>
        </w:rPr>
        <w:t xml:space="preserve"> de</w:t>
      </w:r>
      <w:r>
        <w:rPr>
          <w:rFonts w:ascii="Times New Roman" w:hAnsi="Times New Roman"/>
          <w:sz w:val="24"/>
        </w:rPr>
        <w:t xml:space="preserve"> S</w:t>
      </w:r>
      <w:r w:rsidRPr="009B7E0E">
        <w:rPr>
          <w:rFonts w:ascii="Times New Roman" w:hAnsi="Times New Roman"/>
          <w:sz w:val="24"/>
        </w:rPr>
        <w:t xml:space="preserve">egurança, </w:t>
      </w:r>
      <w:r>
        <w:rPr>
          <w:rFonts w:ascii="Times New Roman" w:hAnsi="Times New Roman"/>
          <w:sz w:val="24"/>
        </w:rPr>
        <w:t xml:space="preserve">Mandado </w:t>
      </w:r>
      <w:r w:rsidRPr="009B7E0E">
        <w:rPr>
          <w:rFonts w:ascii="Times New Roman" w:hAnsi="Times New Roman"/>
          <w:sz w:val="24"/>
        </w:rPr>
        <w:t xml:space="preserve">de </w:t>
      </w:r>
      <w:r>
        <w:rPr>
          <w:rFonts w:ascii="Times New Roman" w:hAnsi="Times New Roman"/>
          <w:sz w:val="24"/>
        </w:rPr>
        <w:t>I</w:t>
      </w:r>
      <w:r w:rsidRPr="009B7E0E">
        <w:rPr>
          <w:rFonts w:ascii="Times New Roman" w:hAnsi="Times New Roman"/>
          <w:sz w:val="24"/>
        </w:rPr>
        <w:t xml:space="preserve">njunção e </w:t>
      </w:r>
      <w:r w:rsidRPr="009B7E0E">
        <w:rPr>
          <w:rFonts w:ascii="Times New Roman" w:hAnsi="Times New Roman"/>
          <w:i/>
          <w:sz w:val="24"/>
        </w:rPr>
        <w:t>habeas data</w:t>
      </w:r>
      <w:r w:rsidRPr="009B7E0E">
        <w:rPr>
          <w:rFonts w:ascii="Times New Roman" w:hAnsi="Times New Roman"/>
          <w:sz w:val="24"/>
        </w:rPr>
        <w:t>, bem como das ações</w:t>
      </w:r>
      <w:r>
        <w:rPr>
          <w:rFonts w:ascii="Times New Roman" w:hAnsi="Times New Roman"/>
          <w:sz w:val="24"/>
        </w:rPr>
        <w:t xml:space="preserve"> </w:t>
      </w:r>
      <w:r w:rsidRPr="009B7E0E">
        <w:rPr>
          <w:rFonts w:ascii="Times New Roman" w:hAnsi="Times New Roman"/>
          <w:sz w:val="24"/>
        </w:rPr>
        <w:t>envolvendo litígios entre</w:t>
      </w:r>
      <w:r>
        <w:rPr>
          <w:rFonts w:ascii="Times New Roman" w:hAnsi="Times New Roman"/>
          <w:sz w:val="24"/>
        </w:rPr>
        <w:t xml:space="preserve"> Estados estrangeiros e a União</w:t>
      </w:r>
      <w:r w:rsidRPr="009B7E0E">
        <w:rPr>
          <w:rFonts w:ascii="Times New Roman" w:hAnsi="Times New Roman"/>
          <w:sz w:val="24"/>
        </w:rPr>
        <w:t xml:space="preserve"> e também os conflitos</w:t>
      </w:r>
      <w:r>
        <w:rPr>
          <w:rFonts w:ascii="Times New Roman" w:hAnsi="Times New Roman"/>
          <w:sz w:val="24"/>
        </w:rPr>
        <w:t xml:space="preserve"> </w:t>
      </w:r>
      <w:r w:rsidRPr="009B7E0E">
        <w:rPr>
          <w:rFonts w:ascii="Times New Roman" w:hAnsi="Times New Roman"/>
          <w:sz w:val="24"/>
        </w:rPr>
        <w:t>federativos</w:t>
      </w:r>
      <w:r>
        <w:rPr>
          <w:rFonts w:ascii="Times New Roman" w:hAnsi="Times New Roman"/>
          <w:sz w:val="24"/>
        </w:rPr>
        <w:t>.</w:t>
      </w:r>
      <w:r>
        <w:rPr>
          <w:rStyle w:val="FootnoteReference"/>
          <w:rFonts w:ascii="Times New Roman" w:hAnsi="Times New Roman"/>
          <w:sz w:val="24"/>
        </w:rPr>
        <w:footnoteReference w:id="245"/>
      </w:r>
      <w:r>
        <w:rPr>
          <w:rFonts w:ascii="Times New Roman" w:hAnsi="Times New Roman"/>
          <w:sz w:val="24"/>
        </w:rPr>
        <w:t xml:space="preserve"> </w:t>
      </w:r>
    </w:p>
    <w:p w:rsidR="00D549BC" w:rsidRDefault="00D549BC" w:rsidP="0064195C">
      <w:pPr>
        <w:spacing w:after="240"/>
        <w:contextualSpacing/>
        <w:rPr>
          <w:rFonts w:ascii="Times New Roman" w:hAnsi="Times New Roman"/>
          <w:sz w:val="24"/>
        </w:rPr>
      </w:pPr>
      <w:r>
        <w:rPr>
          <w:rFonts w:ascii="Times New Roman" w:hAnsi="Times New Roman"/>
          <w:sz w:val="24"/>
        </w:rPr>
        <w:t xml:space="preserve">Posteriormente, em artigo publicado no </w:t>
      </w:r>
      <w:r w:rsidRPr="00E026BC">
        <w:rPr>
          <w:rFonts w:ascii="Times New Roman" w:hAnsi="Times New Roman"/>
          <w:i/>
          <w:sz w:val="24"/>
        </w:rPr>
        <w:t>site</w:t>
      </w:r>
      <w:r>
        <w:rPr>
          <w:rFonts w:ascii="Times New Roman" w:hAnsi="Times New Roman"/>
          <w:sz w:val="24"/>
        </w:rPr>
        <w:t xml:space="preserve"> ConJur, o Ministro Roberto Barroso informou, ainda, que a referida proposta já foi apresentada, sob forma de Emenda Regimental, em novembro de 2014, e que está em tramitação na Corte</w:t>
      </w:r>
      <w:r>
        <w:rPr>
          <w:rStyle w:val="FootnoteReference"/>
          <w:rFonts w:ascii="Times New Roman" w:hAnsi="Times New Roman"/>
          <w:sz w:val="24"/>
        </w:rPr>
        <w:footnoteReference w:id="246"/>
      </w:r>
      <w:r>
        <w:rPr>
          <w:rFonts w:ascii="Times New Roman" w:hAnsi="Times New Roman"/>
          <w:sz w:val="24"/>
        </w:rPr>
        <w:t xml:space="preserve">. Portanto, caso seja aprovada a proposta de Emenda Regimental, que tende a transferir irrestritamente as demais competências do Plenário para as Turmas, </w:t>
      </w:r>
      <w:r w:rsidRPr="00D648CF">
        <w:rPr>
          <w:rFonts w:ascii="Times New Roman" w:hAnsi="Times New Roman"/>
          <w:sz w:val="24"/>
        </w:rPr>
        <w:t>consuma</w:t>
      </w:r>
      <w:r>
        <w:rPr>
          <w:rFonts w:ascii="Times New Roman" w:hAnsi="Times New Roman"/>
          <w:sz w:val="24"/>
        </w:rPr>
        <w:t>r-se-á, segundo LUÍS ROBERTO BARROSO,</w:t>
      </w:r>
      <w:r>
        <w:rPr>
          <w:rStyle w:val="FootnoteReference"/>
          <w:rFonts w:ascii="Times New Roman" w:hAnsi="Times New Roman"/>
          <w:sz w:val="24"/>
        </w:rPr>
        <w:footnoteReference w:id="247"/>
      </w:r>
      <w:r>
        <w:rPr>
          <w:rFonts w:ascii="Times New Roman" w:hAnsi="Times New Roman"/>
          <w:sz w:val="24"/>
        </w:rPr>
        <w:t xml:space="preserve"> </w:t>
      </w:r>
      <w:r w:rsidRPr="00D648CF">
        <w:rPr>
          <w:rFonts w:ascii="Times New Roman" w:hAnsi="Times New Roman"/>
          <w:sz w:val="24"/>
        </w:rPr>
        <w:t>uma</w:t>
      </w:r>
      <w:r>
        <w:rPr>
          <w:rFonts w:ascii="Times New Roman" w:hAnsi="Times New Roman"/>
          <w:sz w:val="24"/>
        </w:rPr>
        <w:t xml:space="preserve"> verdadeira</w:t>
      </w:r>
      <w:r w:rsidRPr="00D648CF">
        <w:rPr>
          <w:rFonts w:ascii="Times New Roman" w:hAnsi="Times New Roman"/>
          <w:sz w:val="24"/>
        </w:rPr>
        <w:t xml:space="preserve"> revolução na dinâmica de atuação do</w:t>
      </w:r>
      <w:r>
        <w:rPr>
          <w:rFonts w:ascii="Times New Roman" w:hAnsi="Times New Roman"/>
          <w:sz w:val="24"/>
        </w:rPr>
        <w:t xml:space="preserve"> </w:t>
      </w:r>
      <w:r w:rsidRPr="00D648CF">
        <w:rPr>
          <w:rFonts w:ascii="Times New Roman" w:hAnsi="Times New Roman"/>
          <w:sz w:val="24"/>
        </w:rPr>
        <w:t>Plenário</w:t>
      </w:r>
      <w:r>
        <w:rPr>
          <w:rFonts w:ascii="Times New Roman" w:hAnsi="Times New Roman"/>
          <w:sz w:val="24"/>
        </w:rPr>
        <w:t xml:space="preserve"> físico da Corte</w:t>
      </w:r>
      <w:r w:rsidRPr="00D648CF">
        <w:rPr>
          <w:rFonts w:ascii="Times New Roman" w:hAnsi="Times New Roman"/>
          <w:sz w:val="24"/>
        </w:rPr>
        <w:t>, cujas competências ficarão</w:t>
      </w:r>
      <w:r>
        <w:rPr>
          <w:rFonts w:ascii="Times New Roman" w:hAnsi="Times New Roman"/>
          <w:sz w:val="24"/>
        </w:rPr>
        <w:t>, então,</w:t>
      </w:r>
      <w:r w:rsidRPr="00D648CF">
        <w:rPr>
          <w:rFonts w:ascii="Times New Roman" w:hAnsi="Times New Roman"/>
          <w:sz w:val="24"/>
        </w:rPr>
        <w:t xml:space="preserve"> cingidas às de uma </w:t>
      </w:r>
      <w:r>
        <w:rPr>
          <w:rFonts w:ascii="Times New Roman" w:hAnsi="Times New Roman"/>
          <w:sz w:val="24"/>
        </w:rPr>
        <w:t>C</w:t>
      </w:r>
      <w:r w:rsidRPr="00D648CF">
        <w:rPr>
          <w:rFonts w:ascii="Times New Roman" w:hAnsi="Times New Roman"/>
          <w:sz w:val="24"/>
        </w:rPr>
        <w:t xml:space="preserve">orte </w:t>
      </w:r>
      <w:r>
        <w:rPr>
          <w:rFonts w:ascii="Times New Roman" w:hAnsi="Times New Roman"/>
          <w:sz w:val="24"/>
        </w:rPr>
        <w:t>C</w:t>
      </w:r>
      <w:r w:rsidRPr="00D648CF">
        <w:rPr>
          <w:rFonts w:ascii="Times New Roman" w:hAnsi="Times New Roman"/>
          <w:sz w:val="24"/>
        </w:rPr>
        <w:t>onstitucional: julgar,</w:t>
      </w:r>
      <w:r>
        <w:rPr>
          <w:rFonts w:ascii="Times New Roman" w:hAnsi="Times New Roman"/>
          <w:sz w:val="24"/>
        </w:rPr>
        <w:t xml:space="preserve"> essencialmente, as A</w:t>
      </w:r>
      <w:r w:rsidRPr="00D648CF">
        <w:rPr>
          <w:rFonts w:ascii="Times New Roman" w:hAnsi="Times New Roman"/>
          <w:sz w:val="24"/>
        </w:rPr>
        <w:t xml:space="preserve">ções </w:t>
      </w:r>
      <w:r>
        <w:rPr>
          <w:rFonts w:ascii="Times New Roman" w:hAnsi="Times New Roman"/>
          <w:sz w:val="24"/>
        </w:rPr>
        <w:t>D</w:t>
      </w:r>
      <w:r w:rsidRPr="00D648CF">
        <w:rPr>
          <w:rFonts w:ascii="Times New Roman" w:hAnsi="Times New Roman"/>
          <w:sz w:val="24"/>
        </w:rPr>
        <w:t>iretas</w:t>
      </w:r>
      <w:r>
        <w:rPr>
          <w:rFonts w:ascii="Times New Roman" w:hAnsi="Times New Roman"/>
          <w:sz w:val="24"/>
        </w:rPr>
        <w:t xml:space="preserve"> (Ação Direta de Inconstitucionalidade; Ação Declaratória de Constitucionalidade; Ação Direta de Inconstitucionalidade por Omissão e Arguição de Descumprimento de Preceito Fundamental)</w:t>
      </w:r>
      <w:r w:rsidRPr="00D648CF">
        <w:rPr>
          <w:rFonts w:ascii="Times New Roman" w:hAnsi="Times New Roman"/>
          <w:sz w:val="24"/>
        </w:rPr>
        <w:t xml:space="preserve"> e as </w:t>
      </w:r>
      <w:r>
        <w:rPr>
          <w:rFonts w:ascii="Times New Roman" w:hAnsi="Times New Roman"/>
          <w:sz w:val="24"/>
        </w:rPr>
        <w:t>R</w:t>
      </w:r>
      <w:r w:rsidRPr="00D648CF">
        <w:rPr>
          <w:rFonts w:ascii="Times New Roman" w:hAnsi="Times New Roman"/>
          <w:sz w:val="24"/>
        </w:rPr>
        <w:t xml:space="preserve">epercussões </w:t>
      </w:r>
      <w:r>
        <w:rPr>
          <w:rFonts w:ascii="Times New Roman" w:hAnsi="Times New Roman"/>
          <w:sz w:val="24"/>
        </w:rPr>
        <w:t>G</w:t>
      </w:r>
      <w:r w:rsidRPr="00D648CF">
        <w:rPr>
          <w:rFonts w:ascii="Times New Roman" w:hAnsi="Times New Roman"/>
          <w:sz w:val="24"/>
        </w:rPr>
        <w:t>erais</w:t>
      </w:r>
      <w:r>
        <w:rPr>
          <w:rFonts w:ascii="Times New Roman" w:hAnsi="Times New Roman"/>
          <w:sz w:val="24"/>
        </w:rPr>
        <w:t xml:space="preserve"> já reconhecidas no Plenário Virtual. </w:t>
      </w:r>
    </w:p>
    <w:p w:rsidR="00D549BC" w:rsidRDefault="00D549BC" w:rsidP="00D648CF">
      <w:pPr>
        <w:spacing w:after="240"/>
        <w:ind w:firstLine="851"/>
        <w:contextualSpacing/>
        <w:rPr>
          <w:rFonts w:ascii="Times New Roman" w:hAnsi="Times New Roman"/>
          <w:sz w:val="24"/>
        </w:rPr>
      </w:pPr>
    </w:p>
    <w:p w:rsidR="00D549BC" w:rsidRDefault="00D549BC" w:rsidP="00F02863">
      <w:pPr>
        <w:spacing w:after="240"/>
        <w:ind w:firstLine="0"/>
        <w:contextualSpacing/>
        <w:rPr>
          <w:rFonts w:ascii="Times New Roman" w:hAnsi="Times New Roman"/>
          <w:sz w:val="24"/>
        </w:rPr>
      </w:pPr>
      <w:r>
        <w:rPr>
          <w:rFonts w:ascii="Times New Roman" w:hAnsi="Times New Roman"/>
          <w:sz w:val="24"/>
        </w:rPr>
        <w:t xml:space="preserve">4.3.3.2 Priorização no julgamento das Repercussões Gerais: mérito pendente  </w:t>
      </w:r>
    </w:p>
    <w:p w:rsidR="00D549BC" w:rsidRDefault="00D549BC" w:rsidP="00D648CF">
      <w:pPr>
        <w:spacing w:after="240"/>
        <w:ind w:firstLine="851"/>
        <w:contextualSpacing/>
        <w:rPr>
          <w:rFonts w:ascii="Times New Roman" w:hAnsi="Times New Roman"/>
          <w:sz w:val="24"/>
        </w:rPr>
      </w:pPr>
    </w:p>
    <w:p w:rsidR="00D549BC" w:rsidRDefault="00D549BC" w:rsidP="0064195C">
      <w:pPr>
        <w:spacing w:after="240"/>
        <w:contextualSpacing/>
        <w:rPr>
          <w:rFonts w:ascii="Times New Roman" w:hAnsi="Times New Roman"/>
          <w:sz w:val="24"/>
        </w:rPr>
      </w:pPr>
      <w:r>
        <w:rPr>
          <w:rFonts w:ascii="Times New Roman" w:hAnsi="Times New Roman"/>
          <w:sz w:val="24"/>
        </w:rPr>
        <w:t>Vimos, em linhas pretéritas, que o STF, no ano de 2014, julgou número recorde de Repercussões Gerais que estavam aguardando vez na pauta do Plenário físico. Foram julgadas, no total, 60 casos com mérito pendente de julgamento. Segundo o Relatório Trimestral do STF, divulgado pela Presidência do Tribunal em 6 de novembro de 2014, somente no período compreendido entre os meses de agosto e outubro do mesmo ano, foram julgadas 36 Repercussões Gerais com mérito pendente, o que ratifica, portanto, o compromisso assumido pelo Presidente da Corte, o Ministro Ricardo Lewandowski, em priorizar esse tipo de julgamento.</w:t>
      </w:r>
      <w:r>
        <w:rPr>
          <w:rStyle w:val="FootnoteReference"/>
          <w:rFonts w:ascii="Times New Roman" w:hAnsi="Times New Roman"/>
          <w:sz w:val="24"/>
        </w:rPr>
        <w:footnoteReference w:id="248"/>
      </w:r>
    </w:p>
    <w:p w:rsidR="00D549BC" w:rsidRDefault="00D549BC" w:rsidP="00D648CF">
      <w:pPr>
        <w:spacing w:after="240"/>
        <w:ind w:firstLine="851"/>
        <w:contextualSpacing/>
        <w:rPr>
          <w:rFonts w:ascii="Times New Roman" w:hAnsi="Times New Roman"/>
          <w:sz w:val="24"/>
        </w:rPr>
      </w:pPr>
      <w:r>
        <w:rPr>
          <w:rFonts w:ascii="Times New Roman" w:hAnsi="Times New Roman"/>
          <w:sz w:val="24"/>
        </w:rPr>
        <w:t xml:space="preserve">Na tabela a seguir é possível dimensionarmos o impacto do julgamento de mérito desses 36 Recursos Extraordinários com RG reconhecida, nas instâncias de origem do país inteiro. Vejamos: </w:t>
      </w:r>
    </w:p>
    <w:p w:rsidR="00D549BC" w:rsidRDefault="00D549BC" w:rsidP="00D648CF">
      <w:pPr>
        <w:spacing w:after="240"/>
        <w:ind w:firstLine="851"/>
        <w:contextualSpacing/>
        <w:rPr>
          <w:rFonts w:ascii="Times New Roman" w:hAnsi="Times New Roman"/>
          <w:sz w:val="24"/>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3827"/>
        <w:gridCol w:w="3260"/>
      </w:tblGrid>
      <w:tr w:rsidR="00D549BC" w:rsidRPr="002739CC" w:rsidTr="002739CC">
        <w:tc>
          <w:tcPr>
            <w:tcW w:w="8789" w:type="dxa"/>
            <w:gridSpan w:val="3"/>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Principais Repercussões Gerais Julgadas em 2014.2 (AGO. / SET.)</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TEMA Nº</w:t>
            </w:r>
          </w:p>
        </w:tc>
        <w:tc>
          <w:tcPr>
            <w:tcW w:w="3827" w:type="dxa"/>
          </w:tcPr>
          <w:p w:rsidR="00D549BC" w:rsidRPr="002739CC" w:rsidRDefault="00D549BC" w:rsidP="002739CC">
            <w:pPr>
              <w:spacing w:after="120" w:line="240" w:lineRule="auto"/>
              <w:ind w:firstLine="0"/>
              <w:jc w:val="center"/>
              <w:rPr>
                <w:rFonts w:ascii="Times New Roman" w:hAnsi="Times New Roman"/>
                <w:b/>
              </w:rPr>
            </w:pPr>
            <w:r w:rsidRPr="002739CC">
              <w:rPr>
                <w:rFonts w:ascii="Times New Roman" w:hAnsi="Times New Roman"/>
                <w:b/>
              </w:rPr>
              <w:t>ASSUNTO</w:t>
            </w:r>
          </w:p>
        </w:tc>
        <w:tc>
          <w:tcPr>
            <w:tcW w:w="3260"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Nº DE PROCESSOS LIBERADOS</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368</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Incidência do imposto de renda de pessoa física sobre rendimentos percebidos acumuladamente.</w:t>
            </w:r>
          </w:p>
        </w:tc>
        <w:tc>
          <w:tcPr>
            <w:tcW w:w="3260" w:type="dxa"/>
          </w:tcPr>
          <w:p w:rsidR="00D549BC" w:rsidRPr="002739CC" w:rsidRDefault="00D549BC" w:rsidP="002739CC">
            <w:pPr>
              <w:spacing w:line="240" w:lineRule="auto"/>
              <w:ind w:firstLine="0"/>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9.282</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350</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Prévio requerimento administrativo como condição para o acesso ao Judiciário.</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8.584</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18</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 xml:space="preserve">Fracionamento de execução contra a Fazenda Pública para pagamento de honorários advocatícios. </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2.574</w:t>
            </w:r>
          </w:p>
        </w:tc>
      </w:tr>
      <w:tr w:rsidR="00D549BC" w:rsidRPr="002739CC" w:rsidTr="002739CC">
        <w:tc>
          <w:tcPr>
            <w:tcW w:w="1702" w:type="dxa"/>
          </w:tcPr>
          <w:p w:rsidR="00D549BC" w:rsidRPr="002739CC" w:rsidRDefault="00D549BC" w:rsidP="002739CC">
            <w:pPr>
              <w:spacing w:line="240" w:lineRule="auto"/>
              <w:ind w:firstLine="0"/>
              <w:rPr>
                <w:rFonts w:ascii="Times New Roman" w:hAnsi="Times New Roman"/>
              </w:rPr>
            </w:pPr>
          </w:p>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13</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Responsabilidade solidária dos sócios das empresas por quotas de responsabilidade limitada por dívidas junto à Seguridade Social.</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1.989</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315</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Aumento de vencimentos e extensão de vantagens e gratificações pelo Poder Judiciário e pela Administração Pública.</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1.445</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148</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Individualização de créditos de litisconsortes para efeito de fracionamento do valor principal da execução contra a Fazenda Pública.</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1.090</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1</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Base de cálculo do PIS e da COFINS sobre a importação.</w:t>
            </w:r>
          </w:p>
        </w:tc>
        <w:tc>
          <w:tcPr>
            <w:tcW w:w="3260"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794</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191</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Recolhimento de FGTS na contratação de servidor público sem a prévia aprovação em concurso público.</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700</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136</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 xml:space="preserve">Cabimento de ação rescisória que visa desconstituir julgado com base em nova orientação da Corte; Creditamento de IPI pela aquisição de insumos isentos, não tributados ou sujeitos à alíquota zero. </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508</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308</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Efeitos trabalhistas decorrentes de contratação pela Administração Pública de empregado não submetido à prévia aprovação em concurso público.</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438</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297</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 xml:space="preserve">Incidência do ICMS na importação de mercadoria por meio de arrendamento mercantil internacional. </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431</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8</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Imunidade do lucro da exportação à CSLL após a Emenda Constitucional nº 33/2001.</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392</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480</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Incidência do teto constitucional remuneratório sobre proventos percebidos em desacordo com o disposto no art. 37, XI, da Constituição Federal.</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218</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602</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Extensão, a servidores aposentados e pensionistas, dos efeitos financeiros decorrentes do enquadramento de servidores ativos do extinto DNER no Plano Especial de Cargos do DNIT.</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204</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299</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Aproveitamento integral de créditos do ICMS pago na operação antecedente em hipóteses de redução parcial da base de cálculo na operação subsequente.</w:t>
            </w:r>
          </w:p>
        </w:tc>
        <w:tc>
          <w:tcPr>
            <w:tcW w:w="326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184</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511</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Compensação de débitos tributários com requisições de pequeno valor – RPV.</w:t>
            </w:r>
          </w:p>
        </w:tc>
        <w:tc>
          <w:tcPr>
            <w:tcW w:w="326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123</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84</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Exclusão do valor dos descontos incondicionais da base de cálculo do IPI.</w:t>
            </w:r>
          </w:p>
        </w:tc>
        <w:tc>
          <w:tcPr>
            <w:tcW w:w="326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100</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153</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Extensão, em relação aos servidores inativos, dos critérios de cálculo da GDATA e da GDASST estabelecidos para os servidores em atividade.</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81</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25</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Vinculação do adicional de insalubridade ao salário mínimo.</w:t>
            </w:r>
          </w:p>
        </w:tc>
        <w:tc>
          <w:tcPr>
            <w:tcW w:w="326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77</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476</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Manutenção de candidato investido em cargo público por força de decisão judicial de caráter provisório pela aplicação da teoria do fato consumado.</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66</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374</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Aplicação do art. 109, § 2º, da Constituição Federal aos entes da Administração Indireta.</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65</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569</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Concurso público para a contratação de empregados por pessoa jurídica que integra o chamado “Sistema S”.</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57</w:t>
            </w:r>
          </w:p>
        </w:tc>
      </w:tr>
      <w:tr w:rsidR="00D549BC" w:rsidRPr="002739CC" w:rsidTr="002739CC">
        <w:tc>
          <w:tcPr>
            <w:tcW w:w="1702"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615</w:t>
            </w:r>
          </w:p>
        </w:tc>
        <w:tc>
          <w:tcPr>
            <w:tcW w:w="3827" w:type="dxa"/>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Constitucionalidade da cobrança de ICMS, pelo Estado de destino, com base no Protocolo ICMS 21/2011 do CONFAZ, nas operações interestaduais de vendas de mercadorias a consumidor final, realizadas de forma não presencial.</w:t>
            </w:r>
          </w:p>
        </w:tc>
        <w:tc>
          <w:tcPr>
            <w:tcW w:w="3260" w:type="dxa"/>
          </w:tcPr>
          <w:p w:rsidR="00D549BC" w:rsidRPr="002739CC" w:rsidRDefault="00D549BC" w:rsidP="002739CC">
            <w:pPr>
              <w:spacing w:line="240" w:lineRule="auto"/>
              <w:ind w:firstLine="0"/>
              <w:jc w:val="center"/>
              <w:rPr>
                <w:rFonts w:ascii="Times New Roman" w:hAnsi="Times New Roman"/>
              </w:rPr>
            </w:pPr>
          </w:p>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52</w:t>
            </w:r>
          </w:p>
        </w:tc>
      </w:tr>
      <w:tr w:rsidR="00D549BC" w:rsidRPr="002739CC" w:rsidTr="002739CC">
        <w:tc>
          <w:tcPr>
            <w:tcW w:w="8789" w:type="dxa"/>
            <w:gridSpan w:val="3"/>
          </w:tcPr>
          <w:p w:rsidR="00D549BC" w:rsidRPr="002739CC" w:rsidRDefault="00D549BC" w:rsidP="002739CC">
            <w:pPr>
              <w:spacing w:line="240" w:lineRule="auto"/>
              <w:ind w:firstLine="0"/>
              <w:rPr>
                <w:rFonts w:ascii="Times New Roman" w:hAnsi="Times New Roman"/>
              </w:rPr>
            </w:pPr>
            <w:r w:rsidRPr="002739CC">
              <w:rPr>
                <w:rFonts w:ascii="Times New Roman" w:hAnsi="Times New Roman"/>
              </w:rPr>
              <w:t xml:space="preserve">Outros 11 temas contribuíram para liberação de </w:t>
            </w:r>
            <w:r w:rsidRPr="002739CC">
              <w:rPr>
                <w:rFonts w:ascii="Times New Roman" w:hAnsi="Times New Roman"/>
                <w:b/>
              </w:rPr>
              <w:t>175</w:t>
            </w:r>
            <w:r w:rsidRPr="002739CC">
              <w:rPr>
                <w:rFonts w:ascii="Times New Roman" w:hAnsi="Times New Roman"/>
              </w:rPr>
              <w:t xml:space="preserve"> processos sobrestados em instâncias inferiores</w:t>
            </w:r>
          </w:p>
        </w:tc>
      </w:tr>
      <w:tr w:rsidR="00D549BC" w:rsidRPr="002739CC" w:rsidTr="002739CC">
        <w:tc>
          <w:tcPr>
            <w:tcW w:w="5529" w:type="dxa"/>
            <w:gridSpan w:val="2"/>
          </w:tcPr>
          <w:p w:rsidR="00D549BC" w:rsidRPr="002739CC" w:rsidRDefault="00D549BC" w:rsidP="002739CC">
            <w:pPr>
              <w:spacing w:line="240" w:lineRule="auto"/>
              <w:ind w:firstLine="0"/>
              <w:rPr>
                <w:rFonts w:ascii="Times New Roman" w:hAnsi="Times New Roman"/>
                <w:b/>
              </w:rPr>
            </w:pPr>
            <w:r w:rsidRPr="002739CC">
              <w:rPr>
                <w:rFonts w:ascii="Times New Roman" w:hAnsi="Times New Roman"/>
                <w:b/>
              </w:rPr>
              <w:t xml:space="preserve">TOTAL DE PROCESSOS LIBERADOS NAS INSTÂNCIAS </w:t>
            </w:r>
            <w:r w:rsidRPr="002739CC">
              <w:rPr>
                <w:rFonts w:ascii="Times New Roman" w:hAnsi="Times New Roman"/>
                <w:b/>
                <w:i/>
              </w:rPr>
              <w:t>A QUO</w:t>
            </w:r>
          </w:p>
        </w:tc>
        <w:tc>
          <w:tcPr>
            <w:tcW w:w="3260"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29.629</w:t>
            </w:r>
          </w:p>
        </w:tc>
      </w:tr>
    </w:tbl>
    <w:p w:rsidR="00D549BC" w:rsidRPr="00264035" w:rsidRDefault="00D549BC" w:rsidP="00A77A17">
      <w:pPr>
        <w:spacing w:after="240"/>
        <w:ind w:firstLine="0"/>
        <w:contextualSpacing/>
        <w:rPr>
          <w:rFonts w:ascii="Times New Roman" w:hAnsi="Times New Roman"/>
          <w:sz w:val="20"/>
          <w:szCs w:val="20"/>
        </w:rPr>
      </w:pPr>
      <w:r>
        <w:rPr>
          <w:rFonts w:ascii="Times New Roman" w:hAnsi="Times New Roman"/>
        </w:rPr>
        <w:t xml:space="preserve">  </w:t>
      </w:r>
      <w:r w:rsidRPr="00264035">
        <w:rPr>
          <w:rFonts w:ascii="Times New Roman" w:hAnsi="Times New Roman"/>
          <w:sz w:val="20"/>
          <w:szCs w:val="20"/>
        </w:rPr>
        <w:t xml:space="preserve">Fonte: o autor </w:t>
      </w:r>
      <w:r>
        <w:rPr>
          <w:rFonts w:ascii="Times New Roman" w:hAnsi="Times New Roman"/>
          <w:sz w:val="20"/>
          <w:szCs w:val="20"/>
        </w:rPr>
        <w:t>–</w:t>
      </w:r>
      <w:r w:rsidRPr="00264035">
        <w:rPr>
          <w:rFonts w:ascii="Times New Roman" w:hAnsi="Times New Roman"/>
          <w:sz w:val="20"/>
          <w:szCs w:val="20"/>
        </w:rPr>
        <w:t xml:space="preserve"> a partir do Relatório Trimestral (ago./out. de 2014).</w:t>
      </w:r>
    </w:p>
    <w:p w:rsidR="00D549BC" w:rsidRDefault="00D549BC" w:rsidP="00D648CF">
      <w:pPr>
        <w:spacing w:after="240"/>
        <w:ind w:firstLine="851"/>
        <w:contextualSpacing/>
        <w:rPr>
          <w:rFonts w:ascii="Times New Roman" w:hAnsi="Times New Roman"/>
          <w:sz w:val="24"/>
        </w:rPr>
      </w:pPr>
    </w:p>
    <w:p w:rsidR="00D549BC" w:rsidRDefault="00D549BC" w:rsidP="00A77A17">
      <w:pPr>
        <w:spacing w:after="240"/>
        <w:contextualSpacing/>
        <w:rPr>
          <w:rFonts w:ascii="Times New Roman" w:hAnsi="Times New Roman"/>
          <w:sz w:val="24"/>
        </w:rPr>
      </w:pPr>
      <w:r>
        <w:rPr>
          <w:rFonts w:ascii="Times New Roman" w:hAnsi="Times New Roman"/>
          <w:sz w:val="24"/>
        </w:rPr>
        <w:t>Portanto, o julgamento de mérito, pelo Plenário da Corte, de 36 REs no segundo semestre de 2014, teve grande repercussão nos Tribunais de origem pelo Brasil, já que foram liberados quase 30 mil outros recursos que estavam sobrestados, alguns, como no caso do Tema nº 1, que deu entrada no STF em 22 de agosto de 2007, aguardaram mais de sete anos para a conclusão do caso.</w:t>
      </w:r>
      <w:r>
        <w:rPr>
          <w:rStyle w:val="FootnoteReference"/>
          <w:rFonts w:ascii="Times New Roman" w:hAnsi="Times New Roman"/>
          <w:sz w:val="24"/>
        </w:rPr>
        <w:footnoteReference w:id="249"/>
      </w:r>
      <w:r>
        <w:rPr>
          <w:rFonts w:ascii="Times New Roman" w:hAnsi="Times New Roman"/>
          <w:sz w:val="24"/>
        </w:rPr>
        <w:t xml:space="preserve"> </w:t>
      </w:r>
    </w:p>
    <w:p w:rsidR="00D549BC" w:rsidRDefault="00D549BC" w:rsidP="007E1F5D">
      <w:pPr>
        <w:spacing w:after="240"/>
        <w:contextualSpacing/>
        <w:rPr>
          <w:rFonts w:ascii="Times New Roman" w:hAnsi="Times New Roman"/>
          <w:sz w:val="24"/>
        </w:rPr>
      </w:pPr>
      <w:r>
        <w:rPr>
          <w:rFonts w:ascii="Times New Roman" w:hAnsi="Times New Roman"/>
          <w:sz w:val="24"/>
        </w:rPr>
        <w:t xml:space="preserve">A liberação dessa grande quantidade de processos nas instâncias originárias, só demonstra a importância que deve ser levada em consideração, pelo STF, no reconhecimento das novas Repercussões Gerais, assim como na priorização do julgamento das Repercussões Gerais com mérito pendente. </w:t>
      </w:r>
    </w:p>
    <w:p w:rsidR="00D549BC" w:rsidRDefault="00D549BC" w:rsidP="006B5F6D">
      <w:pPr>
        <w:spacing w:after="240"/>
        <w:ind w:firstLine="0"/>
        <w:contextualSpacing/>
        <w:rPr>
          <w:rFonts w:ascii="Times New Roman" w:hAnsi="Times New Roman"/>
          <w:sz w:val="24"/>
        </w:rPr>
      </w:pPr>
    </w:p>
    <w:p w:rsidR="00D549BC" w:rsidRDefault="00D549BC" w:rsidP="006B5F6D">
      <w:pPr>
        <w:spacing w:after="240"/>
        <w:ind w:firstLine="0"/>
        <w:contextualSpacing/>
        <w:rPr>
          <w:rFonts w:ascii="Times New Roman" w:hAnsi="Times New Roman"/>
          <w:sz w:val="24"/>
        </w:rPr>
      </w:pPr>
    </w:p>
    <w:p w:rsidR="00D549BC" w:rsidRDefault="00D549BC" w:rsidP="006B5F6D">
      <w:pPr>
        <w:spacing w:after="240"/>
        <w:ind w:firstLine="0"/>
        <w:contextualSpacing/>
        <w:rPr>
          <w:rFonts w:ascii="Times New Roman" w:hAnsi="Times New Roman"/>
          <w:sz w:val="24"/>
        </w:rPr>
      </w:pPr>
      <w:r>
        <w:rPr>
          <w:rFonts w:ascii="Times New Roman" w:hAnsi="Times New Roman"/>
          <w:sz w:val="24"/>
        </w:rPr>
        <w:t>4.3.3.3 Distribuição de processos pendentes e publicação de acórdãos: a força-tarefa montada pelo Ministro Ricardo Lewandowski</w:t>
      </w:r>
    </w:p>
    <w:p w:rsidR="00D549BC" w:rsidRDefault="00D549BC" w:rsidP="006B5F6D">
      <w:pPr>
        <w:spacing w:after="240"/>
        <w:ind w:firstLine="0"/>
        <w:contextualSpacing/>
        <w:rPr>
          <w:rFonts w:ascii="Times New Roman" w:hAnsi="Times New Roman"/>
          <w:sz w:val="24"/>
        </w:rPr>
      </w:pPr>
    </w:p>
    <w:p w:rsidR="00D549BC" w:rsidRDefault="00D549BC" w:rsidP="00DF03B2">
      <w:pPr>
        <w:spacing w:after="240"/>
        <w:contextualSpacing/>
        <w:rPr>
          <w:rFonts w:ascii="Times New Roman" w:hAnsi="Times New Roman"/>
          <w:sz w:val="24"/>
        </w:rPr>
      </w:pPr>
      <w:r>
        <w:rPr>
          <w:rFonts w:ascii="Times New Roman" w:hAnsi="Times New Roman"/>
          <w:sz w:val="24"/>
        </w:rPr>
        <w:t>O Ministro Ricardo Lewandowski, e</w:t>
      </w:r>
      <w:r w:rsidRPr="006B5F6D">
        <w:rPr>
          <w:rFonts w:ascii="Times New Roman" w:hAnsi="Times New Roman"/>
          <w:sz w:val="24"/>
        </w:rPr>
        <w:t>mpossado em setembro</w:t>
      </w:r>
      <w:r>
        <w:rPr>
          <w:rFonts w:ascii="Times New Roman" w:hAnsi="Times New Roman"/>
          <w:sz w:val="24"/>
        </w:rPr>
        <w:t xml:space="preserve"> na Presidência da Corte, já havia assumido o atual cargo interinamente em agosto de 2014, em virtude de ser o vice-presidente à época da renúncia do ex-Ministro Joaquim Barbosa. Com efeito, assim que assumiu interinamente a Presidência do STF, o Ministro Ricardo </w:t>
      </w:r>
      <w:r w:rsidRPr="00FD5D13">
        <w:rPr>
          <w:rFonts w:ascii="Times New Roman" w:hAnsi="Times New Roman"/>
          <w:sz w:val="24"/>
        </w:rPr>
        <w:t xml:space="preserve">Lewandowski foi oficialmente </w:t>
      </w:r>
      <w:r>
        <w:rPr>
          <w:rFonts w:ascii="Times New Roman" w:hAnsi="Times New Roman"/>
          <w:sz w:val="24"/>
        </w:rPr>
        <w:t>informado pelo Secretário-geral que a Secretaria Judiciária do Tribunal</w:t>
      </w:r>
      <w:r w:rsidRPr="00FD5D13">
        <w:rPr>
          <w:rFonts w:ascii="Times New Roman" w:hAnsi="Times New Roman"/>
          <w:sz w:val="24"/>
        </w:rPr>
        <w:t xml:space="preserve"> estava c</w:t>
      </w:r>
      <w:r>
        <w:rPr>
          <w:rFonts w:ascii="Times New Roman" w:hAnsi="Times New Roman"/>
          <w:sz w:val="24"/>
        </w:rPr>
        <w:t>om 2.600 processos parados, aguardando distribuição aos Ministros.</w:t>
      </w:r>
    </w:p>
    <w:p w:rsidR="00D549BC" w:rsidRDefault="00D549BC" w:rsidP="00DF03B2">
      <w:pPr>
        <w:spacing w:after="240"/>
        <w:contextualSpacing/>
        <w:rPr>
          <w:rFonts w:ascii="Times New Roman" w:hAnsi="Times New Roman"/>
          <w:sz w:val="24"/>
        </w:rPr>
      </w:pPr>
      <w:r>
        <w:rPr>
          <w:rFonts w:ascii="Times New Roman" w:hAnsi="Times New Roman"/>
          <w:sz w:val="24"/>
        </w:rPr>
        <w:t xml:space="preserve">Diante dessa situação, o Ministro Lewandowski </w:t>
      </w:r>
      <w:r w:rsidRPr="00C659DA">
        <w:rPr>
          <w:rFonts w:ascii="Times New Roman" w:hAnsi="Times New Roman"/>
          <w:sz w:val="24"/>
        </w:rPr>
        <w:t>autorizou a criação de uma força-tarefa</w:t>
      </w:r>
      <w:r>
        <w:rPr>
          <w:rFonts w:ascii="Times New Roman" w:hAnsi="Times New Roman"/>
          <w:sz w:val="24"/>
        </w:rPr>
        <w:t>, que foi implementada em 7 de agosto de 2014, composta por 50 servidores que trabalharam, inclusive aos sábados,</w:t>
      </w:r>
      <w:r w:rsidRPr="00C659DA">
        <w:rPr>
          <w:rFonts w:ascii="Times New Roman" w:hAnsi="Times New Roman"/>
          <w:sz w:val="24"/>
        </w:rPr>
        <w:t xml:space="preserve"> para colocar em dia a distribuição dos </w:t>
      </w:r>
      <w:r>
        <w:rPr>
          <w:rFonts w:ascii="Times New Roman" w:hAnsi="Times New Roman"/>
          <w:sz w:val="24"/>
        </w:rPr>
        <w:t xml:space="preserve">2.600 </w:t>
      </w:r>
      <w:r w:rsidRPr="00C659DA">
        <w:rPr>
          <w:rFonts w:ascii="Times New Roman" w:hAnsi="Times New Roman"/>
          <w:sz w:val="24"/>
        </w:rPr>
        <w:t>processos que se acumularam na Corte</w:t>
      </w:r>
      <w:r>
        <w:rPr>
          <w:rFonts w:ascii="Times New Roman" w:hAnsi="Times New Roman"/>
          <w:sz w:val="24"/>
        </w:rPr>
        <w:t>.</w:t>
      </w:r>
      <w:r>
        <w:rPr>
          <w:rStyle w:val="FootnoteReference"/>
          <w:rFonts w:ascii="Times New Roman" w:hAnsi="Times New Roman"/>
          <w:sz w:val="24"/>
        </w:rPr>
        <w:footnoteReference w:id="250"/>
      </w:r>
      <w:r>
        <w:rPr>
          <w:rFonts w:ascii="Times New Roman" w:hAnsi="Times New Roman"/>
          <w:sz w:val="24"/>
        </w:rPr>
        <w:t xml:space="preserve"> Segundo consta do Relatório Trimestral, a força-tarefa, e</w:t>
      </w:r>
      <w:r w:rsidRPr="00C659DA">
        <w:rPr>
          <w:rFonts w:ascii="Times New Roman" w:hAnsi="Times New Roman"/>
          <w:sz w:val="24"/>
        </w:rPr>
        <w:t xml:space="preserve">m apenas 17 dias de trabalho contínuo, logrou êxito em “zerar” o estoque de processos </w:t>
      </w:r>
      <w:r>
        <w:rPr>
          <w:rFonts w:ascii="Times New Roman" w:hAnsi="Times New Roman"/>
          <w:sz w:val="24"/>
        </w:rPr>
        <w:t>pendentes de</w:t>
      </w:r>
      <w:r w:rsidRPr="00C659DA">
        <w:rPr>
          <w:rFonts w:ascii="Times New Roman" w:hAnsi="Times New Roman"/>
          <w:sz w:val="24"/>
        </w:rPr>
        <w:t xml:space="preserve"> distribuição, distribuindo ao todo 4.874 processos</w:t>
      </w:r>
      <w:r>
        <w:rPr>
          <w:rFonts w:ascii="Times New Roman" w:hAnsi="Times New Roman"/>
          <w:sz w:val="24"/>
        </w:rPr>
        <w:t>.</w:t>
      </w:r>
      <w:r>
        <w:rPr>
          <w:rStyle w:val="FootnoteReference"/>
          <w:rFonts w:ascii="Times New Roman" w:hAnsi="Times New Roman"/>
          <w:sz w:val="24"/>
        </w:rPr>
        <w:footnoteReference w:id="251"/>
      </w:r>
      <w:r w:rsidRPr="00C659DA">
        <w:rPr>
          <w:rFonts w:ascii="Times New Roman" w:hAnsi="Times New Roman"/>
          <w:sz w:val="24"/>
        </w:rPr>
        <w:t>.</w:t>
      </w:r>
      <w:r>
        <w:rPr>
          <w:rFonts w:ascii="Times New Roman" w:hAnsi="Times New Roman"/>
          <w:sz w:val="24"/>
        </w:rPr>
        <w:t xml:space="preserve"> </w:t>
      </w:r>
    </w:p>
    <w:p w:rsidR="00D549BC" w:rsidRDefault="00D549BC" w:rsidP="00DF03B2">
      <w:pPr>
        <w:spacing w:after="240"/>
        <w:contextualSpacing/>
        <w:rPr>
          <w:rFonts w:ascii="Times New Roman" w:hAnsi="Times New Roman"/>
          <w:sz w:val="24"/>
        </w:rPr>
      </w:pPr>
      <w:r>
        <w:rPr>
          <w:rFonts w:ascii="Times New Roman" w:hAnsi="Times New Roman"/>
          <w:sz w:val="24"/>
        </w:rPr>
        <w:t>Uma segunda medida adotada pelo Presidente Ricardo Lewandowski, com intuito de otimizar os trabalhos no STF, logo após ser efetivamente empossado na Presidência, diz respeito a publicações</w:t>
      </w:r>
      <w:r w:rsidRPr="007322FF">
        <w:rPr>
          <w:rFonts w:ascii="Times New Roman" w:hAnsi="Times New Roman"/>
          <w:sz w:val="24"/>
        </w:rPr>
        <w:t xml:space="preserve"> </w:t>
      </w:r>
      <w:r>
        <w:rPr>
          <w:rFonts w:ascii="Times New Roman" w:hAnsi="Times New Roman"/>
          <w:sz w:val="24"/>
        </w:rPr>
        <w:t>de acórdãos</w:t>
      </w:r>
      <w:r w:rsidRPr="003F3292">
        <w:rPr>
          <w:rFonts w:ascii="Times New Roman" w:hAnsi="Times New Roman"/>
          <w:sz w:val="24"/>
        </w:rPr>
        <w:t xml:space="preserve"> </w:t>
      </w:r>
      <w:r>
        <w:rPr>
          <w:rFonts w:ascii="Times New Roman" w:hAnsi="Times New Roman"/>
          <w:sz w:val="24"/>
        </w:rPr>
        <w:t xml:space="preserve">no Diário Oficial que estavam pendentes. O Ministro Presidente fora informado, em meados de outubro de 2014, que </w:t>
      </w:r>
      <w:r w:rsidRPr="00D32E95">
        <w:rPr>
          <w:rFonts w:ascii="Times New Roman" w:hAnsi="Times New Roman"/>
          <w:sz w:val="24"/>
        </w:rPr>
        <w:t xml:space="preserve">que cerca de </w:t>
      </w:r>
      <w:r>
        <w:rPr>
          <w:rFonts w:ascii="Times New Roman" w:hAnsi="Times New Roman"/>
          <w:sz w:val="24"/>
        </w:rPr>
        <w:t>dois</w:t>
      </w:r>
      <w:r w:rsidRPr="00D32E95">
        <w:rPr>
          <w:rFonts w:ascii="Times New Roman" w:hAnsi="Times New Roman"/>
          <w:sz w:val="24"/>
        </w:rPr>
        <w:t xml:space="preserve"> mil acórdãos</w:t>
      </w:r>
      <w:r>
        <w:rPr>
          <w:rFonts w:ascii="Times New Roman" w:hAnsi="Times New Roman"/>
          <w:sz w:val="24"/>
        </w:rPr>
        <w:t xml:space="preserve">, </w:t>
      </w:r>
      <w:r w:rsidRPr="000B2C1D">
        <w:rPr>
          <w:rFonts w:ascii="Times New Roman" w:hAnsi="Times New Roman"/>
          <w:sz w:val="24"/>
        </w:rPr>
        <w:t>proferidos pelas Turmas e pelo Plenário do STF</w:t>
      </w:r>
      <w:r>
        <w:rPr>
          <w:rFonts w:ascii="Times New Roman" w:hAnsi="Times New Roman"/>
          <w:sz w:val="24"/>
        </w:rPr>
        <w:t>,</w:t>
      </w:r>
      <w:r w:rsidRPr="00D32E95">
        <w:rPr>
          <w:rFonts w:ascii="Times New Roman" w:hAnsi="Times New Roman"/>
          <w:sz w:val="24"/>
        </w:rPr>
        <w:t xml:space="preserve"> estavam pendentes de publicação</w:t>
      </w:r>
      <w:r>
        <w:rPr>
          <w:rFonts w:ascii="Times New Roman" w:hAnsi="Times New Roman"/>
          <w:sz w:val="24"/>
        </w:rPr>
        <w:t>.</w:t>
      </w:r>
      <w:r>
        <w:rPr>
          <w:rStyle w:val="FootnoteReference"/>
          <w:rFonts w:ascii="Times New Roman" w:hAnsi="Times New Roman"/>
          <w:sz w:val="24"/>
        </w:rPr>
        <w:footnoteReference w:id="252"/>
      </w:r>
      <w:r>
        <w:rPr>
          <w:rFonts w:ascii="Times New Roman" w:hAnsi="Times New Roman"/>
          <w:sz w:val="24"/>
        </w:rPr>
        <w:t xml:space="preserve"> Não é preciso reiterar a importância da publicação dessas decisões na imprensa oficial a fim de que surtam seus efeitos legais e, portanto, sejam cumpridas pelas partes, assim como para a formalização dos precedentes. </w:t>
      </w:r>
    </w:p>
    <w:p w:rsidR="00D549BC" w:rsidRDefault="00D549BC" w:rsidP="00DF03B2">
      <w:pPr>
        <w:spacing w:after="240"/>
        <w:contextualSpacing/>
        <w:rPr>
          <w:rFonts w:ascii="Times New Roman" w:hAnsi="Times New Roman"/>
          <w:sz w:val="24"/>
        </w:rPr>
      </w:pPr>
      <w:r>
        <w:rPr>
          <w:rFonts w:ascii="Times New Roman" w:hAnsi="Times New Roman"/>
          <w:sz w:val="24"/>
        </w:rPr>
        <w:t xml:space="preserve">Para enfrentar esse grave problema, que </w:t>
      </w:r>
      <w:r w:rsidRPr="00AD3218">
        <w:rPr>
          <w:rFonts w:ascii="Times New Roman" w:hAnsi="Times New Roman"/>
          <w:sz w:val="24"/>
        </w:rPr>
        <w:t xml:space="preserve">pode gerar </w:t>
      </w:r>
      <w:r>
        <w:rPr>
          <w:rFonts w:ascii="Times New Roman" w:hAnsi="Times New Roman"/>
          <w:sz w:val="24"/>
        </w:rPr>
        <w:t>prejuízos</w:t>
      </w:r>
      <w:r w:rsidRPr="00AD3218">
        <w:rPr>
          <w:rFonts w:ascii="Times New Roman" w:hAnsi="Times New Roman"/>
          <w:sz w:val="24"/>
        </w:rPr>
        <w:t xml:space="preserve"> </w:t>
      </w:r>
      <w:r>
        <w:rPr>
          <w:rFonts w:ascii="Times New Roman" w:hAnsi="Times New Roman"/>
          <w:sz w:val="24"/>
        </w:rPr>
        <w:t xml:space="preserve">tanto </w:t>
      </w:r>
      <w:r w:rsidRPr="00AD3218">
        <w:rPr>
          <w:rFonts w:ascii="Times New Roman" w:hAnsi="Times New Roman"/>
          <w:sz w:val="24"/>
        </w:rPr>
        <w:t>ao ex</w:t>
      </w:r>
      <w:r>
        <w:rPr>
          <w:rFonts w:ascii="Times New Roman" w:hAnsi="Times New Roman"/>
          <w:sz w:val="24"/>
        </w:rPr>
        <w:t>ercício do direito de recorrer, quanto</w:t>
      </w:r>
      <w:r w:rsidRPr="00AD3218">
        <w:rPr>
          <w:rFonts w:ascii="Times New Roman" w:hAnsi="Times New Roman"/>
          <w:sz w:val="24"/>
        </w:rPr>
        <w:t xml:space="preserve"> à garantia </w:t>
      </w:r>
      <w:r>
        <w:rPr>
          <w:rFonts w:ascii="Times New Roman" w:hAnsi="Times New Roman"/>
          <w:sz w:val="24"/>
        </w:rPr>
        <w:t>da</w:t>
      </w:r>
      <w:r w:rsidRPr="00AD3218">
        <w:rPr>
          <w:rFonts w:ascii="Times New Roman" w:hAnsi="Times New Roman"/>
          <w:sz w:val="24"/>
        </w:rPr>
        <w:t xml:space="preserve"> razoável duração do processo</w:t>
      </w:r>
      <w:r>
        <w:rPr>
          <w:rFonts w:ascii="Times New Roman" w:hAnsi="Times New Roman"/>
          <w:sz w:val="24"/>
        </w:rPr>
        <w:t>,</w:t>
      </w:r>
      <w:r w:rsidRPr="00AD3218">
        <w:rPr>
          <w:rFonts w:ascii="Times New Roman" w:hAnsi="Times New Roman"/>
          <w:sz w:val="24"/>
        </w:rPr>
        <w:t xml:space="preserve"> </w:t>
      </w:r>
      <w:r>
        <w:rPr>
          <w:rFonts w:ascii="Times New Roman" w:hAnsi="Times New Roman"/>
          <w:sz w:val="24"/>
        </w:rPr>
        <w:t xml:space="preserve">o Ministro Ricardo Lewandowski editou a Resolução nº 536, de 16 de outubro de 2014, que regulamenta </w:t>
      </w:r>
      <w:r w:rsidRPr="00AD3218">
        <w:rPr>
          <w:rFonts w:ascii="Times New Roman" w:hAnsi="Times New Roman"/>
          <w:sz w:val="24"/>
        </w:rPr>
        <w:t>a publicação de acórdãos pela Secretaria Judiciária do Supremo Tribunal Federal</w:t>
      </w:r>
      <w:r>
        <w:rPr>
          <w:rFonts w:ascii="Times New Roman" w:hAnsi="Times New Roman"/>
          <w:sz w:val="24"/>
        </w:rPr>
        <w:t>.</w:t>
      </w:r>
      <w:r>
        <w:rPr>
          <w:rStyle w:val="FootnoteReference"/>
          <w:rFonts w:ascii="Times New Roman" w:hAnsi="Times New Roman"/>
          <w:sz w:val="24"/>
        </w:rPr>
        <w:footnoteReference w:id="253"/>
      </w:r>
      <w:r>
        <w:rPr>
          <w:rFonts w:ascii="Times New Roman" w:hAnsi="Times New Roman"/>
          <w:sz w:val="24"/>
        </w:rPr>
        <w:t xml:space="preserve"> </w:t>
      </w:r>
    </w:p>
    <w:p w:rsidR="00D549BC" w:rsidRDefault="00D549BC" w:rsidP="00C55C17">
      <w:pPr>
        <w:spacing w:after="240"/>
        <w:contextualSpacing/>
        <w:rPr>
          <w:rFonts w:ascii="Times New Roman" w:hAnsi="Times New Roman"/>
          <w:sz w:val="24"/>
        </w:rPr>
      </w:pPr>
      <w:r>
        <w:rPr>
          <w:rFonts w:ascii="Times New Roman" w:hAnsi="Times New Roman"/>
          <w:sz w:val="24"/>
        </w:rPr>
        <w:t xml:space="preserve">Segundo o artigo 95, parágrafo único, do Regimento Interno do STF, o prazo para </w:t>
      </w:r>
      <w:r w:rsidRPr="000B2C1D">
        <w:rPr>
          <w:rFonts w:ascii="Times New Roman" w:hAnsi="Times New Roman"/>
          <w:sz w:val="24"/>
        </w:rPr>
        <w:t>a publicação</w:t>
      </w:r>
      <w:r>
        <w:rPr>
          <w:rFonts w:ascii="Times New Roman" w:hAnsi="Times New Roman"/>
          <w:sz w:val="24"/>
        </w:rPr>
        <w:t xml:space="preserve"> do acórdão</w:t>
      </w:r>
      <w:r w:rsidRPr="000B2C1D">
        <w:rPr>
          <w:rFonts w:ascii="Times New Roman" w:hAnsi="Times New Roman"/>
          <w:sz w:val="24"/>
        </w:rPr>
        <w:t xml:space="preserve"> no Diário da Justiça</w:t>
      </w:r>
      <w:r>
        <w:rPr>
          <w:rFonts w:ascii="Times New Roman" w:hAnsi="Times New Roman"/>
          <w:sz w:val="24"/>
        </w:rPr>
        <w:t xml:space="preserve"> é de 60 dias, </w:t>
      </w:r>
      <w:r w:rsidRPr="000B2C1D">
        <w:rPr>
          <w:rFonts w:ascii="Times New Roman" w:hAnsi="Times New Roman"/>
          <w:sz w:val="24"/>
        </w:rPr>
        <w:t>a partir da sessão em que tenha sido</w:t>
      </w:r>
      <w:r>
        <w:rPr>
          <w:rFonts w:ascii="Times New Roman" w:hAnsi="Times New Roman"/>
          <w:sz w:val="24"/>
        </w:rPr>
        <w:t xml:space="preserve"> </w:t>
      </w:r>
      <w:r w:rsidRPr="000B2C1D">
        <w:rPr>
          <w:rFonts w:ascii="Times New Roman" w:hAnsi="Times New Roman"/>
          <w:sz w:val="24"/>
        </w:rPr>
        <w:t>proclamado o resultado do julgamento</w:t>
      </w:r>
      <w:r>
        <w:rPr>
          <w:rFonts w:ascii="Times New Roman" w:hAnsi="Times New Roman"/>
          <w:sz w:val="24"/>
        </w:rPr>
        <w:t>.</w:t>
      </w:r>
      <w:r>
        <w:rPr>
          <w:rStyle w:val="FootnoteReference"/>
          <w:rFonts w:ascii="Times New Roman" w:hAnsi="Times New Roman"/>
          <w:sz w:val="24"/>
        </w:rPr>
        <w:footnoteReference w:id="254"/>
      </w:r>
      <w:r>
        <w:rPr>
          <w:rFonts w:ascii="Times New Roman" w:hAnsi="Times New Roman"/>
          <w:sz w:val="24"/>
        </w:rPr>
        <w:t xml:space="preserve"> </w:t>
      </w:r>
    </w:p>
    <w:p w:rsidR="00D549BC" w:rsidRDefault="00D549BC" w:rsidP="00C55C17">
      <w:pPr>
        <w:spacing w:after="240"/>
        <w:contextualSpacing/>
        <w:rPr>
          <w:rFonts w:ascii="Times New Roman" w:hAnsi="Times New Roman"/>
          <w:sz w:val="24"/>
        </w:rPr>
      </w:pPr>
      <w:r>
        <w:rPr>
          <w:rFonts w:ascii="Times New Roman" w:hAnsi="Times New Roman"/>
          <w:sz w:val="24"/>
        </w:rPr>
        <w:t>A R</w:t>
      </w:r>
      <w:r w:rsidRPr="000B2C1D">
        <w:rPr>
          <w:rFonts w:ascii="Times New Roman" w:hAnsi="Times New Roman"/>
          <w:sz w:val="24"/>
        </w:rPr>
        <w:t>esolução</w:t>
      </w:r>
      <w:r>
        <w:rPr>
          <w:rFonts w:ascii="Times New Roman" w:hAnsi="Times New Roman"/>
          <w:sz w:val="24"/>
        </w:rPr>
        <w:t xml:space="preserve"> nº 536/2014</w:t>
      </w:r>
      <w:r w:rsidRPr="000B2C1D">
        <w:rPr>
          <w:rFonts w:ascii="Times New Roman" w:hAnsi="Times New Roman"/>
          <w:sz w:val="24"/>
        </w:rPr>
        <w:t xml:space="preserve"> assegura aos gabinetes dos </w:t>
      </w:r>
      <w:r>
        <w:rPr>
          <w:rFonts w:ascii="Times New Roman" w:hAnsi="Times New Roman"/>
          <w:sz w:val="24"/>
        </w:rPr>
        <w:t>M</w:t>
      </w:r>
      <w:r w:rsidRPr="000B2C1D">
        <w:rPr>
          <w:rFonts w:ascii="Times New Roman" w:hAnsi="Times New Roman"/>
          <w:sz w:val="24"/>
        </w:rPr>
        <w:t>inistros, no entanto, a possibilidade de requerer à Presidência do STF a prorrogação do prazo por mais 60</w:t>
      </w:r>
      <w:r>
        <w:rPr>
          <w:rFonts w:ascii="Times New Roman" w:hAnsi="Times New Roman"/>
          <w:sz w:val="24"/>
        </w:rPr>
        <w:t xml:space="preserve"> </w:t>
      </w:r>
      <w:r w:rsidRPr="000B2C1D">
        <w:rPr>
          <w:rFonts w:ascii="Times New Roman" w:hAnsi="Times New Roman"/>
          <w:sz w:val="24"/>
        </w:rPr>
        <w:t>dias, mediante justificativa</w:t>
      </w:r>
      <w:r>
        <w:rPr>
          <w:rFonts w:ascii="Times New Roman" w:hAnsi="Times New Roman"/>
          <w:sz w:val="24"/>
        </w:rPr>
        <w:t>.</w:t>
      </w:r>
      <w:r>
        <w:rPr>
          <w:rStyle w:val="FootnoteReference"/>
          <w:rFonts w:ascii="Times New Roman" w:hAnsi="Times New Roman"/>
          <w:sz w:val="24"/>
        </w:rPr>
        <w:footnoteReference w:id="255"/>
      </w:r>
      <w:r>
        <w:rPr>
          <w:rFonts w:ascii="Times New Roman" w:hAnsi="Times New Roman"/>
          <w:sz w:val="24"/>
        </w:rPr>
        <w:t xml:space="preserve"> O Tribunal buscou</w:t>
      </w:r>
      <w:r w:rsidRPr="001A6AFC">
        <w:rPr>
          <w:rFonts w:ascii="Times New Roman" w:hAnsi="Times New Roman"/>
          <w:sz w:val="24"/>
        </w:rPr>
        <w:t>, com isso, assegurar aos jurisdicionados os preceitos constitucionais da razoável duração do processo</w:t>
      </w:r>
      <w:r>
        <w:rPr>
          <w:rFonts w:ascii="Times New Roman" w:hAnsi="Times New Roman"/>
          <w:sz w:val="24"/>
        </w:rPr>
        <w:t xml:space="preserve"> </w:t>
      </w:r>
      <w:r w:rsidRPr="001A6AFC">
        <w:rPr>
          <w:rFonts w:ascii="Times New Roman" w:hAnsi="Times New Roman"/>
          <w:sz w:val="24"/>
        </w:rPr>
        <w:t>e da celeridade do trâmite processual</w:t>
      </w:r>
      <w:r>
        <w:rPr>
          <w:rFonts w:ascii="Times New Roman" w:hAnsi="Times New Roman"/>
          <w:sz w:val="24"/>
        </w:rPr>
        <w:t xml:space="preserve"> (art. 5º, LXXVIII, da CRFB/88)</w:t>
      </w:r>
      <w:r w:rsidRPr="001A6AFC">
        <w:rPr>
          <w:rFonts w:ascii="Times New Roman" w:hAnsi="Times New Roman"/>
          <w:sz w:val="24"/>
        </w:rPr>
        <w:t xml:space="preserve">. </w:t>
      </w:r>
    </w:p>
    <w:p w:rsidR="00D549BC" w:rsidRDefault="00D549BC" w:rsidP="00C55C17">
      <w:pPr>
        <w:spacing w:after="240"/>
        <w:contextualSpacing/>
        <w:rPr>
          <w:rFonts w:ascii="Times New Roman" w:hAnsi="Times New Roman"/>
          <w:sz w:val="24"/>
        </w:rPr>
      </w:pPr>
      <w:r>
        <w:rPr>
          <w:rFonts w:ascii="Times New Roman" w:hAnsi="Times New Roman"/>
          <w:sz w:val="24"/>
        </w:rPr>
        <w:t>Oportuno, então, fazermos menção às justificativas apresentadas pelo M</w:t>
      </w:r>
      <w:r w:rsidRPr="001A6AFC">
        <w:rPr>
          <w:rFonts w:ascii="Times New Roman" w:hAnsi="Times New Roman"/>
          <w:sz w:val="24"/>
        </w:rPr>
        <w:t xml:space="preserve">inistro Lewandowski no texto da </w:t>
      </w:r>
      <w:r>
        <w:rPr>
          <w:rFonts w:ascii="Times New Roman" w:hAnsi="Times New Roman"/>
          <w:sz w:val="24"/>
        </w:rPr>
        <w:t xml:space="preserve">Resolução nº 536/2014:    </w:t>
      </w:r>
    </w:p>
    <w:p w:rsidR="00D549BC" w:rsidRDefault="00D549BC" w:rsidP="00420DD9">
      <w:pPr>
        <w:spacing w:after="240" w:line="240" w:lineRule="auto"/>
        <w:ind w:left="2268" w:firstLine="0"/>
        <w:contextualSpacing/>
        <w:rPr>
          <w:rFonts w:ascii="Times New Roman" w:hAnsi="Times New Roman"/>
        </w:rPr>
      </w:pPr>
      <w:r w:rsidRPr="00420DD9">
        <w:rPr>
          <w:rFonts w:ascii="Times New Roman" w:hAnsi="Times New Roman"/>
          <w:b/>
        </w:rPr>
        <w:t>O PRESIDENTE DO SUPREMO TRIBUNAL FEDERAL</w:t>
      </w:r>
      <w:r w:rsidRPr="00420DD9">
        <w:rPr>
          <w:rFonts w:ascii="Times New Roman" w:hAnsi="Times New Roman"/>
        </w:rPr>
        <w:t>, no uso das</w:t>
      </w:r>
      <w:r>
        <w:rPr>
          <w:rFonts w:ascii="Times New Roman" w:hAnsi="Times New Roman"/>
        </w:rPr>
        <w:t xml:space="preserve"> </w:t>
      </w:r>
      <w:r w:rsidRPr="00420DD9">
        <w:rPr>
          <w:rFonts w:ascii="Times New Roman" w:hAnsi="Times New Roman"/>
        </w:rPr>
        <w:t xml:space="preserve">atribuições que lhe confere o art. 363, I, do Regimento Interno, e </w:t>
      </w:r>
    </w:p>
    <w:p w:rsidR="00D549BC" w:rsidRDefault="00D549BC" w:rsidP="00420DD9">
      <w:pPr>
        <w:spacing w:after="240" w:line="240" w:lineRule="auto"/>
        <w:ind w:left="2268" w:firstLine="0"/>
        <w:contextualSpacing/>
        <w:rPr>
          <w:rFonts w:ascii="Times New Roman" w:hAnsi="Times New Roman"/>
        </w:rPr>
      </w:pPr>
      <w:r w:rsidRPr="00420DD9">
        <w:rPr>
          <w:rFonts w:ascii="Times New Roman" w:hAnsi="Times New Roman"/>
          <w:b/>
        </w:rPr>
        <w:t>CONSIDERANDO</w:t>
      </w:r>
      <w:r w:rsidRPr="00420DD9">
        <w:rPr>
          <w:rFonts w:ascii="Times New Roman" w:hAnsi="Times New Roman"/>
        </w:rPr>
        <w:t xml:space="preserve"> que, nos termos do art. 5º, LXXVIII, da Constituição da República, a todos, no âmbito judicial e administrativo, são assegurados a razoável duração do processo e os meios que garantam a celeridade de sua tramitação;</w:t>
      </w:r>
    </w:p>
    <w:p w:rsidR="00D549BC" w:rsidRPr="00420DD9" w:rsidRDefault="00D549BC" w:rsidP="00420DD9">
      <w:pPr>
        <w:spacing w:after="240" w:line="240" w:lineRule="auto"/>
        <w:ind w:left="2268" w:firstLine="0"/>
        <w:contextualSpacing/>
        <w:rPr>
          <w:rFonts w:ascii="Times New Roman" w:hAnsi="Times New Roman"/>
        </w:rPr>
      </w:pPr>
      <w:r w:rsidRPr="00420DD9">
        <w:rPr>
          <w:rFonts w:ascii="Times New Roman" w:hAnsi="Times New Roman"/>
          <w:b/>
        </w:rPr>
        <w:t>CONSIDERANDO</w:t>
      </w:r>
      <w:r w:rsidRPr="00420DD9">
        <w:rPr>
          <w:rFonts w:ascii="Times New Roman" w:hAnsi="Times New Roman"/>
        </w:rPr>
        <w:t xml:space="preserve"> a pendência de publicação de cerca de dois mil</w:t>
      </w:r>
      <w:r>
        <w:rPr>
          <w:rFonts w:ascii="Times New Roman" w:hAnsi="Times New Roman"/>
        </w:rPr>
        <w:t xml:space="preserve"> </w:t>
      </w:r>
      <w:r w:rsidRPr="00420DD9">
        <w:rPr>
          <w:rFonts w:ascii="Times New Roman" w:hAnsi="Times New Roman"/>
        </w:rPr>
        <w:t>acórdãos proferidos pelas Turmas e pelo Plenário do Supremo Tribunal Federal;</w:t>
      </w:r>
    </w:p>
    <w:p w:rsidR="00D549BC" w:rsidRPr="00420DD9" w:rsidRDefault="00D549BC" w:rsidP="00420DD9">
      <w:pPr>
        <w:spacing w:after="240" w:line="240" w:lineRule="auto"/>
        <w:ind w:left="2268" w:firstLine="0"/>
        <w:contextualSpacing/>
        <w:rPr>
          <w:rFonts w:ascii="Times New Roman" w:hAnsi="Times New Roman"/>
        </w:rPr>
      </w:pPr>
      <w:r w:rsidRPr="00420DD9">
        <w:rPr>
          <w:rFonts w:ascii="Times New Roman" w:hAnsi="Times New Roman"/>
          <w:b/>
        </w:rPr>
        <w:t>CONSIDERANDO</w:t>
      </w:r>
      <w:r w:rsidRPr="00420DD9">
        <w:rPr>
          <w:rFonts w:ascii="Times New Roman" w:hAnsi="Times New Roman"/>
        </w:rPr>
        <w:t xml:space="preserve"> que a publicação das decisões judiciais constitui parte essencial do processo que culmina com a entrega da prestação jurisdicional;</w:t>
      </w:r>
    </w:p>
    <w:p w:rsidR="00D549BC" w:rsidRPr="00420DD9" w:rsidRDefault="00D549BC" w:rsidP="00420DD9">
      <w:pPr>
        <w:spacing w:after="240" w:line="240" w:lineRule="auto"/>
        <w:ind w:left="2268" w:firstLine="0"/>
        <w:contextualSpacing/>
        <w:rPr>
          <w:rFonts w:ascii="Times New Roman" w:hAnsi="Times New Roman"/>
        </w:rPr>
      </w:pPr>
      <w:r w:rsidRPr="00420DD9">
        <w:rPr>
          <w:rFonts w:ascii="Times New Roman" w:hAnsi="Times New Roman"/>
          <w:b/>
        </w:rPr>
        <w:t>CONSIDERANDO</w:t>
      </w:r>
      <w:r w:rsidRPr="00420DD9">
        <w:rPr>
          <w:rFonts w:ascii="Times New Roman" w:hAnsi="Times New Roman"/>
        </w:rPr>
        <w:t xml:space="preserve"> o disposto no art. 95, parágrafo único, do Regimento Interno do STF, que determina, salvo motivo justificado, o prazo máximo de sessenta dias para a publicação do acórdão, a partir da sessão em que tenha sido proclamado o resultado do julgamento; e</w:t>
      </w:r>
    </w:p>
    <w:p w:rsidR="00D549BC" w:rsidRDefault="00D549BC" w:rsidP="00420DD9">
      <w:pPr>
        <w:spacing w:after="240" w:line="240" w:lineRule="auto"/>
        <w:ind w:left="2268" w:firstLine="0"/>
        <w:contextualSpacing/>
        <w:rPr>
          <w:rFonts w:ascii="Times New Roman" w:hAnsi="Times New Roman"/>
        </w:rPr>
      </w:pPr>
      <w:r w:rsidRPr="00420DD9">
        <w:rPr>
          <w:rFonts w:ascii="Times New Roman" w:hAnsi="Times New Roman"/>
          <w:b/>
        </w:rPr>
        <w:t>CONSIDERANDO</w:t>
      </w:r>
      <w:r w:rsidRPr="00420DD9">
        <w:rPr>
          <w:rFonts w:ascii="Times New Roman" w:hAnsi="Times New Roman"/>
        </w:rPr>
        <w:t xml:space="preserve"> o disposto no art. 96, § 3º, do Regimento Interno, que determina à Secretaria das Sessões proceder à transcrição do relatório e do voto lidos que não tenham sido liberados no prazo de sessenta dias, contendo a ressalva de que</w:t>
      </w:r>
      <w:r>
        <w:rPr>
          <w:rFonts w:ascii="Times New Roman" w:hAnsi="Times New Roman"/>
        </w:rPr>
        <w:t xml:space="preserve"> </w:t>
      </w:r>
      <w:r w:rsidRPr="00420DD9">
        <w:rPr>
          <w:rFonts w:ascii="Times New Roman" w:hAnsi="Times New Roman"/>
        </w:rPr>
        <w:t>não foram revistos</w:t>
      </w:r>
      <w:r>
        <w:rPr>
          <w:rFonts w:ascii="Times New Roman" w:hAnsi="Times New Roman"/>
        </w:rPr>
        <w:t>;</w:t>
      </w:r>
      <w:r>
        <w:rPr>
          <w:rStyle w:val="FootnoteReference"/>
          <w:rFonts w:ascii="Times New Roman" w:hAnsi="Times New Roman"/>
        </w:rPr>
        <w:footnoteReference w:id="256"/>
      </w:r>
      <w:r>
        <w:rPr>
          <w:rFonts w:ascii="Times New Roman" w:hAnsi="Times New Roman"/>
        </w:rPr>
        <w:t xml:space="preserve"> </w:t>
      </w:r>
    </w:p>
    <w:p w:rsidR="00D549BC" w:rsidRDefault="00D549BC" w:rsidP="00420DD9">
      <w:pPr>
        <w:spacing w:after="240" w:line="240" w:lineRule="auto"/>
        <w:ind w:left="2268" w:firstLine="0"/>
        <w:contextualSpacing/>
        <w:rPr>
          <w:rFonts w:ascii="Times New Roman" w:hAnsi="Times New Roman"/>
        </w:rPr>
      </w:pPr>
    </w:p>
    <w:p w:rsidR="00D549BC" w:rsidRDefault="00D549BC" w:rsidP="00A14E7E">
      <w:pPr>
        <w:spacing w:after="240"/>
        <w:contextualSpacing/>
        <w:rPr>
          <w:rFonts w:ascii="Times New Roman" w:hAnsi="Times New Roman"/>
          <w:sz w:val="24"/>
          <w:szCs w:val="24"/>
        </w:rPr>
      </w:pPr>
      <w:r w:rsidRPr="00EE2ACE">
        <w:rPr>
          <w:rFonts w:ascii="Times New Roman" w:hAnsi="Times New Roman"/>
          <w:sz w:val="24"/>
          <w:szCs w:val="24"/>
        </w:rPr>
        <w:t xml:space="preserve">Finalmente, </w:t>
      </w:r>
      <w:r>
        <w:rPr>
          <w:rFonts w:ascii="Times New Roman" w:hAnsi="Times New Roman"/>
          <w:sz w:val="24"/>
          <w:szCs w:val="24"/>
        </w:rPr>
        <w:t>n</w:t>
      </w:r>
      <w:r w:rsidRPr="00EE2ACE">
        <w:rPr>
          <w:rFonts w:ascii="Times New Roman" w:hAnsi="Times New Roman"/>
          <w:sz w:val="24"/>
          <w:szCs w:val="24"/>
        </w:rPr>
        <w:t>o D</w:t>
      </w:r>
      <w:r>
        <w:rPr>
          <w:rFonts w:ascii="Times New Roman" w:hAnsi="Times New Roman"/>
          <w:sz w:val="24"/>
          <w:szCs w:val="24"/>
        </w:rPr>
        <w:t xml:space="preserve">iário de </w:t>
      </w:r>
      <w:r w:rsidRPr="00EE2ACE">
        <w:rPr>
          <w:rFonts w:ascii="Times New Roman" w:hAnsi="Times New Roman"/>
          <w:sz w:val="24"/>
          <w:szCs w:val="24"/>
        </w:rPr>
        <w:t>J</w:t>
      </w:r>
      <w:r>
        <w:rPr>
          <w:rFonts w:ascii="Times New Roman" w:hAnsi="Times New Roman"/>
          <w:sz w:val="24"/>
          <w:szCs w:val="24"/>
        </w:rPr>
        <w:t xml:space="preserve">ustiça </w:t>
      </w:r>
      <w:r w:rsidRPr="00EE2ACE">
        <w:rPr>
          <w:rFonts w:ascii="Times New Roman" w:hAnsi="Times New Roman"/>
          <w:sz w:val="24"/>
          <w:szCs w:val="24"/>
        </w:rPr>
        <w:t>e</w:t>
      </w:r>
      <w:r>
        <w:rPr>
          <w:rFonts w:ascii="Times New Roman" w:hAnsi="Times New Roman"/>
          <w:sz w:val="24"/>
          <w:szCs w:val="24"/>
        </w:rPr>
        <w:t>letrônico (DJe)</w:t>
      </w:r>
      <w:r w:rsidRPr="00EE2ACE">
        <w:rPr>
          <w:rFonts w:ascii="Times New Roman" w:hAnsi="Times New Roman"/>
          <w:sz w:val="24"/>
          <w:szCs w:val="24"/>
        </w:rPr>
        <w:t xml:space="preserve"> nº 213</w:t>
      </w:r>
      <w:r>
        <w:rPr>
          <w:rFonts w:ascii="Times New Roman" w:hAnsi="Times New Roman"/>
          <w:sz w:val="24"/>
          <w:szCs w:val="24"/>
        </w:rPr>
        <w:t>,</w:t>
      </w:r>
      <w:r w:rsidRPr="00EE2ACE">
        <w:rPr>
          <w:rFonts w:ascii="Times New Roman" w:hAnsi="Times New Roman"/>
          <w:sz w:val="24"/>
          <w:szCs w:val="24"/>
        </w:rPr>
        <w:t xml:space="preserve"> de 30 de outubro de 2014</w:t>
      </w:r>
      <w:r>
        <w:rPr>
          <w:rFonts w:ascii="Times New Roman" w:hAnsi="Times New Roman"/>
          <w:sz w:val="24"/>
          <w:szCs w:val="24"/>
        </w:rPr>
        <w:t>, foram</w:t>
      </w:r>
      <w:r w:rsidRPr="00EE2ACE">
        <w:rPr>
          <w:rFonts w:ascii="Times New Roman" w:hAnsi="Times New Roman"/>
          <w:sz w:val="24"/>
          <w:szCs w:val="24"/>
        </w:rPr>
        <w:t xml:space="preserve"> public</w:t>
      </w:r>
      <w:r>
        <w:rPr>
          <w:rFonts w:ascii="Times New Roman" w:hAnsi="Times New Roman"/>
          <w:sz w:val="24"/>
          <w:szCs w:val="24"/>
        </w:rPr>
        <w:t>ados</w:t>
      </w:r>
      <w:r w:rsidRPr="00EE2ACE">
        <w:rPr>
          <w:rFonts w:ascii="Times New Roman" w:hAnsi="Times New Roman"/>
          <w:sz w:val="24"/>
          <w:szCs w:val="24"/>
        </w:rPr>
        <w:t xml:space="preserve"> os acórdãos de 437 processos, sendo que</w:t>
      </w:r>
      <w:r>
        <w:rPr>
          <w:rFonts w:ascii="Times New Roman" w:hAnsi="Times New Roman"/>
          <w:sz w:val="24"/>
          <w:szCs w:val="24"/>
        </w:rPr>
        <w:t>,</w:t>
      </w:r>
      <w:r w:rsidRPr="00EE2ACE">
        <w:rPr>
          <w:rFonts w:ascii="Times New Roman" w:hAnsi="Times New Roman"/>
          <w:sz w:val="24"/>
          <w:szCs w:val="24"/>
        </w:rPr>
        <w:t xml:space="preserve"> em alguns, a decisão </w:t>
      </w:r>
      <w:r>
        <w:rPr>
          <w:rFonts w:ascii="Times New Roman" w:hAnsi="Times New Roman"/>
          <w:sz w:val="24"/>
          <w:szCs w:val="24"/>
        </w:rPr>
        <w:t xml:space="preserve">já </w:t>
      </w:r>
      <w:r w:rsidRPr="00EE2ACE">
        <w:rPr>
          <w:rFonts w:ascii="Times New Roman" w:hAnsi="Times New Roman"/>
          <w:sz w:val="24"/>
          <w:szCs w:val="24"/>
        </w:rPr>
        <w:t>havia sido tomada há quase uma década</w:t>
      </w:r>
      <w:r>
        <w:rPr>
          <w:rFonts w:ascii="Times New Roman" w:hAnsi="Times New Roman"/>
          <w:sz w:val="24"/>
          <w:szCs w:val="24"/>
        </w:rPr>
        <w:t>.</w:t>
      </w:r>
      <w:r>
        <w:rPr>
          <w:rStyle w:val="FootnoteReference"/>
          <w:rFonts w:ascii="Times New Roman" w:hAnsi="Times New Roman"/>
          <w:sz w:val="24"/>
          <w:szCs w:val="24"/>
        </w:rPr>
        <w:footnoteReference w:id="257"/>
      </w:r>
      <w:r w:rsidRPr="00EE2ACE">
        <w:rPr>
          <w:rFonts w:ascii="Times New Roman" w:hAnsi="Times New Roman"/>
          <w:sz w:val="24"/>
          <w:szCs w:val="24"/>
        </w:rPr>
        <w:t xml:space="preserve"> </w:t>
      </w:r>
    </w:p>
    <w:p w:rsidR="00D549BC" w:rsidRDefault="00D549BC" w:rsidP="00420DD9">
      <w:pPr>
        <w:spacing w:after="240"/>
        <w:ind w:firstLine="851"/>
        <w:contextualSpacing/>
        <w:rPr>
          <w:rFonts w:ascii="Times New Roman" w:hAnsi="Times New Roman"/>
          <w:sz w:val="24"/>
          <w:szCs w:val="24"/>
        </w:rPr>
      </w:pPr>
    </w:p>
    <w:p w:rsidR="00D549BC" w:rsidRDefault="00D549BC" w:rsidP="007E3C05">
      <w:pPr>
        <w:spacing w:after="240"/>
        <w:ind w:firstLine="0"/>
        <w:contextualSpacing/>
        <w:rPr>
          <w:rFonts w:ascii="Times New Roman" w:hAnsi="Times New Roman"/>
          <w:sz w:val="24"/>
          <w:szCs w:val="24"/>
        </w:rPr>
      </w:pPr>
      <w:r>
        <w:rPr>
          <w:rFonts w:ascii="Times New Roman" w:hAnsi="Times New Roman"/>
          <w:sz w:val="24"/>
          <w:szCs w:val="24"/>
        </w:rPr>
        <w:t xml:space="preserve">4.3.3.4 Desafogamento do Plenário </w:t>
      </w:r>
    </w:p>
    <w:p w:rsidR="00D549BC" w:rsidRPr="00EE2ACE" w:rsidRDefault="00D549BC" w:rsidP="00420DD9">
      <w:pPr>
        <w:spacing w:after="240"/>
        <w:ind w:firstLine="851"/>
        <w:contextualSpacing/>
        <w:rPr>
          <w:rFonts w:ascii="Times New Roman" w:hAnsi="Times New Roman"/>
          <w:sz w:val="24"/>
          <w:szCs w:val="24"/>
        </w:rPr>
      </w:pPr>
    </w:p>
    <w:p w:rsidR="00D549BC" w:rsidRDefault="00D549BC" w:rsidP="000E347C">
      <w:pPr>
        <w:spacing w:after="240"/>
        <w:contextualSpacing/>
        <w:rPr>
          <w:rFonts w:ascii="Times New Roman" w:hAnsi="Times New Roman"/>
          <w:sz w:val="24"/>
        </w:rPr>
      </w:pPr>
      <w:r>
        <w:rPr>
          <w:rFonts w:ascii="Times New Roman" w:hAnsi="Times New Roman"/>
          <w:sz w:val="24"/>
        </w:rPr>
        <w:t>O R</w:t>
      </w:r>
      <w:r w:rsidRPr="007E3C05">
        <w:rPr>
          <w:rFonts w:ascii="Times New Roman" w:hAnsi="Times New Roman"/>
          <w:sz w:val="24"/>
        </w:rPr>
        <w:t>elatório</w:t>
      </w:r>
      <w:r>
        <w:rPr>
          <w:rFonts w:ascii="Times New Roman" w:hAnsi="Times New Roman"/>
          <w:sz w:val="24"/>
        </w:rPr>
        <w:t xml:space="preserve"> Trimestral</w:t>
      </w:r>
      <w:r w:rsidRPr="007E3C05">
        <w:rPr>
          <w:rFonts w:ascii="Times New Roman" w:hAnsi="Times New Roman"/>
          <w:sz w:val="24"/>
        </w:rPr>
        <w:t xml:space="preserve"> de atividades do STF também mostra números positivos do</w:t>
      </w:r>
      <w:r>
        <w:rPr>
          <w:rFonts w:ascii="Times New Roman" w:hAnsi="Times New Roman"/>
          <w:sz w:val="24"/>
        </w:rPr>
        <w:t xml:space="preserve"> </w:t>
      </w:r>
      <w:r w:rsidRPr="007E3C05">
        <w:rPr>
          <w:rFonts w:ascii="Times New Roman" w:hAnsi="Times New Roman"/>
          <w:sz w:val="24"/>
        </w:rPr>
        <w:t>Plenário</w:t>
      </w:r>
      <w:r>
        <w:rPr>
          <w:rFonts w:ascii="Times New Roman" w:hAnsi="Times New Roman"/>
          <w:sz w:val="24"/>
        </w:rPr>
        <w:t xml:space="preserve"> da Corte</w:t>
      </w:r>
      <w:r w:rsidRPr="007E3C05">
        <w:rPr>
          <w:rFonts w:ascii="Times New Roman" w:hAnsi="Times New Roman"/>
          <w:sz w:val="24"/>
        </w:rPr>
        <w:t>.</w:t>
      </w:r>
      <w:r>
        <w:rPr>
          <w:rFonts w:ascii="Times New Roman" w:hAnsi="Times New Roman"/>
          <w:sz w:val="24"/>
        </w:rPr>
        <w:t xml:space="preserve"> </w:t>
      </w:r>
      <w:r w:rsidRPr="007E3C05">
        <w:rPr>
          <w:rFonts w:ascii="Times New Roman" w:hAnsi="Times New Roman"/>
          <w:sz w:val="24"/>
        </w:rPr>
        <w:t>Segundo o documento, o desempenho do Pleno “tem chamado a</w:t>
      </w:r>
      <w:r>
        <w:rPr>
          <w:rFonts w:ascii="Times New Roman" w:hAnsi="Times New Roman"/>
          <w:sz w:val="24"/>
        </w:rPr>
        <w:t xml:space="preserve"> </w:t>
      </w:r>
      <w:r w:rsidRPr="007E3C05">
        <w:rPr>
          <w:rFonts w:ascii="Times New Roman" w:hAnsi="Times New Roman"/>
          <w:sz w:val="24"/>
        </w:rPr>
        <w:t>atenção de todos os que acompanham os trabalhos do Supremo Tribunal</w:t>
      </w:r>
      <w:r>
        <w:rPr>
          <w:rFonts w:ascii="Times New Roman" w:hAnsi="Times New Roman"/>
          <w:sz w:val="24"/>
        </w:rPr>
        <w:t xml:space="preserve"> </w:t>
      </w:r>
      <w:r w:rsidRPr="007E3C05">
        <w:rPr>
          <w:rFonts w:ascii="Times New Roman" w:hAnsi="Times New Roman"/>
          <w:sz w:val="24"/>
        </w:rPr>
        <w:t>Federal</w:t>
      </w:r>
      <w:r>
        <w:rPr>
          <w:rFonts w:ascii="Times New Roman" w:hAnsi="Times New Roman"/>
          <w:sz w:val="24"/>
        </w:rPr>
        <w:t>.</w:t>
      </w:r>
      <w:r w:rsidRPr="007E3C05">
        <w:rPr>
          <w:rFonts w:ascii="Times New Roman" w:hAnsi="Times New Roman"/>
          <w:sz w:val="24"/>
        </w:rPr>
        <w:t>”</w:t>
      </w:r>
      <w:r>
        <w:rPr>
          <w:rStyle w:val="FootnoteReference"/>
          <w:rFonts w:ascii="Times New Roman" w:hAnsi="Times New Roman"/>
          <w:sz w:val="24"/>
        </w:rPr>
        <w:footnoteReference w:id="258"/>
      </w:r>
      <w:r>
        <w:rPr>
          <w:rFonts w:ascii="Times New Roman" w:hAnsi="Times New Roman"/>
          <w:sz w:val="24"/>
        </w:rPr>
        <w:t xml:space="preserve"> Somente na primeira sessão do Ministro Ricardo Lewandowski como P</w:t>
      </w:r>
      <w:r w:rsidRPr="007E3C05">
        <w:rPr>
          <w:rFonts w:ascii="Times New Roman" w:hAnsi="Times New Roman"/>
          <w:sz w:val="24"/>
        </w:rPr>
        <w:t>residente</w:t>
      </w:r>
      <w:r>
        <w:rPr>
          <w:rFonts w:ascii="Times New Roman" w:hAnsi="Times New Roman"/>
          <w:sz w:val="24"/>
        </w:rPr>
        <w:t xml:space="preserve"> interino</w:t>
      </w:r>
      <w:r w:rsidRPr="007E3C05">
        <w:rPr>
          <w:rFonts w:ascii="Times New Roman" w:hAnsi="Times New Roman"/>
          <w:sz w:val="24"/>
        </w:rPr>
        <w:t>,</w:t>
      </w:r>
      <w:r>
        <w:rPr>
          <w:rFonts w:ascii="Times New Roman" w:hAnsi="Times New Roman"/>
          <w:sz w:val="24"/>
        </w:rPr>
        <w:t xml:space="preserve"> em agosto de 2014, o Plenário</w:t>
      </w:r>
      <w:r w:rsidRPr="007E3C05">
        <w:rPr>
          <w:rFonts w:ascii="Times New Roman" w:hAnsi="Times New Roman"/>
          <w:sz w:val="24"/>
        </w:rPr>
        <w:t xml:space="preserve"> julgou </w:t>
      </w:r>
      <w:r>
        <w:rPr>
          <w:rFonts w:ascii="Times New Roman" w:hAnsi="Times New Roman"/>
          <w:sz w:val="24"/>
        </w:rPr>
        <w:t xml:space="preserve">nada menos do que </w:t>
      </w:r>
      <w:r w:rsidRPr="007E3C05">
        <w:rPr>
          <w:rFonts w:ascii="Times New Roman" w:hAnsi="Times New Roman"/>
          <w:sz w:val="24"/>
        </w:rPr>
        <w:t>127</w:t>
      </w:r>
      <w:r>
        <w:rPr>
          <w:rFonts w:ascii="Times New Roman" w:hAnsi="Times New Roman"/>
          <w:sz w:val="24"/>
        </w:rPr>
        <w:t xml:space="preserve"> processos. </w:t>
      </w:r>
    </w:p>
    <w:p w:rsidR="00D549BC" w:rsidRDefault="00D549BC" w:rsidP="000E347C">
      <w:pPr>
        <w:spacing w:after="240"/>
        <w:contextualSpacing/>
        <w:rPr>
          <w:rFonts w:ascii="Times New Roman" w:hAnsi="Times New Roman"/>
          <w:sz w:val="24"/>
        </w:rPr>
      </w:pPr>
      <w:r>
        <w:rPr>
          <w:rFonts w:ascii="Times New Roman" w:hAnsi="Times New Roman"/>
          <w:sz w:val="24"/>
        </w:rPr>
        <w:t xml:space="preserve">Para amenizar </w:t>
      </w:r>
      <w:r w:rsidRPr="00567C44">
        <w:rPr>
          <w:rFonts w:ascii="Times New Roman" w:hAnsi="Times New Roman"/>
          <w:sz w:val="24"/>
        </w:rPr>
        <w:t>a pauta do Plenário, que</w:t>
      </w:r>
      <w:r>
        <w:rPr>
          <w:rFonts w:ascii="Times New Roman" w:hAnsi="Times New Roman"/>
          <w:sz w:val="24"/>
        </w:rPr>
        <w:t>,</w:t>
      </w:r>
      <w:r w:rsidRPr="00567C44">
        <w:rPr>
          <w:rFonts w:ascii="Times New Roman" w:hAnsi="Times New Roman"/>
          <w:sz w:val="24"/>
        </w:rPr>
        <w:t xml:space="preserve"> no início d</w:t>
      </w:r>
      <w:r>
        <w:rPr>
          <w:rFonts w:ascii="Times New Roman" w:hAnsi="Times New Roman"/>
          <w:sz w:val="24"/>
        </w:rPr>
        <w:t>o segundo</w:t>
      </w:r>
      <w:r w:rsidRPr="00567C44">
        <w:rPr>
          <w:rFonts w:ascii="Times New Roman" w:hAnsi="Times New Roman"/>
          <w:sz w:val="24"/>
        </w:rPr>
        <w:t xml:space="preserve"> semestre </w:t>
      </w:r>
      <w:r>
        <w:rPr>
          <w:rFonts w:ascii="Times New Roman" w:hAnsi="Times New Roman"/>
          <w:sz w:val="24"/>
        </w:rPr>
        <w:t xml:space="preserve">de 2014, </w:t>
      </w:r>
      <w:r w:rsidRPr="00567C44">
        <w:rPr>
          <w:rFonts w:ascii="Times New Roman" w:hAnsi="Times New Roman"/>
          <w:sz w:val="24"/>
        </w:rPr>
        <w:t xml:space="preserve">contava com cerca de 1.000 processos </w:t>
      </w:r>
      <w:r>
        <w:rPr>
          <w:rFonts w:ascii="Times New Roman" w:hAnsi="Times New Roman"/>
          <w:sz w:val="24"/>
        </w:rPr>
        <w:t>aguardando</w:t>
      </w:r>
      <w:r w:rsidRPr="00567C44">
        <w:rPr>
          <w:rFonts w:ascii="Times New Roman" w:hAnsi="Times New Roman"/>
          <w:sz w:val="24"/>
        </w:rPr>
        <w:t xml:space="preserve"> julgamento, o Ministro Ricardo Lewandowski estabeleceu, junto à Assessoria do Plenário, a adoção de metas para diminuir o congestionamento de processos</w:t>
      </w:r>
      <w:r>
        <w:rPr>
          <w:rFonts w:ascii="Times New Roman" w:hAnsi="Times New Roman"/>
          <w:sz w:val="24"/>
        </w:rPr>
        <w:t xml:space="preserve">. </w:t>
      </w:r>
    </w:p>
    <w:p w:rsidR="00D549BC" w:rsidRDefault="00D549BC" w:rsidP="000E347C">
      <w:pPr>
        <w:spacing w:after="240"/>
        <w:contextualSpacing/>
        <w:rPr>
          <w:rFonts w:ascii="Times New Roman" w:hAnsi="Times New Roman"/>
          <w:sz w:val="24"/>
        </w:rPr>
      </w:pPr>
      <w:r>
        <w:rPr>
          <w:rFonts w:ascii="Times New Roman" w:hAnsi="Times New Roman"/>
          <w:sz w:val="24"/>
        </w:rPr>
        <w:t xml:space="preserve">A </w:t>
      </w:r>
      <w:r w:rsidRPr="00567C44">
        <w:rPr>
          <w:rFonts w:ascii="Times New Roman" w:hAnsi="Times New Roman"/>
          <w:sz w:val="24"/>
        </w:rPr>
        <w:t xml:space="preserve">primeira </w:t>
      </w:r>
      <w:r>
        <w:rPr>
          <w:rFonts w:ascii="Times New Roman" w:hAnsi="Times New Roman"/>
          <w:sz w:val="24"/>
        </w:rPr>
        <w:t>delas</w:t>
      </w:r>
      <w:r w:rsidRPr="00567C44">
        <w:rPr>
          <w:rFonts w:ascii="Times New Roman" w:hAnsi="Times New Roman"/>
          <w:sz w:val="24"/>
        </w:rPr>
        <w:t xml:space="preserve"> foi </w:t>
      </w:r>
      <w:r>
        <w:rPr>
          <w:rFonts w:ascii="Times New Roman" w:hAnsi="Times New Roman"/>
          <w:sz w:val="24"/>
        </w:rPr>
        <w:t xml:space="preserve">priorizar </w:t>
      </w:r>
      <w:r w:rsidRPr="00567C44">
        <w:rPr>
          <w:rFonts w:ascii="Times New Roman" w:hAnsi="Times New Roman"/>
          <w:sz w:val="24"/>
        </w:rPr>
        <w:t>o julgamento de mérito de todas as A</w:t>
      </w:r>
      <w:r>
        <w:rPr>
          <w:rFonts w:ascii="Times New Roman" w:hAnsi="Times New Roman"/>
          <w:sz w:val="24"/>
        </w:rPr>
        <w:t xml:space="preserve">ções </w:t>
      </w:r>
      <w:r w:rsidRPr="00567C44">
        <w:rPr>
          <w:rFonts w:ascii="Times New Roman" w:hAnsi="Times New Roman"/>
          <w:sz w:val="24"/>
        </w:rPr>
        <w:t>D</w:t>
      </w:r>
      <w:r>
        <w:rPr>
          <w:rFonts w:ascii="Times New Roman" w:hAnsi="Times New Roman"/>
          <w:sz w:val="24"/>
        </w:rPr>
        <w:t>iretas de Inconstitucionalidade (ADIs),</w:t>
      </w:r>
      <w:r w:rsidRPr="00567C44">
        <w:rPr>
          <w:rFonts w:ascii="Times New Roman" w:hAnsi="Times New Roman"/>
          <w:sz w:val="24"/>
        </w:rPr>
        <w:t xml:space="preserve"> cujas liminares haviam sido concedidas. </w:t>
      </w:r>
      <w:r>
        <w:rPr>
          <w:rFonts w:ascii="Times New Roman" w:hAnsi="Times New Roman"/>
          <w:sz w:val="24"/>
        </w:rPr>
        <w:t>Conforme aponta o Relatório Trimestral, d</w:t>
      </w:r>
      <w:r w:rsidRPr="00567C44">
        <w:rPr>
          <w:rFonts w:ascii="Times New Roman" w:hAnsi="Times New Roman"/>
          <w:sz w:val="24"/>
        </w:rPr>
        <w:t>os 57</w:t>
      </w:r>
      <w:r>
        <w:rPr>
          <w:rFonts w:ascii="Times New Roman" w:hAnsi="Times New Roman"/>
          <w:sz w:val="24"/>
        </w:rPr>
        <w:t xml:space="preserve"> </w:t>
      </w:r>
      <w:r w:rsidRPr="00567C44">
        <w:rPr>
          <w:rFonts w:ascii="Times New Roman" w:hAnsi="Times New Roman"/>
          <w:sz w:val="24"/>
        </w:rPr>
        <w:t>processos que se encontravam nessa categoria, resta</w:t>
      </w:r>
      <w:r>
        <w:rPr>
          <w:rFonts w:ascii="Times New Roman" w:hAnsi="Times New Roman"/>
          <w:sz w:val="24"/>
        </w:rPr>
        <w:t>ra</w:t>
      </w:r>
      <w:r w:rsidRPr="00567C44">
        <w:rPr>
          <w:rFonts w:ascii="Times New Roman" w:hAnsi="Times New Roman"/>
          <w:sz w:val="24"/>
        </w:rPr>
        <w:t xml:space="preserve">m apenas 15, que </w:t>
      </w:r>
      <w:r>
        <w:rPr>
          <w:rFonts w:ascii="Times New Roman" w:hAnsi="Times New Roman"/>
          <w:sz w:val="24"/>
        </w:rPr>
        <w:t>tinham previsão de serem analisados logo nas primeiras S</w:t>
      </w:r>
      <w:r w:rsidRPr="00567C44">
        <w:rPr>
          <w:rFonts w:ascii="Times New Roman" w:hAnsi="Times New Roman"/>
          <w:sz w:val="24"/>
        </w:rPr>
        <w:t xml:space="preserve">essões </w:t>
      </w:r>
      <w:r>
        <w:rPr>
          <w:rFonts w:ascii="Times New Roman" w:hAnsi="Times New Roman"/>
          <w:sz w:val="24"/>
        </w:rPr>
        <w:t>P</w:t>
      </w:r>
      <w:r w:rsidRPr="00567C44">
        <w:rPr>
          <w:rFonts w:ascii="Times New Roman" w:hAnsi="Times New Roman"/>
          <w:sz w:val="24"/>
        </w:rPr>
        <w:t>lenárias de novembro</w:t>
      </w:r>
      <w:r>
        <w:rPr>
          <w:rFonts w:ascii="Times New Roman" w:hAnsi="Times New Roman"/>
          <w:sz w:val="24"/>
        </w:rPr>
        <w:t xml:space="preserve"> de 2014</w:t>
      </w:r>
      <w:r w:rsidRPr="00567C44">
        <w:rPr>
          <w:rFonts w:ascii="Times New Roman" w:hAnsi="Times New Roman"/>
          <w:sz w:val="24"/>
        </w:rPr>
        <w:t>.</w:t>
      </w:r>
    </w:p>
    <w:p w:rsidR="00D549BC" w:rsidRDefault="00D549BC" w:rsidP="000E347C">
      <w:pPr>
        <w:spacing w:after="240"/>
        <w:contextualSpacing/>
        <w:rPr>
          <w:rFonts w:ascii="Times New Roman" w:hAnsi="Times New Roman"/>
          <w:sz w:val="24"/>
        </w:rPr>
      </w:pPr>
      <w:r>
        <w:rPr>
          <w:rFonts w:ascii="Times New Roman" w:hAnsi="Times New Roman"/>
          <w:sz w:val="24"/>
        </w:rPr>
        <w:t>A segunda meta estabelecida, afirma o Relatório, foi</w:t>
      </w:r>
      <w:r w:rsidRPr="00D165F0">
        <w:rPr>
          <w:rFonts w:ascii="Times New Roman" w:hAnsi="Times New Roman"/>
          <w:sz w:val="24"/>
        </w:rPr>
        <w:t xml:space="preserve"> o julga</w:t>
      </w:r>
      <w:r>
        <w:rPr>
          <w:rFonts w:ascii="Times New Roman" w:hAnsi="Times New Roman"/>
          <w:sz w:val="24"/>
        </w:rPr>
        <w:t>mento de todas as ADIs que tratasse</w:t>
      </w:r>
      <w:r w:rsidRPr="00D165F0">
        <w:rPr>
          <w:rFonts w:ascii="Times New Roman" w:hAnsi="Times New Roman"/>
          <w:sz w:val="24"/>
        </w:rPr>
        <w:t>m de vício de iniciativa, ou seja, aquelas que questiona</w:t>
      </w:r>
      <w:r>
        <w:rPr>
          <w:rFonts w:ascii="Times New Roman" w:hAnsi="Times New Roman"/>
          <w:sz w:val="24"/>
        </w:rPr>
        <w:t>sse</w:t>
      </w:r>
      <w:r w:rsidRPr="00D165F0">
        <w:rPr>
          <w:rFonts w:ascii="Times New Roman" w:hAnsi="Times New Roman"/>
          <w:sz w:val="24"/>
        </w:rPr>
        <w:t>m a legitimidade de qu</w:t>
      </w:r>
      <w:r>
        <w:rPr>
          <w:rFonts w:ascii="Times New Roman" w:hAnsi="Times New Roman"/>
          <w:sz w:val="24"/>
        </w:rPr>
        <w:t xml:space="preserve">em propôs a lei – seriam, no total, </w:t>
      </w:r>
      <w:r w:rsidRPr="00794687">
        <w:rPr>
          <w:rFonts w:ascii="Times New Roman" w:hAnsi="Times New Roman"/>
          <w:sz w:val="24"/>
        </w:rPr>
        <w:t>28</w:t>
      </w:r>
      <w:r>
        <w:rPr>
          <w:rFonts w:ascii="Times New Roman" w:hAnsi="Times New Roman"/>
          <w:sz w:val="24"/>
        </w:rPr>
        <w:t xml:space="preserve"> </w:t>
      </w:r>
      <w:r w:rsidRPr="00794687">
        <w:rPr>
          <w:rFonts w:ascii="Times New Roman" w:hAnsi="Times New Roman"/>
          <w:sz w:val="24"/>
        </w:rPr>
        <w:t>ADIs nessa categoria</w:t>
      </w:r>
      <w:r>
        <w:rPr>
          <w:rFonts w:ascii="Times New Roman" w:hAnsi="Times New Roman"/>
          <w:sz w:val="24"/>
        </w:rPr>
        <w:t xml:space="preserve">. </w:t>
      </w:r>
    </w:p>
    <w:p w:rsidR="00D549BC" w:rsidRDefault="00D549BC" w:rsidP="00C77806">
      <w:pPr>
        <w:spacing w:after="240"/>
        <w:ind w:firstLine="851"/>
        <w:contextualSpacing/>
        <w:rPr>
          <w:rFonts w:ascii="Times New Roman" w:hAnsi="Times New Roman"/>
          <w:sz w:val="24"/>
        </w:rPr>
      </w:pPr>
      <w:r w:rsidRPr="00C77806">
        <w:rPr>
          <w:rFonts w:ascii="Times New Roman" w:hAnsi="Times New Roman"/>
          <w:sz w:val="24"/>
        </w:rPr>
        <w:t>Parte da explicação para tanta agilidade no Plenário está no fato de a</w:t>
      </w:r>
      <w:r>
        <w:rPr>
          <w:rFonts w:ascii="Times New Roman" w:hAnsi="Times New Roman"/>
          <w:sz w:val="24"/>
        </w:rPr>
        <w:t xml:space="preserve"> </w:t>
      </w:r>
      <w:r w:rsidRPr="00C77806">
        <w:rPr>
          <w:rFonts w:ascii="Times New Roman" w:hAnsi="Times New Roman"/>
          <w:sz w:val="24"/>
        </w:rPr>
        <w:t xml:space="preserve">competência penal originária do </w:t>
      </w:r>
      <w:r>
        <w:rPr>
          <w:rFonts w:ascii="Times New Roman" w:hAnsi="Times New Roman"/>
          <w:sz w:val="24"/>
        </w:rPr>
        <w:t>Plenário</w:t>
      </w:r>
      <w:r w:rsidRPr="00C77806">
        <w:rPr>
          <w:rFonts w:ascii="Times New Roman" w:hAnsi="Times New Roman"/>
          <w:sz w:val="24"/>
        </w:rPr>
        <w:t xml:space="preserve"> ter sido transferida para as </w:t>
      </w:r>
      <w:r>
        <w:rPr>
          <w:rFonts w:ascii="Times New Roman" w:hAnsi="Times New Roman"/>
          <w:sz w:val="24"/>
        </w:rPr>
        <w:t>T</w:t>
      </w:r>
      <w:r w:rsidRPr="00C77806">
        <w:rPr>
          <w:rFonts w:ascii="Times New Roman" w:hAnsi="Times New Roman"/>
          <w:sz w:val="24"/>
        </w:rPr>
        <w:t>urma</w:t>
      </w:r>
      <w:r>
        <w:rPr>
          <w:rFonts w:ascii="Times New Roman" w:hAnsi="Times New Roman"/>
          <w:sz w:val="24"/>
        </w:rPr>
        <w:t>s, conforme analisado no tópico 4.3.3.1. Consequentemente,</w:t>
      </w:r>
      <w:r w:rsidRPr="00C77806">
        <w:rPr>
          <w:rFonts w:ascii="Times New Roman" w:hAnsi="Times New Roman"/>
          <w:sz w:val="24"/>
        </w:rPr>
        <w:t xml:space="preserve"> isso resultou</w:t>
      </w:r>
      <w:r>
        <w:rPr>
          <w:rFonts w:ascii="Times New Roman" w:hAnsi="Times New Roman"/>
          <w:sz w:val="24"/>
        </w:rPr>
        <w:t xml:space="preserve"> </w:t>
      </w:r>
      <w:r w:rsidRPr="00C77806">
        <w:rPr>
          <w:rFonts w:ascii="Times New Roman" w:hAnsi="Times New Roman"/>
          <w:sz w:val="24"/>
        </w:rPr>
        <w:t>num desafogame</w:t>
      </w:r>
      <w:r>
        <w:rPr>
          <w:rFonts w:ascii="Times New Roman" w:hAnsi="Times New Roman"/>
          <w:sz w:val="24"/>
        </w:rPr>
        <w:t>nto da pauta do Pleno, que pôde-</w:t>
      </w:r>
      <w:r w:rsidRPr="00C77806">
        <w:rPr>
          <w:rFonts w:ascii="Times New Roman" w:hAnsi="Times New Roman"/>
          <w:sz w:val="24"/>
        </w:rPr>
        <w:t>se dedicar</w:t>
      </w:r>
      <w:r>
        <w:rPr>
          <w:rFonts w:ascii="Times New Roman" w:hAnsi="Times New Roman"/>
          <w:sz w:val="24"/>
        </w:rPr>
        <w:t>,</w:t>
      </w:r>
      <w:r w:rsidRPr="00C77806">
        <w:rPr>
          <w:rFonts w:ascii="Times New Roman" w:hAnsi="Times New Roman"/>
          <w:sz w:val="24"/>
        </w:rPr>
        <w:t xml:space="preserve"> com mais</w:t>
      </w:r>
      <w:r>
        <w:rPr>
          <w:rFonts w:ascii="Times New Roman" w:hAnsi="Times New Roman"/>
          <w:sz w:val="24"/>
        </w:rPr>
        <w:t xml:space="preserve"> </w:t>
      </w:r>
      <w:r w:rsidRPr="00C77806">
        <w:rPr>
          <w:rFonts w:ascii="Times New Roman" w:hAnsi="Times New Roman"/>
          <w:sz w:val="24"/>
        </w:rPr>
        <w:t>tranquilidade</w:t>
      </w:r>
      <w:r>
        <w:rPr>
          <w:rFonts w:ascii="Times New Roman" w:hAnsi="Times New Roman"/>
          <w:sz w:val="24"/>
        </w:rPr>
        <w:t>,</w:t>
      </w:r>
      <w:r w:rsidRPr="00C77806">
        <w:rPr>
          <w:rFonts w:ascii="Times New Roman" w:hAnsi="Times New Roman"/>
          <w:sz w:val="24"/>
        </w:rPr>
        <w:t xml:space="preserve"> às </w:t>
      </w:r>
      <w:r>
        <w:rPr>
          <w:rFonts w:ascii="Times New Roman" w:hAnsi="Times New Roman"/>
          <w:sz w:val="24"/>
        </w:rPr>
        <w:t>a</w:t>
      </w:r>
      <w:r w:rsidRPr="00C77806">
        <w:rPr>
          <w:rFonts w:ascii="Times New Roman" w:hAnsi="Times New Roman"/>
          <w:sz w:val="24"/>
        </w:rPr>
        <w:t>ções de controle de constitucionalidade e aos recursos com</w:t>
      </w:r>
      <w:r>
        <w:rPr>
          <w:rFonts w:ascii="Times New Roman" w:hAnsi="Times New Roman"/>
          <w:sz w:val="24"/>
        </w:rPr>
        <w:t xml:space="preserve"> R</w:t>
      </w:r>
      <w:r w:rsidRPr="00C77806">
        <w:rPr>
          <w:rFonts w:ascii="Times New Roman" w:hAnsi="Times New Roman"/>
          <w:sz w:val="24"/>
        </w:rPr>
        <w:t xml:space="preserve">epercussão </w:t>
      </w:r>
      <w:r>
        <w:rPr>
          <w:rFonts w:ascii="Times New Roman" w:hAnsi="Times New Roman"/>
          <w:sz w:val="24"/>
        </w:rPr>
        <w:t>G</w:t>
      </w:r>
      <w:r w:rsidRPr="00C77806">
        <w:rPr>
          <w:rFonts w:ascii="Times New Roman" w:hAnsi="Times New Roman"/>
          <w:sz w:val="24"/>
        </w:rPr>
        <w:t>eral reconhecida.</w:t>
      </w:r>
    </w:p>
    <w:p w:rsidR="00D549BC" w:rsidRDefault="00D549BC" w:rsidP="00C77806">
      <w:pPr>
        <w:spacing w:after="240"/>
        <w:ind w:firstLine="851"/>
        <w:contextualSpacing/>
        <w:rPr>
          <w:rFonts w:ascii="Times New Roman" w:hAnsi="Times New Roman"/>
          <w:sz w:val="24"/>
        </w:rPr>
      </w:pPr>
    </w:p>
    <w:p w:rsidR="00D549BC" w:rsidRDefault="00D549BC" w:rsidP="00CD5D6B">
      <w:pPr>
        <w:spacing w:after="240"/>
        <w:ind w:firstLine="0"/>
        <w:contextualSpacing/>
        <w:rPr>
          <w:rFonts w:ascii="Times New Roman" w:hAnsi="Times New Roman"/>
          <w:sz w:val="24"/>
        </w:rPr>
      </w:pPr>
      <w:r>
        <w:rPr>
          <w:rFonts w:ascii="Times New Roman" w:hAnsi="Times New Roman"/>
          <w:sz w:val="24"/>
        </w:rPr>
        <w:t>4.3.3.5 Aprovação de novas Súmulas Vinculantes</w:t>
      </w:r>
    </w:p>
    <w:p w:rsidR="00D549BC" w:rsidRDefault="00D549BC" w:rsidP="00CD5D6B">
      <w:pPr>
        <w:spacing w:after="240"/>
        <w:ind w:firstLine="0"/>
        <w:contextualSpacing/>
        <w:rPr>
          <w:rFonts w:ascii="Times New Roman" w:hAnsi="Times New Roman"/>
          <w:sz w:val="24"/>
        </w:rPr>
      </w:pPr>
    </w:p>
    <w:p w:rsidR="00D549BC" w:rsidRDefault="00D549BC" w:rsidP="000E347C">
      <w:pPr>
        <w:spacing w:after="240"/>
        <w:contextualSpacing/>
        <w:rPr>
          <w:rFonts w:ascii="Times New Roman" w:hAnsi="Times New Roman"/>
          <w:sz w:val="24"/>
        </w:rPr>
      </w:pPr>
      <w:r>
        <w:rPr>
          <w:rFonts w:ascii="Times New Roman" w:hAnsi="Times New Roman"/>
          <w:sz w:val="24"/>
        </w:rPr>
        <w:t xml:space="preserve">Uma das últimas medidas tomadas no ano de 2014 como forma de otimizar os trabalhos do Supremo Tribunal Federal foi a aprovação de novos textos de Súmula Vinculante. Na posse como Presidente da Corte, o </w:t>
      </w:r>
      <w:r w:rsidRPr="00AA7F49">
        <w:rPr>
          <w:rFonts w:ascii="Times New Roman" w:hAnsi="Times New Roman"/>
          <w:sz w:val="24"/>
        </w:rPr>
        <w:t>Ministro Lewandowski colocou co</w:t>
      </w:r>
      <w:r>
        <w:rPr>
          <w:rFonts w:ascii="Times New Roman" w:hAnsi="Times New Roman"/>
          <w:sz w:val="24"/>
        </w:rPr>
        <w:t>mo meta o aumento do número de S</w:t>
      </w:r>
      <w:r w:rsidRPr="00AA7F49">
        <w:rPr>
          <w:rFonts w:ascii="Times New Roman" w:hAnsi="Times New Roman"/>
          <w:sz w:val="24"/>
        </w:rPr>
        <w:t xml:space="preserve">úmulas </w:t>
      </w:r>
      <w:r>
        <w:rPr>
          <w:rFonts w:ascii="Times New Roman" w:hAnsi="Times New Roman"/>
          <w:sz w:val="24"/>
        </w:rPr>
        <w:t>Vinculantes, e isso tem acontecido, conforme se verifica no Relat</w:t>
      </w:r>
      <w:r w:rsidRPr="00AE058F">
        <w:rPr>
          <w:rFonts w:ascii="Times New Roman" w:hAnsi="Times New Roman"/>
          <w:sz w:val="24"/>
        </w:rPr>
        <w:t>ó</w:t>
      </w:r>
      <w:r>
        <w:rPr>
          <w:rFonts w:ascii="Times New Roman" w:hAnsi="Times New Roman"/>
          <w:sz w:val="24"/>
        </w:rPr>
        <w:t>rio Trimestral.</w:t>
      </w:r>
      <w:r>
        <w:rPr>
          <w:rStyle w:val="FootnoteReference"/>
          <w:rFonts w:ascii="Times New Roman" w:hAnsi="Times New Roman"/>
          <w:sz w:val="24"/>
        </w:rPr>
        <w:footnoteReference w:id="259"/>
      </w:r>
      <w:r>
        <w:rPr>
          <w:rFonts w:ascii="Times New Roman" w:hAnsi="Times New Roman"/>
          <w:sz w:val="24"/>
        </w:rPr>
        <w:t xml:space="preserve"> </w:t>
      </w:r>
    </w:p>
    <w:p w:rsidR="00D549BC" w:rsidRDefault="00D549BC" w:rsidP="000E347C">
      <w:pPr>
        <w:spacing w:after="240"/>
        <w:contextualSpacing/>
        <w:rPr>
          <w:rFonts w:ascii="Times New Roman" w:hAnsi="Times New Roman"/>
          <w:sz w:val="24"/>
        </w:rPr>
      </w:pPr>
      <w:r w:rsidRPr="00AE058F">
        <w:rPr>
          <w:rFonts w:ascii="Times New Roman" w:hAnsi="Times New Roman"/>
          <w:sz w:val="24"/>
        </w:rPr>
        <w:t xml:space="preserve">A </w:t>
      </w:r>
      <w:r>
        <w:rPr>
          <w:rFonts w:ascii="Times New Roman" w:hAnsi="Times New Roman"/>
          <w:sz w:val="24"/>
        </w:rPr>
        <w:t>S</w:t>
      </w:r>
      <w:r w:rsidRPr="00AE058F">
        <w:rPr>
          <w:rFonts w:ascii="Times New Roman" w:hAnsi="Times New Roman"/>
          <w:sz w:val="24"/>
        </w:rPr>
        <w:t xml:space="preserve">úmula </w:t>
      </w:r>
      <w:r>
        <w:rPr>
          <w:rFonts w:ascii="Times New Roman" w:hAnsi="Times New Roman"/>
          <w:sz w:val="24"/>
        </w:rPr>
        <w:t>V</w:t>
      </w:r>
      <w:r w:rsidRPr="00AE058F">
        <w:rPr>
          <w:rFonts w:ascii="Times New Roman" w:hAnsi="Times New Roman"/>
          <w:sz w:val="24"/>
        </w:rPr>
        <w:t>inculante é considerada a</w:t>
      </w:r>
      <w:r>
        <w:rPr>
          <w:rFonts w:ascii="Times New Roman" w:hAnsi="Times New Roman"/>
          <w:sz w:val="24"/>
        </w:rPr>
        <w:t xml:space="preserve"> </w:t>
      </w:r>
      <w:r w:rsidRPr="00AE058F">
        <w:rPr>
          <w:rFonts w:ascii="Times New Roman" w:hAnsi="Times New Roman"/>
          <w:sz w:val="24"/>
        </w:rPr>
        <w:t>intervenção mais “agressiva”</w:t>
      </w:r>
      <w:r>
        <w:rPr>
          <w:rFonts w:ascii="Times New Roman" w:hAnsi="Times New Roman"/>
          <w:sz w:val="24"/>
        </w:rPr>
        <w:t xml:space="preserve"> do STF no ordenamento jurídico, já que, </w:t>
      </w:r>
      <w:r w:rsidRPr="00AE058F">
        <w:rPr>
          <w:rFonts w:ascii="Times New Roman" w:hAnsi="Times New Roman"/>
          <w:sz w:val="24"/>
        </w:rPr>
        <w:t>por meio dela,</w:t>
      </w:r>
      <w:r>
        <w:rPr>
          <w:rFonts w:ascii="Times New Roman" w:hAnsi="Times New Roman"/>
          <w:sz w:val="24"/>
        </w:rPr>
        <w:t xml:space="preserve"> tanto </w:t>
      </w:r>
      <w:r w:rsidRPr="00AE058F">
        <w:rPr>
          <w:rFonts w:ascii="Times New Roman" w:hAnsi="Times New Roman"/>
          <w:sz w:val="24"/>
        </w:rPr>
        <w:t xml:space="preserve">os </w:t>
      </w:r>
      <w:r>
        <w:rPr>
          <w:rFonts w:ascii="Times New Roman" w:hAnsi="Times New Roman"/>
          <w:sz w:val="24"/>
        </w:rPr>
        <w:t>T</w:t>
      </w:r>
      <w:r w:rsidRPr="00AE058F">
        <w:rPr>
          <w:rFonts w:ascii="Times New Roman" w:hAnsi="Times New Roman"/>
          <w:sz w:val="24"/>
        </w:rPr>
        <w:t>ribunais de origem</w:t>
      </w:r>
      <w:r>
        <w:rPr>
          <w:rFonts w:ascii="Times New Roman" w:hAnsi="Times New Roman"/>
          <w:sz w:val="24"/>
        </w:rPr>
        <w:t>, quanto a Administração Pública</w:t>
      </w:r>
      <w:r w:rsidRPr="00AE058F">
        <w:rPr>
          <w:rFonts w:ascii="Times New Roman" w:hAnsi="Times New Roman"/>
          <w:sz w:val="24"/>
        </w:rPr>
        <w:t xml:space="preserve"> ficam obrigados a se</w:t>
      </w:r>
      <w:r>
        <w:rPr>
          <w:rFonts w:ascii="Times New Roman" w:hAnsi="Times New Roman"/>
          <w:sz w:val="24"/>
        </w:rPr>
        <w:t>guir a jurisprudência do Supremo.</w:t>
      </w:r>
      <w:r>
        <w:rPr>
          <w:rStyle w:val="FootnoteReference"/>
          <w:rFonts w:ascii="Times New Roman" w:hAnsi="Times New Roman"/>
          <w:sz w:val="24"/>
        </w:rPr>
        <w:footnoteReference w:id="260"/>
      </w:r>
      <w:r>
        <w:rPr>
          <w:rFonts w:ascii="Times New Roman" w:hAnsi="Times New Roman"/>
          <w:sz w:val="24"/>
        </w:rPr>
        <w:t xml:space="preserve"> </w:t>
      </w:r>
    </w:p>
    <w:p w:rsidR="00D549BC" w:rsidRDefault="00D549BC" w:rsidP="000E347C">
      <w:pPr>
        <w:spacing w:after="240"/>
        <w:contextualSpacing/>
        <w:rPr>
          <w:rFonts w:ascii="Times New Roman" w:hAnsi="Times New Roman"/>
          <w:sz w:val="24"/>
        </w:rPr>
      </w:pPr>
      <w:r>
        <w:rPr>
          <w:rFonts w:ascii="Times New Roman" w:hAnsi="Times New Roman"/>
          <w:sz w:val="24"/>
        </w:rPr>
        <w:t xml:space="preserve"> No período compreendido entre agosto e outubro de 2014, o STF </w:t>
      </w:r>
      <w:r w:rsidRPr="00AE058F">
        <w:rPr>
          <w:rFonts w:ascii="Times New Roman" w:hAnsi="Times New Roman"/>
          <w:sz w:val="24"/>
        </w:rPr>
        <w:t xml:space="preserve">aprovou </w:t>
      </w:r>
      <w:r>
        <w:rPr>
          <w:rFonts w:ascii="Times New Roman" w:hAnsi="Times New Roman"/>
          <w:sz w:val="24"/>
        </w:rPr>
        <w:t>q</w:t>
      </w:r>
      <w:r w:rsidRPr="00AE058F">
        <w:rPr>
          <w:rFonts w:ascii="Times New Roman" w:hAnsi="Times New Roman"/>
          <w:sz w:val="24"/>
        </w:rPr>
        <w:t>uatro</w:t>
      </w:r>
      <w:r>
        <w:rPr>
          <w:rFonts w:ascii="Times New Roman" w:hAnsi="Times New Roman"/>
          <w:sz w:val="24"/>
        </w:rPr>
        <w:t xml:space="preserve"> novas Sú</w:t>
      </w:r>
      <w:r w:rsidRPr="00AE058F">
        <w:rPr>
          <w:rFonts w:ascii="Times New Roman" w:hAnsi="Times New Roman"/>
          <w:sz w:val="24"/>
        </w:rPr>
        <w:t xml:space="preserve">mulas </w:t>
      </w:r>
      <w:r>
        <w:rPr>
          <w:rFonts w:ascii="Times New Roman" w:hAnsi="Times New Roman"/>
          <w:sz w:val="24"/>
        </w:rPr>
        <w:t>V</w:t>
      </w:r>
      <w:r w:rsidRPr="00AE058F">
        <w:rPr>
          <w:rFonts w:ascii="Times New Roman" w:hAnsi="Times New Roman"/>
          <w:sz w:val="24"/>
        </w:rPr>
        <w:t>inculantes</w:t>
      </w:r>
      <w:r>
        <w:rPr>
          <w:rFonts w:ascii="Times New Roman" w:hAnsi="Times New Roman"/>
          <w:sz w:val="24"/>
        </w:rPr>
        <w:t xml:space="preserve"> (SVs 34,35, 36 e 37) e rejeitou a Proposta de Súmula Vinculante nº 47. </w:t>
      </w:r>
      <w:r w:rsidRPr="00AE058F">
        <w:rPr>
          <w:rFonts w:ascii="Times New Roman" w:hAnsi="Times New Roman"/>
          <w:sz w:val="24"/>
        </w:rPr>
        <w:t>Mas</w:t>
      </w:r>
      <w:r>
        <w:rPr>
          <w:rFonts w:ascii="Times New Roman" w:hAnsi="Times New Roman"/>
          <w:sz w:val="24"/>
        </w:rPr>
        <w:t xml:space="preserve"> isso depois de o Tribunal ter ficado mais de</w:t>
      </w:r>
      <w:r w:rsidRPr="00AE058F">
        <w:rPr>
          <w:rFonts w:ascii="Times New Roman" w:hAnsi="Times New Roman"/>
          <w:sz w:val="24"/>
        </w:rPr>
        <w:t xml:space="preserve"> </w:t>
      </w:r>
      <w:r>
        <w:rPr>
          <w:rFonts w:ascii="Times New Roman" w:hAnsi="Times New Roman"/>
          <w:sz w:val="24"/>
        </w:rPr>
        <w:t>três</w:t>
      </w:r>
      <w:r w:rsidRPr="00AE058F">
        <w:rPr>
          <w:rFonts w:ascii="Times New Roman" w:hAnsi="Times New Roman"/>
          <w:sz w:val="24"/>
        </w:rPr>
        <w:t xml:space="preserve"> anos sem aprovar</w:t>
      </w:r>
      <w:r>
        <w:rPr>
          <w:rFonts w:ascii="Times New Roman" w:hAnsi="Times New Roman"/>
          <w:sz w:val="24"/>
        </w:rPr>
        <w:t xml:space="preserve"> nenhum novo texto,</w:t>
      </w:r>
      <w:r w:rsidRPr="00AE058F">
        <w:rPr>
          <w:rFonts w:ascii="Times New Roman" w:hAnsi="Times New Roman"/>
          <w:sz w:val="24"/>
        </w:rPr>
        <w:t xml:space="preserve"> </w:t>
      </w:r>
      <w:r>
        <w:rPr>
          <w:rFonts w:ascii="Times New Roman" w:hAnsi="Times New Roman"/>
          <w:sz w:val="24"/>
        </w:rPr>
        <w:t>já que e</w:t>
      </w:r>
      <w:r w:rsidRPr="00AE058F">
        <w:rPr>
          <w:rFonts w:ascii="Times New Roman" w:hAnsi="Times New Roman"/>
          <w:sz w:val="24"/>
        </w:rPr>
        <w:t>ntre</w:t>
      </w:r>
      <w:r>
        <w:rPr>
          <w:rFonts w:ascii="Times New Roman" w:hAnsi="Times New Roman"/>
          <w:sz w:val="24"/>
        </w:rPr>
        <w:t xml:space="preserve"> 2011 e o primeiro semestre d</w:t>
      </w:r>
      <w:r w:rsidRPr="00AE058F">
        <w:rPr>
          <w:rFonts w:ascii="Times New Roman" w:hAnsi="Times New Roman"/>
          <w:sz w:val="24"/>
        </w:rPr>
        <w:t xml:space="preserve">e </w:t>
      </w:r>
      <w:r>
        <w:rPr>
          <w:rFonts w:ascii="Times New Roman" w:hAnsi="Times New Roman"/>
          <w:sz w:val="24"/>
        </w:rPr>
        <w:t>2014</w:t>
      </w:r>
      <w:r w:rsidRPr="00AE058F">
        <w:rPr>
          <w:rFonts w:ascii="Times New Roman" w:hAnsi="Times New Roman"/>
          <w:sz w:val="24"/>
        </w:rPr>
        <w:t xml:space="preserve">, </w:t>
      </w:r>
      <w:r>
        <w:rPr>
          <w:rFonts w:ascii="Times New Roman" w:hAnsi="Times New Roman"/>
          <w:sz w:val="24"/>
        </w:rPr>
        <w:t xml:space="preserve">apenas </w:t>
      </w:r>
      <w:r w:rsidRPr="00AE058F">
        <w:rPr>
          <w:rFonts w:ascii="Times New Roman" w:hAnsi="Times New Roman"/>
          <w:sz w:val="24"/>
        </w:rPr>
        <w:t>duas súmulas</w:t>
      </w:r>
      <w:r>
        <w:rPr>
          <w:rFonts w:ascii="Times New Roman" w:hAnsi="Times New Roman"/>
          <w:sz w:val="24"/>
        </w:rPr>
        <w:t xml:space="preserve"> </w:t>
      </w:r>
      <w:r w:rsidRPr="00AE058F">
        <w:rPr>
          <w:rFonts w:ascii="Times New Roman" w:hAnsi="Times New Roman"/>
          <w:sz w:val="24"/>
        </w:rPr>
        <w:t>foram criadas</w:t>
      </w:r>
      <w:r>
        <w:rPr>
          <w:rFonts w:ascii="Times New Roman" w:hAnsi="Times New Roman"/>
          <w:sz w:val="24"/>
        </w:rPr>
        <w:t xml:space="preserve"> (as Súmulas Vinculantes 32, aprovada em 16.02.2011, e 33, aprovada em 09.04.2014</w:t>
      </w:r>
      <w:r w:rsidRPr="00AE058F">
        <w:rPr>
          <w:rFonts w:ascii="Times New Roman" w:hAnsi="Times New Roman"/>
          <w:sz w:val="24"/>
        </w:rPr>
        <w:t>.</w:t>
      </w:r>
    </w:p>
    <w:p w:rsidR="00D549BC" w:rsidRDefault="00D549BC" w:rsidP="00102415">
      <w:pPr>
        <w:spacing w:after="240"/>
        <w:contextualSpacing/>
        <w:rPr>
          <w:rFonts w:ascii="Times New Roman" w:hAnsi="Times New Roman"/>
          <w:sz w:val="24"/>
        </w:rPr>
      </w:pPr>
      <w:r>
        <w:rPr>
          <w:rFonts w:ascii="Times New Roman" w:hAnsi="Times New Roman"/>
          <w:sz w:val="24"/>
        </w:rPr>
        <w:t>A tabela abaixo, aponta os números de Súmulas Vinculantes aprovadas pelo Plenário do STF no período compreendido entre 2007 e 2014:</w:t>
      </w:r>
    </w:p>
    <w:tbl>
      <w:tblPr>
        <w:tblpPr w:leftFromText="141" w:rightFromText="141" w:vertAnchor="text" w:horzAnchor="page" w:tblpXSpec="center" w:tblpY="338"/>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80"/>
        <w:gridCol w:w="2190"/>
      </w:tblGrid>
      <w:tr w:rsidR="00D549BC" w:rsidRPr="002739CC" w:rsidTr="002739CC">
        <w:trPr>
          <w:trHeight w:val="322"/>
        </w:trPr>
        <w:tc>
          <w:tcPr>
            <w:tcW w:w="5670" w:type="dxa"/>
            <w:gridSpan w:val="2"/>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b/>
              </w:rPr>
              <w:t>SÚMULAS VINCULANTES EDITADAS POR ANO</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2007</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3</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2008</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10</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2009</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14</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2010</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3</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2011</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2012</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0</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2013</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0</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2014.1</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2014.2</w:t>
            </w:r>
          </w:p>
        </w:tc>
        <w:tc>
          <w:tcPr>
            <w:tcW w:w="2190"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4</w:t>
            </w:r>
          </w:p>
        </w:tc>
      </w:tr>
      <w:tr w:rsidR="00D549BC" w:rsidRPr="002739CC" w:rsidTr="002739CC">
        <w:tblPrEx>
          <w:tblCellMar>
            <w:left w:w="108" w:type="dxa"/>
            <w:right w:w="108" w:type="dxa"/>
          </w:tblCellMar>
          <w:tblLook w:val="00A0"/>
        </w:tblPrEx>
        <w:tc>
          <w:tcPr>
            <w:tcW w:w="3480"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Total de SVs aprovadas em 7 anos</w:t>
            </w:r>
          </w:p>
        </w:tc>
        <w:tc>
          <w:tcPr>
            <w:tcW w:w="2190"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36</w:t>
            </w:r>
          </w:p>
        </w:tc>
      </w:tr>
    </w:tbl>
    <w:p w:rsidR="00D549BC" w:rsidRDefault="00D549BC" w:rsidP="00102415">
      <w:pPr>
        <w:spacing w:after="240"/>
        <w:ind w:firstLine="0"/>
        <w:contextualSpacing/>
        <w:rPr>
          <w:rFonts w:ascii="Times New Roman" w:hAnsi="Times New Roman"/>
          <w:sz w:val="24"/>
        </w:rPr>
      </w:pPr>
    </w:p>
    <w:p w:rsidR="00D549BC" w:rsidRDefault="00D549BC" w:rsidP="00102415">
      <w:pPr>
        <w:ind w:firstLine="1560"/>
        <w:rPr>
          <w:rFonts w:ascii="Times New Roman" w:hAnsi="Times New Roman"/>
        </w:rPr>
      </w:pPr>
      <w:r w:rsidRPr="001A04CC">
        <w:rPr>
          <w:rFonts w:ascii="Times New Roman" w:hAnsi="Times New Roman"/>
          <w:sz w:val="20"/>
        </w:rPr>
        <w:t>Fonte: o autor - a partir do Relatório Trimestral</w:t>
      </w:r>
    </w:p>
    <w:p w:rsidR="00D549BC" w:rsidRDefault="00D549BC" w:rsidP="00DE5A79">
      <w:pPr>
        <w:spacing w:after="240"/>
        <w:ind w:firstLine="851"/>
        <w:contextualSpacing/>
        <w:rPr>
          <w:rFonts w:ascii="Times New Roman" w:hAnsi="Times New Roman"/>
          <w:sz w:val="24"/>
        </w:rPr>
      </w:pPr>
      <w:r>
        <w:rPr>
          <w:rFonts w:ascii="Times New Roman" w:hAnsi="Times New Roman"/>
          <w:sz w:val="24"/>
        </w:rPr>
        <w:t xml:space="preserve">  </w:t>
      </w:r>
    </w:p>
    <w:p w:rsidR="00D549BC" w:rsidRDefault="00D549BC" w:rsidP="00102415">
      <w:pPr>
        <w:spacing w:after="240"/>
        <w:contextualSpacing/>
        <w:rPr>
          <w:rFonts w:ascii="Times New Roman" w:hAnsi="Times New Roman"/>
          <w:sz w:val="24"/>
        </w:rPr>
      </w:pPr>
      <w:r w:rsidRPr="005B2E38">
        <w:rPr>
          <w:rFonts w:ascii="Times New Roman" w:hAnsi="Times New Roman"/>
          <w:sz w:val="24"/>
        </w:rPr>
        <w:t>Entre 2007 e 2010, o</w:t>
      </w:r>
      <w:r>
        <w:rPr>
          <w:rFonts w:ascii="Times New Roman" w:hAnsi="Times New Roman"/>
          <w:sz w:val="24"/>
        </w:rPr>
        <w:t xml:space="preserve"> STF editou 30 S</w:t>
      </w:r>
      <w:r w:rsidRPr="005B2E38">
        <w:rPr>
          <w:rFonts w:ascii="Times New Roman" w:hAnsi="Times New Roman"/>
          <w:sz w:val="24"/>
        </w:rPr>
        <w:t xml:space="preserve">úmulas </w:t>
      </w:r>
      <w:r>
        <w:rPr>
          <w:rFonts w:ascii="Times New Roman" w:hAnsi="Times New Roman"/>
          <w:sz w:val="24"/>
        </w:rPr>
        <w:t>V</w:t>
      </w:r>
      <w:r w:rsidRPr="005B2E38">
        <w:rPr>
          <w:rFonts w:ascii="Times New Roman" w:hAnsi="Times New Roman"/>
          <w:sz w:val="24"/>
        </w:rPr>
        <w:t>inculantes,</w:t>
      </w:r>
      <w:r>
        <w:rPr>
          <w:rFonts w:ascii="Times New Roman" w:hAnsi="Times New Roman"/>
          <w:sz w:val="24"/>
        </w:rPr>
        <w:t xml:space="preserve"> sendo</w:t>
      </w:r>
      <w:r w:rsidRPr="005B2E38">
        <w:rPr>
          <w:rFonts w:ascii="Times New Roman" w:hAnsi="Times New Roman"/>
          <w:sz w:val="24"/>
        </w:rPr>
        <w:t xml:space="preserve"> 3 em 2007, 10 em 2008, 14 em 2009 e 3</w:t>
      </w:r>
      <w:r>
        <w:rPr>
          <w:rFonts w:ascii="Times New Roman" w:hAnsi="Times New Roman"/>
          <w:sz w:val="24"/>
        </w:rPr>
        <w:t xml:space="preserve"> </w:t>
      </w:r>
      <w:r w:rsidRPr="005B2E38">
        <w:rPr>
          <w:rFonts w:ascii="Times New Roman" w:hAnsi="Times New Roman"/>
          <w:sz w:val="24"/>
        </w:rPr>
        <w:t>em 2010. Em 2011, quando foi aprovada a Emenda Regimental</w:t>
      </w:r>
      <w:r>
        <w:rPr>
          <w:rFonts w:ascii="Times New Roman" w:hAnsi="Times New Roman"/>
          <w:sz w:val="24"/>
        </w:rPr>
        <w:t xml:space="preserve"> nº 46,</w:t>
      </w:r>
      <w:r w:rsidRPr="005B2E38">
        <w:rPr>
          <w:rFonts w:ascii="Times New Roman" w:hAnsi="Times New Roman"/>
          <w:sz w:val="24"/>
        </w:rPr>
        <w:t xml:space="preserve"> que alterou o</w:t>
      </w:r>
      <w:r>
        <w:rPr>
          <w:rFonts w:ascii="Times New Roman" w:hAnsi="Times New Roman"/>
          <w:sz w:val="24"/>
        </w:rPr>
        <w:t xml:space="preserve"> procedimento</w:t>
      </w:r>
      <w:r w:rsidRPr="005B2E38">
        <w:rPr>
          <w:rFonts w:ascii="Times New Roman" w:hAnsi="Times New Roman"/>
          <w:sz w:val="24"/>
        </w:rPr>
        <w:t xml:space="preserve"> de aprovação</w:t>
      </w:r>
      <w:r>
        <w:rPr>
          <w:rFonts w:ascii="Times New Roman" w:hAnsi="Times New Roman"/>
          <w:sz w:val="24"/>
        </w:rPr>
        <w:t xml:space="preserve"> d</w:t>
      </w:r>
      <w:r w:rsidRPr="005B2E38">
        <w:rPr>
          <w:rFonts w:ascii="Times New Roman" w:hAnsi="Times New Roman"/>
          <w:sz w:val="24"/>
        </w:rPr>
        <w:t>as súmulas, só um texto foi editado.</w:t>
      </w:r>
      <w:r>
        <w:rPr>
          <w:rFonts w:ascii="Times New Roman" w:hAnsi="Times New Roman"/>
          <w:sz w:val="24"/>
        </w:rPr>
        <w:t xml:space="preserve"> </w:t>
      </w:r>
    </w:p>
    <w:p w:rsidR="00D549BC" w:rsidRDefault="00D549BC" w:rsidP="009C2A36">
      <w:pPr>
        <w:spacing w:after="240"/>
        <w:ind w:firstLine="851"/>
        <w:contextualSpacing/>
        <w:rPr>
          <w:rFonts w:ascii="Times New Roman" w:hAnsi="Times New Roman"/>
          <w:sz w:val="24"/>
        </w:rPr>
      </w:pPr>
      <w:r>
        <w:rPr>
          <w:rFonts w:ascii="Times New Roman" w:hAnsi="Times New Roman"/>
          <w:sz w:val="24"/>
        </w:rPr>
        <w:t>Atualment</w:t>
      </w:r>
      <w:r w:rsidRPr="009C2A36">
        <w:rPr>
          <w:rFonts w:ascii="Times New Roman" w:hAnsi="Times New Roman"/>
          <w:sz w:val="24"/>
        </w:rPr>
        <w:t>e, co</w:t>
      </w:r>
      <w:r>
        <w:rPr>
          <w:rFonts w:ascii="Times New Roman" w:hAnsi="Times New Roman"/>
          <w:sz w:val="24"/>
        </w:rPr>
        <w:t>m a inclusão dos artigos 354-A a 354-G no RISTF pela ER nº 46</w:t>
      </w:r>
      <w:r w:rsidRPr="009C2A36">
        <w:rPr>
          <w:rFonts w:ascii="Times New Roman" w:hAnsi="Times New Roman"/>
          <w:sz w:val="24"/>
        </w:rPr>
        <w:t>,</w:t>
      </w:r>
      <w:r>
        <w:rPr>
          <w:rFonts w:ascii="Times New Roman" w:hAnsi="Times New Roman"/>
          <w:sz w:val="24"/>
        </w:rPr>
        <w:t xml:space="preserve"> de 6 de julho de 2011,</w:t>
      </w:r>
      <w:r w:rsidRPr="009C2A36">
        <w:rPr>
          <w:rFonts w:ascii="Times New Roman" w:hAnsi="Times New Roman"/>
          <w:sz w:val="24"/>
        </w:rPr>
        <w:t xml:space="preserve"> a</w:t>
      </w:r>
      <w:r>
        <w:rPr>
          <w:rFonts w:ascii="Times New Roman" w:hAnsi="Times New Roman"/>
          <w:sz w:val="24"/>
        </w:rPr>
        <w:t xml:space="preserve"> Proposta de Súmula Vinculante </w:t>
      </w:r>
      <w:r w:rsidRPr="009C2A36">
        <w:rPr>
          <w:rFonts w:ascii="Times New Roman" w:hAnsi="Times New Roman"/>
          <w:sz w:val="24"/>
        </w:rPr>
        <w:t>precisa</w:t>
      </w:r>
      <w:r>
        <w:rPr>
          <w:rFonts w:ascii="Times New Roman" w:hAnsi="Times New Roman"/>
          <w:sz w:val="24"/>
        </w:rPr>
        <w:t>, primeiramente,</w:t>
      </w:r>
      <w:r w:rsidRPr="009C2A36">
        <w:rPr>
          <w:rFonts w:ascii="Times New Roman" w:hAnsi="Times New Roman"/>
          <w:sz w:val="24"/>
        </w:rPr>
        <w:t xml:space="preserve"> ser publicada no Diário Oficial</w:t>
      </w:r>
      <w:r>
        <w:rPr>
          <w:rFonts w:ascii="Times New Roman" w:hAnsi="Times New Roman"/>
          <w:sz w:val="24"/>
        </w:rPr>
        <w:t xml:space="preserve"> (art. 354-B)</w:t>
      </w:r>
      <w:r w:rsidRPr="009C2A36">
        <w:rPr>
          <w:rFonts w:ascii="Times New Roman" w:hAnsi="Times New Roman"/>
          <w:sz w:val="24"/>
        </w:rPr>
        <w:t xml:space="preserve">, </w:t>
      </w:r>
      <w:r>
        <w:rPr>
          <w:rFonts w:ascii="Times New Roman" w:hAnsi="Times New Roman"/>
          <w:sz w:val="24"/>
        </w:rPr>
        <w:t>com posterior abertura de vista</w:t>
      </w:r>
      <w:r w:rsidRPr="009C2A36">
        <w:rPr>
          <w:rFonts w:ascii="Times New Roman" w:hAnsi="Times New Roman"/>
          <w:sz w:val="24"/>
        </w:rPr>
        <w:t xml:space="preserve"> à Procuradoria-Geral</w:t>
      </w:r>
      <w:r>
        <w:rPr>
          <w:rFonts w:ascii="Times New Roman" w:hAnsi="Times New Roman"/>
          <w:sz w:val="24"/>
        </w:rPr>
        <w:t xml:space="preserve"> </w:t>
      </w:r>
      <w:r w:rsidRPr="009C2A36">
        <w:rPr>
          <w:rFonts w:ascii="Times New Roman" w:hAnsi="Times New Roman"/>
          <w:sz w:val="24"/>
        </w:rPr>
        <w:t>da República</w:t>
      </w:r>
      <w:r>
        <w:rPr>
          <w:rFonts w:ascii="Times New Roman" w:hAnsi="Times New Roman"/>
          <w:sz w:val="24"/>
        </w:rPr>
        <w:t>,</w:t>
      </w:r>
      <w:r w:rsidRPr="009C2A36">
        <w:rPr>
          <w:rFonts w:ascii="Times New Roman" w:hAnsi="Times New Roman"/>
          <w:sz w:val="24"/>
        </w:rPr>
        <w:t xml:space="preserve"> e</w:t>
      </w:r>
      <w:r>
        <w:rPr>
          <w:rFonts w:ascii="Times New Roman" w:hAnsi="Times New Roman"/>
          <w:sz w:val="24"/>
        </w:rPr>
        <w:t>,</w:t>
      </w:r>
      <w:r w:rsidRPr="009C2A36">
        <w:rPr>
          <w:rFonts w:ascii="Times New Roman" w:hAnsi="Times New Roman"/>
          <w:sz w:val="24"/>
        </w:rPr>
        <w:t xml:space="preserve"> </w:t>
      </w:r>
      <w:r>
        <w:rPr>
          <w:rFonts w:ascii="Times New Roman" w:hAnsi="Times New Roman"/>
          <w:sz w:val="24"/>
        </w:rPr>
        <w:t>com o retorno dos autos, deve ser encaminhada, por meio eletrônico, aos Ministros da</w:t>
      </w:r>
      <w:r w:rsidRPr="009C2A36">
        <w:rPr>
          <w:rFonts w:ascii="Times New Roman" w:hAnsi="Times New Roman"/>
          <w:sz w:val="24"/>
        </w:rPr>
        <w:t xml:space="preserve"> Comissão de Jurisprudência </w:t>
      </w:r>
      <w:r>
        <w:rPr>
          <w:rFonts w:ascii="Times New Roman" w:hAnsi="Times New Roman"/>
          <w:sz w:val="24"/>
        </w:rPr>
        <w:t>(art</w:t>
      </w:r>
      <w:r w:rsidRPr="009C2A36">
        <w:rPr>
          <w:rFonts w:ascii="Times New Roman" w:hAnsi="Times New Roman"/>
          <w:sz w:val="24"/>
        </w:rPr>
        <w:t>.</w:t>
      </w:r>
      <w:r>
        <w:rPr>
          <w:rFonts w:ascii="Times New Roman" w:hAnsi="Times New Roman"/>
          <w:sz w:val="24"/>
        </w:rPr>
        <w:t xml:space="preserve"> 354-C).</w:t>
      </w:r>
      <w:r w:rsidRPr="009C2A36">
        <w:rPr>
          <w:rFonts w:ascii="Times New Roman" w:hAnsi="Times New Roman"/>
          <w:sz w:val="24"/>
        </w:rPr>
        <w:t xml:space="preserve"> </w:t>
      </w:r>
      <w:r>
        <w:rPr>
          <w:rFonts w:ascii="Times New Roman" w:hAnsi="Times New Roman"/>
          <w:sz w:val="24"/>
        </w:rPr>
        <w:t>Apenas</w:t>
      </w:r>
      <w:r w:rsidRPr="009C2A36">
        <w:rPr>
          <w:rFonts w:ascii="Times New Roman" w:hAnsi="Times New Roman"/>
          <w:sz w:val="24"/>
        </w:rPr>
        <w:t xml:space="preserve"> depois de</w:t>
      </w:r>
      <w:r>
        <w:rPr>
          <w:rFonts w:ascii="Times New Roman" w:hAnsi="Times New Roman"/>
          <w:sz w:val="24"/>
        </w:rPr>
        <w:t xml:space="preserve"> </w:t>
      </w:r>
      <w:r w:rsidRPr="009C2A36">
        <w:rPr>
          <w:rFonts w:ascii="Times New Roman" w:hAnsi="Times New Roman"/>
          <w:sz w:val="24"/>
        </w:rPr>
        <w:t>tudo isso é que o Plenário discute a minuta de texto</w:t>
      </w:r>
      <w:r>
        <w:rPr>
          <w:rFonts w:ascii="Times New Roman" w:hAnsi="Times New Roman"/>
          <w:sz w:val="24"/>
        </w:rPr>
        <w:t>, mediante inclusão em pauta pelo Presidente (art. 354-D)</w:t>
      </w:r>
      <w:r w:rsidRPr="009C2A36">
        <w:rPr>
          <w:rFonts w:ascii="Times New Roman" w:hAnsi="Times New Roman"/>
          <w:sz w:val="24"/>
        </w:rPr>
        <w:t>.</w:t>
      </w:r>
      <w:r>
        <w:rPr>
          <w:rFonts w:ascii="Times New Roman" w:hAnsi="Times New Roman"/>
          <w:sz w:val="24"/>
        </w:rPr>
        <w:t xml:space="preserve"> </w:t>
      </w:r>
    </w:p>
    <w:p w:rsidR="00D549BC" w:rsidRDefault="00D549BC" w:rsidP="00FA5261">
      <w:pPr>
        <w:spacing w:after="240"/>
        <w:contextualSpacing/>
        <w:rPr>
          <w:rFonts w:ascii="Times New Roman" w:hAnsi="Times New Roman"/>
          <w:sz w:val="24"/>
        </w:rPr>
      </w:pPr>
      <w:r>
        <w:rPr>
          <w:rFonts w:ascii="Times New Roman" w:hAnsi="Times New Roman"/>
          <w:sz w:val="24"/>
        </w:rPr>
        <w:t>Antes da alteração do procedimento para aprovação de Súmulas Vinculantes, o</w:t>
      </w:r>
      <w:r w:rsidRPr="00792BAD">
        <w:rPr>
          <w:rFonts w:ascii="Times New Roman" w:hAnsi="Times New Roman"/>
          <w:sz w:val="24"/>
        </w:rPr>
        <w:t xml:space="preserve"> projeto era </w:t>
      </w:r>
      <w:r>
        <w:rPr>
          <w:rFonts w:ascii="Times New Roman" w:hAnsi="Times New Roman"/>
          <w:sz w:val="24"/>
        </w:rPr>
        <w:t xml:space="preserve">simplesmente </w:t>
      </w:r>
      <w:r w:rsidRPr="00792BAD">
        <w:rPr>
          <w:rFonts w:ascii="Times New Roman" w:hAnsi="Times New Roman"/>
          <w:sz w:val="24"/>
        </w:rPr>
        <w:t>levado ao Plenário e todos</w:t>
      </w:r>
      <w:r>
        <w:rPr>
          <w:rFonts w:ascii="Times New Roman" w:hAnsi="Times New Roman"/>
          <w:sz w:val="24"/>
        </w:rPr>
        <w:t xml:space="preserve"> os Ministros </w:t>
      </w:r>
      <w:r w:rsidRPr="00792BAD">
        <w:rPr>
          <w:rFonts w:ascii="Times New Roman" w:hAnsi="Times New Roman"/>
          <w:sz w:val="24"/>
        </w:rPr>
        <w:t>discutiam</w:t>
      </w:r>
      <w:r>
        <w:rPr>
          <w:rFonts w:ascii="Times New Roman" w:hAnsi="Times New Roman"/>
          <w:sz w:val="24"/>
        </w:rPr>
        <w:t xml:space="preserve"> a proposta. Talvez as mudanças trazidas pela ER nº 46/2011 tenham tornado esse procedimento mais dificultoso, visto que após seu advento, o Tribunal ficou por quase três anos sem aprovar nenhuma SV. Podemos afirmar, então, que houve uma burocratização no processo que leva à aprovação de novas Súmulas Vinculantes, todavia, ao que parece, isso não tem impedido a meta do Ministro Ricardo Lewandowski de querer atingir um total de 50 enunciados até o final de seu mandato. </w:t>
      </w:r>
    </w:p>
    <w:p w:rsidR="00D549BC" w:rsidRDefault="00D549BC" w:rsidP="00900CC2">
      <w:pPr>
        <w:spacing w:after="240"/>
        <w:contextualSpacing/>
        <w:rPr>
          <w:rFonts w:ascii="Times New Roman" w:hAnsi="Times New Roman"/>
          <w:sz w:val="24"/>
        </w:rPr>
      </w:pPr>
      <w:r>
        <w:rPr>
          <w:rFonts w:ascii="Times New Roman" w:hAnsi="Times New Roman"/>
          <w:sz w:val="24"/>
        </w:rPr>
        <w:t>No entanto, não podemos deixar de registrar uma ressalva quanto às Sumulas Vinculantes: apesar do esforço para aprová-las</w:t>
      </w:r>
      <w:r w:rsidRPr="00A95C3F">
        <w:rPr>
          <w:rFonts w:ascii="Times New Roman" w:hAnsi="Times New Roman"/>
          <w:sz w:val="24"/>
        </w:rPr>
        <w:t xml:space="preserve"> e</w:t>
      </w:r>
      <w:r>
        <w:rPr>
          <w:rFonts w:ascii="Times New Roman" w:hAnsi="Times New Roman"/>
          <w:sz w:val="24"/>
        </w:rPr>
        <w:t>, com isso,</w:t>
      </w:r>
      <w:r w:rsidRPr="00A95C3F">
        <w:rPr>
          <w:rFonts w:ascii="Times New Roman" w:hAnsi="Times New Roman"/>
          <w:sz w:val="24"/>
        </w:rPr>
        <w:t xml:space="preserve"> solucionar</w:t>
      </w:r>
      <w:r>
        <w:rPr>
          <w:rFonts w:ascii="Times New Roman" w:hAnsi="Times New Roman"/>
          <w:sz w:val="24"/>
        </w:rPr>
        <w:t xml:space="preserve"> </w:t>
      </w:r>
      <w:r w:rsidRPr="00A95C3F">
        <w:rPr>
          <w:rFonts w:ascii="Times New Roman" w:hAnsi="Times New Roman"/>
          <w:sz w:val="24"/>
        </w:rPr>
        <w:t>centenas ou milhares de outros processos, a situação pode criar um embaraço</w:t>
      </w:r>
      <w:r>
        <w:rPr>
          <w:rFonts w:ascii="Times New Roman" w:hAnsi="Times New Roman"/>
          <w:sz w:val="24"/>
        </w:rPr>
        <w:t xml:space="preserve"> para o STF. A decisão proferida em R</w:t>
      </w:r>
      <w:r w:rsidRPr="00A95C3F">
        <w:rPr>
          <w:rFonts w:ascii="Times New Roman" w:hAnsi="Times New Roman"/>
          <w:sz w:val="24"/>
        </w:rPr>
        <w:t xml:space="preserve">epercussão </w:t>
      </w:r>
      <w:r>
        <w:rPr>
          <w:rFonts w:ascii="Times New Roman" w:hAnsi="Times New Roman"/>
          <w:sz w:val="24"/>
        </w:rPr>
        <w:t>G</w:t>
      </w:r>
      <w:r w:rsidRPr="00A95C3F">
        <w:rPr>
          <w:rFonts w:ascii="Times New Roman" w:hAnsi="Times New Roman"/>
          <w:sz w:val="24"/>
        </w:rPr>
        <w:t>eral não possui efeito vinculante</w:t>
      </w:r>
      <w:r>
        <w:rPr>
          <w:rFonts w:ascii="Times New Roman" w:hAnsi="Times New Roman"/>
          <w:sz w:val="24"/>
        </w:rPr>
        <w:t>.</w:t>
      </w:r>
      <w:r>
        <w:rPr>
          <w:rStyle w:val="FootnoteReference"/>
          <w:rFonts w:ascii="Times New Roman" w:hAnsi="Times New Roman"/>
          <w:sz w:val="24"/>
        </w:rPr>
        <w:footnoteReference w:id="261"/>
      </w:r>
      <w:r w:rsidRPr="00A95C3F">
        <w:rPr>
          <w:rFonts w:ascii="Times New Roman" w:hAnsi="Times New Roman"/>
          <w:sz w:val="24"/>
        </w:rPr>
        <w:t xml:space="preserve"> Assim, </w:t>
      </w:r>
      <w:r>
        <w:rPr>
          <w:rFonts w:ascii="Times New Roman" w:hAnsi="Times New Roman"/>
          <w:sz w:val="24"/>
        </w:rPr>
        <w:t xml:space="preserve">mesmo que houvesse </w:t>
      </w:r>
      <w:r w:rsidRPr="00A95C3F">
        <w:rPr>
          <w:rFonts w:ascii="Times New Roman" w:hAnsi="Times New Roman"/>
          <w:sz w:val="24"/>
        </w:rPr>
        <w:t>decisão c</w:t>
      </w:r>
      <w:r>
        <w:rPr>
          <w:rFonts w:ascii="Times New Roman" w:hAnsi="Times New Roman"/>
          <w:sz w:val="24"/>
        </w:rPr>
        <w:t>ontrária em outra instância, não se ensejaria a propositura de R</w:t>
      </w:r>
      <w:r w:rsidRPr="00A95C3F">
        <w:rPr>
          <w:rFonts w:ascii="Times New Roman" w:hAnsi="Times New Roman"/>
          <w:sz w:val="24"/>
        </w:rPr>
        <w:t>eclamação ao Supremo Tribunal Federal</w:t>
      </w:r>
      <w:r>
        <w:rPr>
          <w:rFonts w:ascii="Times New Roman" w:hAnsi="Times New Roman"/>
          <w:sz w:val="24"/>
        </w:rPr>
        <w:t>, com fundamento no art</w:t>
      </w:r>
      <w:r w:rsidRPr="00A95C3F">
        <w:rPr>
          <w:rFonts w:ascii="Times New Roman" w:hAnsi="Times New Roman"/>
          <w:sz w:val="24"/>
        </w:rPr>
        <w:t>.</w:t>
      </w:r>
      <w:r>
        <w:rPr>
          <w:rFonts w:ascii="Times New Roman" w:hAnsi="Times New Roman"/>
          <w:sz w:val="24"/>
        </w:rPr>
        <w:t xml:space="preserve"> 102, inciso I, alínea </w:t>
      </w:r>
      <w:r w:rsidRPr="004505D2">
        <w:rPr>
          <w:rFonts w:ascii="Times New Roman" w:hAnsi="Times New Roman"/>
          <w:i/>
          <w:sz w:val="24"/>
        </w:rPr>
        <w:t>l</w:t>
      </w:r>
      <w:r>
        <w:rPr>
          <w:rFonts w:ascii="Times New Roman" w:hAnsi="Times New Roman"/>
          <w:sz w:val="24"/>
        </w:rPr>
        <w:t xml:space="preserve"> da Constituição.</w:t>
      </w:r>
      <w:r>
        <w:rPr>
          <w:rStyle w:val="FootnoteReference"/>
          <w:rFonts w:ascii="Times New Roman" w:hAnsi="Times New Roman"/>
          <w:sz w:val="24"/>
        </w:rPr>
        <w:footnoteReference w:id="262"/>
      </w:r>
      <w:r>
        <w:rPr>
          <w:rFonts w:ascii="Times New Roman" w:hAnsi="Times New Roman"/>
          <w:sz w:val="24"/>
        </w:rPr>
        <w:t xml:space="preserve"> </w:t>
      </w:r>
    </w:p>
    <w:p w:rsidR="00D549BC" w:rsidRDefault="00D549BC" w:rsidP="00900CC2">
      <w:pPr>
        <w:spacing w:after="240"/>
        <w:contextualSpacing/>
        <w:rPr>
          <w:rFonts w:ascii="Times New Roman" w:hAnsi="Times New Roman"/>
          <w:sz w:val="24"/>
        </w:rPr>
      </w:pPr>
      <w:r>
        <w:rPr>
          <w:rFonts w:ascii="Times New Roman" w:hAnsi="Times New Roman"/>
          <w:sz w:val="24"/>
        </w:rPr>
        <w:t>No entanto, quando se trata de</w:t>
      </w:r>
      <w:r w:rsidRPr="00A95C3F">
        <w:rPr>
          <w:rFonts w:ascii="Times New Roman" w:hAnsi="Times New Roman"/>
          <w:sz w:val="24"/>
        </w:rPr>
        <w:t xml:space="preserve"> </w:t>
      </w:r>
      <w:r>
        <w:rPr>
          <w:rFonts w:ascii="Times New Roman" w:hAnsi="Times New Roman"/>
          <w:sz w:val="24"/>
        </w:rPr>
        <w:t>S</w:t>
      </w:r>
      <w:r w:rsidRPr="00A95C3F">
        <w:rPr>
          <w:rFonts w:ascii="Times New Roman" w:hAnsi="Times New Roman"/>
          <w:sz w:val="24"/>
        </w:rPr>
        <w:t xml:space="preserve">úmula </w:t>
      </w:r>
      <w:r>
        <w:rPr>
          <w:rFonts w:ascii="Times New Roman" w:hAnsi="Times New Roman"/>
          <w:sz w:val="24"/>
        </w:rPr>
        <w:t>Vinculante, a situação é distinta, pois e</w:t>
      </w:r>
      <w:r w:rsidRPr="00A95C3F">
        <w:rPr>
          <w:rFonts w:ascii="Times New Roman" w:hAnsi="Times New Roman"/>
          <w:sz w:val="24"/>
        </w:rPr>
        <w:t>m caso de descumprimento</w:t>
      </w:r>
      <w:r>
        <w:rPr>
          <w:rFonts w:ascii="Times New Roman" w:hAnsi="Times New Roman"/>
          <w:sz w:val="24"/>
        </w:rPr>
        <w:t xml:space="preserve"> ao verbete sumular</w:t>
      </w:r>
      <w:r w:rsidRPr="00A95C3F">
        <w:rPr>
          <w:rFonts w:ascii="Times New Roman" w:hAnsi="Times New Roman"/>
          <w:sz w:val="24"/>
        </w:rPr>
        <w:t>, a Corte passaria a</w:t>
      </w:r>
      <w:r>
        <w:rPr>
          <w:rFonts w:ascii="Times New Roman" w:hAnsi="Times New Roman"/>
          <w:sz w:val="24"/>
        </w:rPr>
        <w:t xml:space="preserve"> </w:t>
      </w:r>
      <w:r w:rsidRPr="00A95C3F">
        <w:rPr>
          <w:rFonts w:ascii="Times New Roman" w:hAnsi="Times New Roman"/>
          <w:sz w:val="24"/>
        </w:rPr>
        <w:t xml:space="preserve">receber </w:t>
      </w:r>
      <w:r>
        <w:rPr>
          <w:rFonts w:ascii="Times New Roman" w:hAnsi="Times New Roman"/>
          <w:sz w:val="24"/>
        </w:rPr>
        <w:t>R</w:t>
      </w:r>
      <w:r w:rsidRPr="00A95C3F">
        <w:rPr>
          <w:rFonts w:ascii="Times New Roman" w:hAnsi="Times New Roman"/>
          <w:sz w:val="24"/>
        </w:rPr>
        <w:t>eclamações</w:t>
      </w:r>
      <w:r>
        <w:rPr>
          <w:rFonts w:ascii="Times New Roman" w:hAnsi="Times New Roman"/>
          <w:sz w:val="24"/>
        </w:rPr>
        <w:t xml:space="preserve">, tendo em vista o caráter vinculante e o disposto no § 3º do art. 103-A da Constituição: </w:t>
      </w:r>
    </w:p>
    <w:p w:rsidR="00D549BC" w:rsidRPr="004A7B34" w:rsidRDefault="00D549BC" w:rsidP="004A7B34">
      <w:pPr>
        <w:spacing w:after="240" w:line="240" w:lineRule="auto"/>
        <w:ind w:left="2268" w:firstLine="0"/>
        <w:contextualSpacing/>
        <w:rPr>
          <w:rFonts w:ascii="Times New Roman" w:hAnsi="Times New Roman"/>
        </w:rPr>
      </w:pPr>
      <w:r>
        <w:rPr>
          <w:rFonts w:ascii="Times New Roman" w:hAnsi="Times New Roman"/>
        </w:rPr>
        <w:t xml:space="preserve">§ 3º </w:t>
      </w:r>
      <w:r w:rsidRPr="004A7B34">
        <w:rPr>
          <w:rFonts w:ascii="Times New Roman" w:hAnsi="Times New Roman"/>
        </w:rPr>
        <w:t xml:space="preserve">Do ato administrativo ou decisão judicial que contrariar a súmula aplicável ou que indevidamente a aplicar, </w:t>
      </w:r>
      <w:r w:rsidRPr="004A7B34">
        <w:rPr>
          <w:rFonts w:ascii="Times New Roman" w:hAnsi="Times New Roman"/>
          <w:i/>
        </w:rPr>
        <w:t>caberá reclamação ao Supremo Tribunal Federal</w:t>
      </w:r>
      <w:r w:rsidRPr="004A7B34">
        <w:rPr>
          <w:rFonts w:ascii="Times New Roman" w:hAnsi="Times New Roman"/>
        </w:rPr>
        <w:t xml:space="preserve"> que, julgando-a procedente, anulará o ato administrativo ou cassará a decisão judicial reclamada, e determinará que outra seja proferida com ou sem a aplicação da súmula, conforme o caso</w:t>
      </w:r>
      <w:r>
        <w:rPr>
          <w:rFonts w:ascii="Times New Roman" w:hAnsi="Times New Roman"/>
        </w:rPr>
        <w:t>.</w:t>
      </w:r>
    </w:p>
    <w:p w:rsidR="00D549BC" w:rsidRDefault="00D549BC" w:rsidP="00792BAD">
      <w:pPr>
        <w:spacing w:after="240"/>
        <w:ind w:firstLine="851"/>
        <w:contextualSpacing/>
        <w:rPr>
          <w:rFonts w:ascii="Times New Roman" w:hAnsi="Times New Roman"/>
          <w:sz w:val="24"/>
        </w:rPr>
      </w:pPr>
    </w:p>
    <w:p w:rsidR="00D549BC" w:rsidRDefault="00D549BC" w:rsidP="003E677E">
      <w:pPr>
        <w:spacing w:after="240"/>
        <w:contextualSpacing/>
        <w:rPr>
          <w:rFonts w:ascii="Times New Roman" w:hAnsi="Times New Roman"/>
          <w:sz w:val="24"/>
        </w:rPr>
      </w:pPr>
      <w:r>
        <w:rPr>
          <w:rFonts w:ascii="Times New Roman" w:hAnsi="Times New Roman"/>
          <w:sz w:val="24"/>
        </w:rPr>
        <w:t>A preocupação quanto ao excesso de Súmulas Vinculantes e as consequências daí advindas também já foi externada pelo Ministro Roberto Barroso em recente entrevista concedida à revista eletrônica Consultor Jurídico (ConJur). Quando perguntado acerca da meta do Presidente Lewandowski em priorizar a aprovação de novas SVs, assim se manifestou:</w:t>
      </w:r>
    </w:p>
    <w:p w:rsidR="00D549BC" w:rsidRDefault="00D549BC" w:rsidP="00E64A07">
      <w:pPr>
        <w:spacing w:after="240" w:line="240" w:lineRule="auto"/>
        <w:ind w:left="2268" w:firstLine="0"/>
        <w:contextualSpacing/>
        <w:rPr>
          <w:rFonts w:ascii="Times New Roman" w:hAnsi="Times New Roman"/>
          <w:sz w:val="24"/>
        </w:rPr>
      </w:pPr>
      <w:r w:rsidRPr="00E64A07">
        <w:rPr>
          <w:rFonts w:ascii="Times New Roman" w:hAnsi="Times New Roman"/>
        </w:rPr>
        <w:t>Eu acho que o Ministro Lewandowski tem esse ponto de vista e eu o apoio, como Presidente, em tudo o que é possível. Ele conduz o Tribunal com grande fidalguia e eficiência. Sob a condução dele, julgamos uma grande quantidade de questões relevantes. Pessoalmente, acho que a súmula às vezes é útil, mas, às vezes, é uma fonte de novos processos, sobretudo, porque gera reclamações. Respeito o ponto de vista dele, apoio na medida do possível, mas nem sempre acho que a súmula vinculante seja o caminho</w:t>
      </w:r>
      <w:r w:rsidRPr="00E64A07">
        <w:rPr>
          <w:rFonts w:ascii="Times New Roman" w:hAnsi="Times New Roman"/>
          <w:sz w:val="24"/>
        </w:rPr>
        <w:t>.</w:t>
      </w:r>
    </w:p>
    <w:p w:rsidR="00D549BC" w:rsidRPr="00324795" w:rsidRDefault="00D549BC" w:rsidP="00E64A07">
      <w:pPr>
        <w:spacing w:after="240" w:line="240" w:lineRule="auto"/>
        <w:ind w:left="2268" w:firstLine="0"/>
        <w:contextualSpacing/>
        <w:rPr>
          <w:rFonts w:ascii="Times New Roman" w:hAnsi="Times New Roman"/>
        </w:rPr>
      </w:pPr>
      <w:r w:rsidRPr="00324795">
        <w:rPr>
          <w:rFonts w:ascii="Times New Roman" w:hAnsi="Times New Roman"/>
        </w:rPr>
        <w:t xml:space="preserve">Uma vez que se produz uma súmula vinculante, se alguém alegar que a decisão de origem está em contrariedade com a súmula, entra com uma reclamação, que é um processo ajuizado diretamente do Supremo. A parte pode chegar no Supremo com uma decisão de primeiro grau, dizendo “violou a súmula”. </w:t>
      </w:r>
      <w:r w:rsidRPr="00324795">
        <w:rPr>
          <w:rFonts w:ascii="Times New Roman" w:hAnsi="Times New Roman"/>
          <w:i/>
        </w:rPr>
        <w:t>Transfere-se para as reclamações parte do estoque do qual a corte se livrou nos recursos extraordinários</w:t>
      </w:r>
      <w:r w:rsidRPr="00324795">
        <w:rPr>
          <w:rFonts w:ascii="Times New Roman" w:hAnsi="Times New Roman"/>
        </w:rPr>
        <w:t>. Portanto, a súmula vinculante é útil, mas tem essas implicações. Agora, a repercussão geral, que evita até mesmo que o processo suba, porque o filtro é feito na origem, eu acho que é extremamente valiosa</w:t>
      </w:r>
      <w:r>
        <w:rPr>
          <w:rFonts w:ascii="Times New Roman" w:hAnsi="Times New Roman"/>
        </w:rPr>
        <w:t>.</w:t>
      </w:r>
      <w:r w:rsidRPr="00324795">
        <w:rPr>
          <w:rStyle w:val="FootnoteReference"/>
          <w:rFonts w:ascii="Times New Roman" w:hAnsi="Times New Roman"/>
        </w:rPr>
        <w:footnoteReference w:id="263"/>
      </w:r>
    </w:p>
    <w:p w:rsidR="00D549BC" w:rsidRDefault="00D549BC" w:rsidP="00792BAD">
      <w:pPr>
        <w:spacing w:after="240"/>
        <w:ind w:firstLine="851"/>
        <w:contextualSpacing/>
        <w:rPr>
          <w:rFonts w:ascii="Times New Roman" w:hAnsi="Times New Roman"/>
          <w:sz w:val="24"/>
        </w:rPr>
      </w:pPr>
    </w:p>
    <w:p w:rsidR="00D549BC" w:rsidRDefault="00D549BC" w:rsidP="00523718">
      <w:pPr>
        <w:spacing w:after="240"/>
        <w:contextualSpacing/>
        <w:rPr>
          <w:rFonts w:ascii="Times New Roman" w:hAnsi="Times New Roman"/>
          <w:sz w:val="24"/>
        </w:rPr>
      </w:pPr>
      <w:r>
        <w:rPr>
          <w:rFonts w:ascii="Times New Roman" w:hAnsi="Times New Roman"/>
          <w:sz w:val="24"/>
        </w:rPr>
        <w:t xml:space="preserve">Dessa forma, o aumento de Súmulas Vinculantes poderá acarretar consequências diversas das pretendidas inicialmente e, com isso, aumentar o número de Reclamações para o STF. Nessa questão o tiro poderá sair pela culatra. </w:t>
      </w:r>
    </w:p>
    <w:p w:rsidR="00D549BC" w:rsidRDefault="00D549BC" w:rsidP="009C2A36">
      <w:pPr>
        <w:spacing w:after="240"/>
        <w:ind w:firstLine="851"/>
        <w:contextualSpacing/>
        <w:rPr>
          <w:rFonts w:ascii="Times New Roman" w:hAnsi="Times New Roman"/>
          <w:sz w:val="24"/>
        </w:rPr>
      </w:pPr>
    </w:p>
    <w:p w:rsidR="00D549BC" w:rsidRDefault="00D549BC" w:rsidP="006D0A63">
      <w:pPr>
        <w:spacing w:after="240"/>
        <w:ind w:firstLine="0"/>
        <w:contextualSpacing/>
        <w:rPr>
          <w:rFonts w:ascii="Times New Roman" w:hAnsi="Times New Roman"/>
          <w:b/>
          <w:sz w:val="24"/>
        </w:rPr>
        <w:sectPr w:rsidR="00D549BC" w:rsidSect="009A39A8">
          <w:footnotePr>
            <w:numRestart w:val="eachSect"/>
          </w:footnotePr>
          <w:pgSz w:w="11906" w:h="16838" w:code="9"/>
          <w:pgMar w:top="1701" w:right="1134" w:bottom="1134" w:left="1701" w:header="709" w:footer="709" w:gutter="0"/>
          <w:cols w:space="708"/>
          <w:titlePg/>
          <w:docGrid w:linePitch="360"/>
        </w:sectPr>
      </w:pPr>
      <w:r>
        <w:rPr>
          <w:rFonts w:ascii="Times New Roman" w:hAnsi="Times New Roman"/>
          <w:b/>
          <w:sz w:val="24"/>
        </w:rPr>
        <w:br w:type="page"/>
      </w:r>
    </w:p>
    <w:p w:rsidR="00D549BC" w:rsidRPr="006D0A63" w:rsidRDefault="00D549BC" w:rsidP="006D0A63">
      <w:pPr>
        <w:spacing w:after="240"/>
        <w:ind w:firstLine="0"/>
        <w:contextualSpacing/>
        <w:rPr>
          <w:rFonts w:ascii="Times New Roman" w:hAnsi="Times New Roman"/>
          <w:b/>
          <w:sz w:val="24"/>
        </w:rPr>
      </w:pPr>
      <w:r>
        <w:rPr>
          <w:rFonts w:ascii="Times New Roman" w:hAnsi="Times New Roman"/>
          <w:b/>
          <w:sz w:val="24"/>
        </w:rPr>
        <w:t xml:space="preserve">5 </w:t>
      </w:r>
      <w:r w:rsidRPr="006D0A63">
        <w:rPr>
          <w:rFonts w:ascii="Times New Roman" w:hAnsi="Times New Roman"/>
          <w:b/>
          <w:sz w:val="24"/>
        </w:rPr>
        <w:t>CONCLUSÃO</w:t>
      </w:r>
    </w:p>
    <w:p w:rsidR="00D549BC" w:rsidRDefault="00D549BC" w:rsidP="00DE5A79">
      <w:pPr>
        <w:ind w:firstLine="0"/>
        <w:rPr>
          <w:rFonts w:ascii="Times New Roman" w:hAnsi="Times New Roman"/>
        </w:rPr>
      </w:pPr>
      <w:r>
        <w:rPr>
          <w:rFonts w:ascii="Times New Roman" w:hAnsi="Times New Roman"/>
        </w:rPr>
        <w:t xml:space="preserve"> </w:t>
      </w:r>
    </w:p>
    <w:p w:rsidR="00D549BC" w:rsidRDefault="00D549BC" w:rsidP="00523718">
      <w:pPr>
        <w:rPr>
          <w:rFonts w:ascii="Times New Roman" w:hAnsi="Times New Roman"/>
          <w:sz w:val="24"/>
        </w:rPr>
      </w:pPr>
      <w:r>
        <w:rPr>
          <w:rFonts w:ascii="Times New Roman" w:hAnsi="Times New Roman"/>
          <w:sz w:val="24"/>
        </w:rPr>
        <w:t xml:space="preserve">Buscamos, ao longo do presente trabalho, evidenciar que o problema de excesso de demandas no Supremo Tribunal Federal é crônico, e decorre, principalmente, da pletora de Recursos Extraordinários, Agravos no Recurso Extraordinário e Agravos de Instrumento que são dirigidos à Corte, assim como do grande número de competências previstas no atual texto constitucional. Com efeito, a partir da revisão bibliográfica de autores clássicos, conseguimos apontar que, de fato, a crise numérica não é atual, ou seja, ela sempre existiu e foi objeto de crítica constante tanto por parte da doutrina constitucional, quanto pela processual civil. </w:t>
      </w:r>
    </w:p>
    <w:p w:rsidR="00D549BC" w:rsidRDefault="00D549BC" w:rsidP="00523718">
      <w:pPr>
        <w:rPr>
          <w:rFonts w:ascii="Times New Roman" w:hAnsi="Times New Roman"/>
          <w:sz w:val="24"/>
        </w:rPr>
      </w:pPr>
      <w:r>
        <w:rPr>
          <w:rFonts w:ascii="Times New Roman" w:hAnsi="Times New Roman"/>
          <w:sz w:val="24"/>
        </w:rPr>
        <w:t xml:space="preserve">Todavia, a pesquisa, também aponta para um terceiro responsável para a presente crise de funcionalidade que é enfrentada há décadas pela Suprema Corte brasileira, qual seja, o próprio Supremo Tribunal Federal. </w:t>
      </w:r>
    </w:p>
    <w:p w:rsidR="00D549BC" w:rsidRDefault="00D549BC" w:rsidP="00523718">
      <w:pPr>
        <w:rPr>
          <w:rFonts w:ascii="Times New Roman" w:hAnsi="Times New Roman"/>
          <w:sz w:val="24"/>
        </w:rPr>
      </w:pPr>
      <w:r>
        <w:rPr>
          <w:rFonts w:ascii="Times New Roman" w:hAnsi="Times New Roman"/>
          <w:sz w:val="24"/>
        </w:rPr>
        <w:t xml:space="preserve">Nesse sentido, o Ministro Luís Roberto Barroso, principal entusiasta, na atualidade, de mudanças na Pauta Institucional do Supremo, vem defendendo que o Tribunal deixe de ser eminentemente recursal para se tornar exclusivamente </w:t>
      </w:r>
      <w:r w:rsidRPr="00E509B5">
        <w:rPr>
          <w:rFonts w:ascii="Times New Roman" w:hAnsi="Times New Roman"/>
          <w:i/>
          <w:sz w:val="24"/>
        </w:rPr>
        <w:t>constitucional</w:t>
      </w:r>
      <w:r w:rsidRPr="004C6B9E">
        <w:rPr>
          <w:rFonts w:ascii="Times New Roman" w:hAnsi="Times New Roman"/>
          <w:sz w:val="24"/>
        </w:rPr>
        <w:t>.</w:t>
      </w:r>
      <w:r>
        <w:rPr>
          <w:rFonts w:ascii="Times New Roman" w:hAnsi="Times New Roman"/>
          <w:sz w:val="24"/>
        </w:rPr>
        <w:t xml:space="preserve"> Isto é, que o STF passe a escolher aquilo que </w:t>
      </w:r>
      <w:r w:rsidRPr="00D8003A">
        <w:rPr>
          <w:rFonts w:ascii="Times New Roman" w:hAnsi="Times New Roman"/>
          <w:i/>
          <w:sz w:val="24"/>
        </w:rPr>
        <w:t>efetivamente</w:t>
      </w:r>
      <w:r>
        <w:rPr>
          <w:rFonts w:ascii="Times New Roman" w:hAnsi="Times New Roman"/>
          <w:sz w:val="24"/>
        </w:rPr>
        <w:t xml:space="preserve"> vai julgar e que tenha uma pauta, cada vez mais, voltada paras os interesses sociais, seja na defesa e garantia dos Direitos Fundamentais, seja atuando de forma contra-majoritária, a favor das minorias. Segundo o Ministro Roberto Barroso, as cortes constitucionais estrangeiras, em sua maioria – e isso seria uma tendência mundial – selecionam os casos que vão julgar, o resto transita em julgado.</w:t>
      </w:r>
      <w:r>
        <w:rPr>
          <w:rStyle w:val="FootnoteReference"/>
          <w:rFonts w:ascii="Times New Roman" w:hAnsi="Times New Roman"/>
          <w:sz w:val="24"/>
        </w:rPr>
        <w:footnoteReference w:id="264"/>
      </w:r>
    </w:p>
    <w:p w:rsidR="00D549BC" w:rsidRDefault="00D549BC" w:rsidP="00523718">
      <w:pPr>
        <w:rPr>
          <w:rFonts w:ascii="Times New Roman" w:hAnsi="Times New Roman"/>
          <w:sz w:val="24"/>
        </w:rPr>
      </w:pPr>
      <w:r>
        <w:rPr>
          <w:rFonts w:ascii="Times New Roman" w:hAnsi="Times New Roman"/>
          <w:sz w:val="24"/>
        </w:rPr>
        <w:t xml:space="preserve">Aqui, entra em questão um problema, talvez pouco explorado ao logo da pesquisa, mas que não passou desapercebido: se, por um lado, existe, concretamente, um grande número de processos que chegam à Corte, principalmente os da classe recursal, por outro, esses mesmos processos são julgados, a grande maioria, monocraticamente, ou seja, sem que a decisão passe pelo Plenário do STF. </w:t>
      </w:r>
    </w:p>
    <w:p w:rsidR="00D549BC" w:rsidRDefault="00D549BC" w:rsidP="00523718">
      <w:pPr>
        <w:rPr>
          <w:rFonts w:ascii="Times New Roman" w:hAnsi="Times New Roman"/>
          <w:sz w:val="24"/>
        </w:rPr>
      </w:pPr>
      <w:r>
        <w:rPr>
          <w:rFonts w:ascii="Times New Roman" w:hAnsi="Times New Roman"/>
          <w:sz w:val="24"/>
        </w:rPr>
        <w:t xml:space="preserve">Vejamos, então, as estatísticas do STF sobre suas decisões no período compreendido entre 2010 até o primeiro semestre de 2015: </w:t>
      </w:r>
    </w:p>
    <w:p w:rsidR="00D549BC" w:rsidRDefault="00D549BC" w:rsidP="00523718">
      <w:pPr>
        <w:rPr>
          <w:rFonts w:ascii="Times New Roman" w:hAnsi="Times New Roman"/>
          <w:sz w:val="24"/>
        </w:rPr>
      </w:pPr>
    </w:p>
    <w:tbl>
      <w:tblPr>
        <w:tblW w:w="7585" w:type="dxa"/>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5"/>
        <w:gridCol w:w="2382"/>
        <w:gridCol w:w="2502"/>
        <w:gridCol w:w="1676"/>
      </w:tblGrid>
      <w:tr w:rsidR="00D549BC" w:rsidRPr="002739CC" w:rsidTr="002739CC">
        <w:trPr>
          <w:trHeight w:val="271"/>
        </w:trPr>
        <w:tc>
          <w:tcPr>
            <w:tcW w:w="7585" w:type="dxa"/>
            <w:gridSpan w:val="4"/>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 xml:space="preserve">TIPOS DE DECISÃO NO STF </w:t>
            </w:r>
          </w:p>
        </w:tc>
      </w:tr>
      <w:tr w:rsidR="00D549BC" w:rsidRPr="002739CC" w:rsidTr="002739CC">
        <w:trPr>
          <w:trHeight w:val="255"/>
        </w:trPr>
        <w:tc>
          <w:tcPr>
            <w:tcW w:w="1025"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ANO</w:t>
            </w:r>
          </w:p>
        </w:tc>
        <w:tc>
          <w:tcPr>
            <w:tcW w:w="238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COLEGIADA</w:t>
            </w:r>
          </w:p>
        </w:tc>
        <w:tc>
          <w:tcPr>
            <w:tcW w:w="25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MONOCRÁTICA</w:t>
            </w:r>
          </w:p>
        </w:tc>
        <w:tc>
          <w:tcPr>
            <w:tcW w:w="1676"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TOTAL</w:t>
            </w:r>
          </w:p>
        </w:tc>
      </w:tr>
      <w:tr w:rsidR="00D549BC" w:rsidRPr="002739CC" w:rsidTr="002739CC">
        <w:trPr>
          <w:trHeight w:val="271"/>
        </w:trPr>
        <w:tc>
          <w:tcPr>
            <w:tcW w:w="1025"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2010</w:t>
            </w:r>
          </w:p>
        </w:tc>
        <w:tc>
          <w:tcPr>
            <w:tcW w:w="238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11.333</w:t>
            </w:r>
          </w:p>
        </w:tc>
        <w:tc>
          <w:tcPr>
            <w:tcW w:w="25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98.352</w:t>
            </w:r>
          </w:p>
        </w:tc>
        <w:tc>
          <w:tcPr>
            <w:tcW w:w="1676"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106.686</w:t>
            </w:r>
          </w:p>
        </w:tc>
      </w:tr>
      <w:tr w:rsidR="00D549BC" w:rsidRPr="002739CC" w:rsidTr="002739CC">
        <w:trPr>
          <w:trHeight w:val="255"/>
        </w:trPr>
        <w:tc>
          <w:tcPr>
            <w:tcW w:w="1025"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2011</w:t>
            </w:r>
          </w:p>
        </w:tc>
        <w:tc>
          <w:tcPr>
            <w:tcW w:w="238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13.096</w:t>
            </w:r>
          </w:p>
        </w:tc>
        <w:tc>
          <w:tcPr>
            <w:tcW w:w="25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89.304</w:t>
            </w:r>
          </w:p>
        </w:tc>
        <w:tc>
          <w:tcPr>
            <w:tcW w:w="1676"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102.413</w:t>
            </w:r>
          </w:p>
        </w:tc>
      </w:tr>
      <w:tr w:rsidR="00D549BC" w:rsidRPr="002739CC" w:rsidTr="002739CC">
        <w:trPr>
          <w:trHeight w:val="271"/>
        </w:trPr>
        <w:tc>
          <w:tcPr>
            <w:tcW w:w="1025"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2012</w:t>
            </w:r>
          </w:p>
        </w:tc>
        <w:tc>
          <w:tcPr>
            <w:tcW w:w="238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12.088</w:t>
            </w:r>
          </w:p>
        </w:tc>
        <w:tc>
          <w:tcPr>
            <w:tcW w:w="25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77.761</w:t>
            </w:r>
          </w:p>
        </w:tc>
        <w:tc>
          <w:tcPr>
            <w:tcW w:w="1676"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90.065</w:t>
            </w:r>
          </w:p>
        </w:tc>
      </w:tr>
      <w:tr w:rsidR="00D549BC" w:rsidRPr="002739CC" w:rsidTr="002739CC">
        <w:trPr>
          <w:trHeight w:val="255"/>
        </w:trPr>
        <w:tc>
          <w:tcPr>
            <w:tcW w:w="1025"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2013</w:t>
            </w:r>
          </w:p>
        </w:tc>
        <w:tc>
          <w:tcPr>
            <w:tcW w:w="238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14.106</w:t>
            </w:r>
          </w:p>
        </w:tc>
        <w:tc>
          <w:tcPr>
            <w:tcW w:w="25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75.906</w:t>
            </w:r>
          </w:p>
        </w:tc>
        <w:tc>
          <w:tcPr>
            <w:tcW w:w="1676"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90.012</w:t>
            </w:r>
          </w:p>
        </w:tc>
      </w:tr>
      <w:tr w:rsidR="00D549BC" w:rsidRPr="002739CC" w:rsidTr="002739CC">
        <w:trPr>
          <w:trHeight w:val="271"/>
        </w:trPr>
        <w:tc>
          <w:tcPr>
            <w:tcW w:w="1025"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2014</w:t>
            </w:r>
          </w:p>
        </w:tc>
        <w:tc>
          <w:tcPr>
            <w:tcW w:w="238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17.070</w:t>
            </w:r>
          </w:p>
        </w:tc>
        <w:tc>
          <w:tcPr>
            <w:tcW w:w="25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97.363</w:t>
            </w:r>
          </w:p>
        </w:tc>
        <w:tc>
          <w:tcPr>
            <w:tcW w:w="1676"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114.433</w:t>
            </w:r>
          </w:p>
        </w:tc>
      </w:tr>
      <w:tr w:rsidR="00D549BC" w:rsidRPr="002739CC" w:rsidTr="002739CC">
        <w:trPr>
          <w:trHeight w:val="255"/>
        </w:trPr>
        <w:tc>
          <w:tcPr>
            <w:tcW w:w="1025"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2015.1</w:t>
            </w:r>
          </w:p>
        </w:tc>
        <w:tc>
          <w:tcPr>
            <w:tcW w:w="238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9.301</w:t>
            </w:r>
          </w:p>
        </w:tc>
        <w:tc>
          <w:tcPr>
            <w:tcW w:w="250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49.767</w:t>
            </w:r>
          </w:p>
        </w:tc>
        <w:tc>
          <w:tcPr>
            <w:tcW w:w="1676"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59.068</w:t>
            </w:r>
          </w:p>
        </w:tc>
      </w:tr>
    </w:tbl>
    <w:p w:rsidR="00D549BC" w:rsidRDefault="00D549BC" w:rsidP="007A4667">
      <w:pPr>
        <w:ind w:left="142" w:firstLine="1276"/>
        <w:rPr>
          <w:rFonts w:ascii="Times New Roman" w:hAnsi="Times New Roman"/>
          <w:sz w:val="24"/>
        </w:rPr>
      </w:pPr>
      <w:r>
        <w:rPr>
          <w:rFonts w:ascii="Times New Roman" w:hAnsi="Times New Roman"/>
          <w:sz w:val="20"/>
        </w:rPr>
        <w:t>Fonte: o autor - a partir de dados do STF</w:t>
      </w:r>
    </w:p>
    <w:p w:rsidR="00D549BC" w:rsidRDefault="00D549BC" w:rsidP="00FE3A58">
      <w:pPr>
        <w:ind w:left="142"/>
        <w:rPr>
          <w:rFonts w:ascii="Times New Roman" w:hAnsi="Times New Roman"/>
          <w:sz w:val="24"/>
        </w:rPr>
      </w:pPr>
    </w:p>
    <w:p w:rsidR="00D549BC" w:rsidRDefault="00D549BC" w:rsidP="007A4667">
      <w:pPr>
        <w:ind w:left="142" w:firstLine="567"/>
        <w:rPr>
          <w:rFonts w:ascii="Times New Roman" w:hAnsi="Times New Roman"/>
          <w:sz w:val="24"/>
        </w:rPr>
      </w:pPr>
      <w:r>
        <w:rPr>
          <w:rFonts w:ascii="Times New Roman" w:hAnsi="Times New Roman"/>
          <w:sz w:val="24"/>
        </w:rPr>
        <w:t xml:space="preserve">Em sintonia com os dados acima levantados, analisemos, também, os números que dizem respeito à quantidade de decisões monocráticas proferidas no bojo dos processos recursais (Recursos Extraordinários; Agravos no Recurso Extraordinário e Agravos de Instrumento): </w:t>
      </w:r>
    </w:p>
    <w:p w:rsidR="00D549BC" w:rsidRDefault="00D549BC" w:rsidP="00FE3A58">
      <w:pPr>
        <w:ind w:left="2268" w:firstLine="0"/>
        <w:rPr>
          <w:rFonts w:ascii="Times New Roman" w:hAnsi="Times New Roman"/>
          <w:sz w:val="24"/>
        </w:rPr>
      </w:pPr>
    </w:p>
    <w:tbl>
      <w:tblPr>
        <w:tblpPr w:leftFromText="141" w:rightFromText="141" w:vertAnchor="text" w:horzAnchor="page" w:tblpX="2991" w:tblpY="85"/>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7"/>
        <w:gridCol w:w="1048"/>
        <w:gridCol w:w="952"/>
        <w:gridCol w:w="873"/>
        <w:gridCol w:w="829"/>
        <w:gridCol w:w="934"/>
        <w:gridCol w:w="1147"/>
      </w:tblGrid>
      <w:tr w:rsidR="00D549BC" w:rsidRPr="002739CC" w:rsidTr="002739CC">
        <w:trPr>
          <w:trHeight w:val="394"/>
        </w:trPr>
        <w:tc>
          <w:tcPr>
            <w:tcW w:w="7400" w:type="dxa"/>
            <w:gridSpan w:val="7"/>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b/>
              </w:rPr>
              <w:t>DECISÕES MONOCRÁTICAS</w:t>
            </w:r>
            <w:r w:rsidRPr="002739CC">
              <w:rPr>
                <w:rFonts w:ascii="Times New Roman" w:hAnsi="Times New Roman"/>
              </w:rPr>
              <w:t xml:space="preserve"> </w:t>
            </w:r>
            <w:r w:rsidRPr="002739CC">
              <w:rPr>
                <w:rFonts w:ascii="Times New Roman" w:hAnsi="Times New Roman"/>
                <w:sz w:val="20"/>
              </w:rPr>
              <w:t>(EXCLUÍDAS AS DO PRESIDENTE DO STF)</w:t>
            </w:r>
          </w:p>
        </w:tc>
      </w:tr>
      <w:tr w:rsidR="00D549BC" w:rsidRPr="002739CC" w:rsidTr="002739CC">
        <w:trPr>
          <w:trHeight w:val="411"/>
        </w:trPr>
        <w:tc>
          <w:tcPr>
            <w:tcW w:w="1617"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Classe</w:t>
            </w:r>
          </w:p>
        </w:tc>
        <w:tc>
          <w:tcPr>
            <w:tcW w:w="1048"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2010</w:t>
            </w:r>
          </w:p>
        </w:tc>
        <w:tc>
          <w:tcPr>
            <w:tcW w:w="95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2011</w:t>
            </w:r>
          </w:p>
        </w:tc>
        <w:tc>
          <w:tcPr>
            <w:tcW w:w="873"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2012</w:t>
            </w:r>
          </w:p>
        </w:tc>
        <w:tc>
          <w:tcPr>
            <w:tcW w:w="829"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2013</w:t>
            </w:r>
          </w:p>
        </w:tc>
        <w:tc>
          <w:tcPr>
            <w:tcW w:w="934"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2014</w:t>
            </w:r>
          </w:p>
        </w:tc>
        <w:tc>
          <w:tcPr>
            <w:tcW w:w="1143"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2015.1</w:t>
            </w:r>
          </w:p>
        </w:tc>
      </w:tr>
      <w:tr w:rsidR="00D549BC" w:rsidRPr="002739CC" w:rsidTr="002739CC">
        <w:trPr>
          <w:trHeight w:val="394"/>
        </w:trPr>
        <w:tc>
          <w:tcPr>
            <w:tcW w:w="1617"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Originária</w:t>
            </w:r>
          </w:p>
        </w:tc>
        <w:tc>
          <w:tcPr>
            <w:tcW w:w="1048"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10.546</w:t>
            </w:r>
          </w:p>
        </w:tc>
        <w:tc>
          <w:tcPr>
            <w:tcW w:w="95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9.598</w:t>
            </w:r>
          </w:p>
        </w:tc>
        <w:tc>
          <w:tcPr>
            <w:tcW w:w="873"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9.906</w:t>
            </w:r>
          </w:p>
        </w:tc>
        <w:tc>
          <w:tcPr>
            <w:tcW w:w="829"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12.585</w:t>
            </w:r>
          </w:p>
        </w:tc>
        <w:tc>
          <w:tcPr>
            <w:tcW w:w="934"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13.367</w:t>
            </w:r>
          </w:p>
        </w:tc>
        <w:tc>
          <w:tcPr>
            <w:tcW w:w="1143"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7.029</w:t>
            </w:r>
          </w:p>
        </w:tc>
      </w:tr>
      <w:tr w:rsidR="00D549BC" w:rsidRPr="002739CC" w:rsidTr="002739CC">
        <w:trPr>
          <w:trHeight w:val="394"/>
        </w:trPr>
        <w:tc>
          <w:tcPr>
            <w:tcW w:w="1617"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Recursal</w:t>
            </w:r>
          </w:p>
        </w:tc>
        <w:tc>
          <w:tcPr>
            <w:tcW w:w="1048"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47.338</w:t>
            </w:r>
          </w:p>
        </w:tc>
        <w:tc>
          <w:tcPr>
            <w:tcW w:w="952"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42.870</w:t>
            </w:r>
          </w:p>
        </w:tc>
        <w:tc>
          <w:tcPr>
            <w:tcW w:w="873"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39.141</w:t>
            </w:r>
          </w:p>
        </w:tc>
        <w:tc>
          <w:tcPr>
            <w:tcW w:w="829"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44.024</w:t>
            </w:r>
          </w:p>
        </w:tc>
        <w:tc>
          <w:tcPr>
            <w:tcW w:w="934"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55.968</w:t>
            </w:r>
          </w:p>
        </w:tc>
        <w:tc>
          <w:tcPr>
            <w:tcW w:w="1143"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31.185</w:t>
            </w:r>
          </w:p>
        </w:tc>
      </w:tr>
      <w:tr w:rsidR="00D549BC" w:rsidRPr="002739CC" w:rsidTr="002739CC">
        <w:trPr>
          <w:trHeight w:val="394"/>
        </w:trPr>
        <w:tc>
          <w:tcPr>
            <w:tcW w:w="1617" w:type="dxa"/>
          </w:tcPr>
          <w:p w:rsidR="00D549BC" w:rsidRPr="002739CC" w:rsidRDefault="00D549BC" w:rsidP="002739CC">
            <w:pPr>
              <w:spacing w:line="240" w:lineRule="auto"/>
              <w:ind w:firstLine="0"/>
              <w:jc w:val="center"/>
              <w:rPr>
                <w:rFonts w:ascii="Times New Roman" w:hAnsi="Times New Roman"/>
                <w:b/>
              </w:rPr>
            </w:pPr>
            <w:r w:rsidRPr="002739CC">
              <w:rPr>
                <w:rFonts w:ascii="Times New Roman" w:hAnsi="Times New Roman"/>
                <w:b/>
              </w:rPr>
              <w:t>Total</w:t>
            </w:r>
          </w:p>
        </w:tc>
        <w:tc>
          <w:tcPr>
            <w:tcW w:w="1048"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57.884</w:t>
            </w:r>
          </w:p>
        </w:tc>
        <w:tc>
          <w:tcPr>
            <w:tcW w:w="952"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52.468</w:t>
            </w:r>
          </w:p>
        </w:tc>
        <w:tc>
          <w:tcPr>
            <w:tcW w:w="873"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49.047</w:t>
            </w:r>
          </w:p>
        </w:tc>
        <w:tc>
          <w:tcPr>
            <w:tcW w:w="829"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56.609</w:t>
            </w:r>
          </w:p>
        </w:tc>
        <w:tc>
          <w:tcPr>
            <w:tcW w:w="934"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69.335</w:t>
            </w:r>
          </w:p>
        </w:tc>
        <w:tc>
          <w:tcPr>
            <w:tcW w:w="1143" w:type="dxa"/>
          </w:tcPr>
          <w:p w:rsidR="00D549BC" w:rsidRPr="002739CC" w:rsidRDefault="00D549BC" w:rsidP="002739CC">
            <w:pPr>
              <w:spacing w:line="240" w:lineRule="auto"/>
              <w:ind w:firstLine="0"/>
              <w:jc w:val="center"/>
              <w:rPr>
                <w:rFonts w:ascii="Times New Roman" w:hAnsi="Times New Roman"/>
              </w:rPr>
            </w:pPr>
            <w:r w:rsidRPr="002739CC">
              <w:rPr>
                <w:rFonts w:ascii="Times New Roman" w:hAnsi="Times New Roman"/>
              </w:rPr>
              <w:t>38.214</w:t>
            </w:r>
          </w:p>
        </w:tc>
      </w:tr>
    </w:tbl>
    <w:p w:rsidR="00D549BC" w:rsidRDefault="00D549BC" w:rsidP="007A4667">
      <w:pPr>
        <w:ind w:left="2268" w:hanging="850"/>
        <w:rPr>
          <w:rFonts w:ascii="Times New Roman" w:hAnsi="Times New Roman"/>
          <w:sz w:val="24"/>
        </w:rPr>
      </w:pPr>
      <w:r>
        <w:rPr>
          <w:rFonts w:ascii="Times New Roman" w:hAnsi="Times New Roman"/>
          <w:sz w:val="20"/>
        </w:rPr>
        <w:t xml:space="preserve"> Fonte: o autor - a partir de dados do STF</w:t>
      </w:r>
    </w:p>
    <w:p w:rsidR="00D549BC" w:rsidRDefault="00D549BC" w:rsidP="00FE3A58">
      <w:pPr>
        <w:ind w:left="2268" w:firstLine="0"/>
        <w:rPr>
          <w:rFonts w:ascii="Times New Roman" w:hAnsi="Times New Roman"/>
          <w:sz w:val="24"/>
        </w:rPr>
      </w:pPr>
    </w:p>
    <w:p w:rsidR="00D549BC" w:rsidRDefault="00D549BC" w:rsidP="007A4667">
      <w:pPr>
        <w:rPr>
          <w:rFonts w:ascii="Times New Roman" w:hAnsi="Times New Roman"/>
          <w:sz w:val="24"/>
        </w:rPr>
      </w:pPr>
      <w:r>
        <w:rPr>
          <w:rFonts w:ascii="Times New Roman" w:hAnsi="Times New Roman"/>
          <w:sz w:val="24"/>
        </w:rPr>
        <w:t xml:space="preserve">Percebe-se, claramente, que as decisões monocráticas, de fato, são maioria na Suprema Corte brasileira, correspondendo, em média, a mais de 80% do total das decisões que são proferidas anualmente. </w:t>
      </w:r>
    </w:p>
    <w:p w:rsidR="00D549BC" w:rsidRDefault="00D549BC" w:rsidP="007A4667">
      <w:pPr>
        <w:rPr>
          <w:rFonts w:ascii="Times New Roman" w:hAnsi="Times New Roman"/>
          <w:sz w:val="24"/>
        </w:rPr>
      </w:pPr>
      <w:r>
        <w:rPr>
          <w:rFonts w:ascii="Times New Roman" w:hAnsi="Times New Roman"/>
          <w:sz w:val="24"/>
        </w:rPr>
        <w:t xml:space="preserve">A partir dos dados acima poderíamos, </w:t>
      </w:r>
      <w:r w:rsidRPr="00F86B10">
        <w:rPr>
          <w:rFonts w:ascii="Times New Roman" w:hAnsi="Times New Roman"/>
          <w:i/>
          <w:sz w:val="24"/>
        </w:rPr>
        <w:t>a priori</w:t>
      </w:r>
      <w:r>
        <w:rPr>
          <w:rFonts w:ascii="Times New Roman" w:hAnsi="Times New Roman"/>
          <w:sz w:val="24"/>
        </w:rPr>
        <w:t>, inferir que: (i) o STF, supostamente, teria uma ampla discricionariedade na escolha daquilo que efetivamente julga (decisões colegiadas e dialógicas); (ii) o diagnóstico de que o STF não teria controle de sua pauta e de que seria relativamente fácil acessar o Tribunal, mereceria, portanto, revisão.</w:t>
      </w:r>
    </w:p>
    <w:p w:rsidR="00D549BC" w:rsidRDefault="00D549BC" w:rsidP="007A4667">
      <w:pPr>
        <w:rPr>
          <w:rFonts w:ascii="Times New Roman" w:hAnsi="Times New Roman"/>
          <w:sz w:val="24"/>
        </w:rPr>
      </w:pPr>
      <w:r>
        <w:rPr>
          <w:rFonts w:ascii="Times New Roman" w:hAnsi="Times New Roman"/>
          <w:sz w:val="24"/>
        </w:rPr>
        <w:t xml:space="preserve">Essas duas conclusões estão expostas na tese de doutoramento da advogada DAMARES MEDINA COELHO, a qual defende que o acesso ao STF caracterizar-se-ia, em virtude do quadro </w:t>
      </w:r>
      <w:r w:rsidRPr="004F3D9E">
        <w:rPr>
          <w:rFonts w:ascii="Times New Roman" w:hAnsi="Times New Roman"/>
          <w:i/>
          <w:sz w:val="24"/>
        </w:rPr>
        <w:t>supra</w:t>
      </w:r>
      <w:r>
        <w:rPr>
          <w:rFonts w:ascii="Times New Roman" w:hAnsi="Times New Roman"/>
          <w:sz w:val="24"/>
        </w:rPr>
        <w:t xml:space="preserve"> delineado (perfil preponderantemente monocrático), como um “pseudo acesso”.</w:t>
      </w:r>
      <w:r>
        <w:rPr>
          <w:rStyle w:val="FootnoteReference"/>
          <w:rFonts w:ascii="Times New Roman" w:hAnsi="Times New Roman"/>
          <w:sz w:val="24"/>
        </w:rPr>
        <w:footnoteReference w:id="265"/>
      </w:r>
      <w:r>
        <w:rPr>
          <w:rFonts w:ascii="Times New Roman" w:hAnsi="Times New Roman"/>
          <w:sz w:val="24"/>
        </w:rPr>
        <w:t xml:space="preserve"> </w:t>
      </w:r>
    </w:p>
    <w:p w:rsidR="00D549BC" w:rsidRDefault="00D549BC" w:rsidP="007A4667">
      <w:pPr>
        <w:rPr>
          <w:rFonts w:ascii="Times New Roman" w:hAnsi="Times New Roman"/>
          <w:sz w:val="24"/>
        </w:rPr>
      </w:pPr>
      <w:r>
        <w:rPr>
          <w:rFonts w:ascii="Times New Roman" w:hAnsi="Times New Roman"/>
          <w:sz w:val="24"/>
        </w:rPr>
        <w:t xml:space="preserve">Em contrapartida, entendemos que o fato de o STF proferir mais decisões monocráticas do que colegiadas não acarreta, necessariamente, controle da pauta e restrição de acesso à Corte. Isso porque, primeiro, a decisão, seja do Ministro, seja do Pleno ou, ainda, da Turma, representa, ao final, o entendimento do Tribunal: não há decisão que seja criada de forma puramente arbitrária e fundada na opinião exclusiva do julgador. Toda decisão, ainda que monocrática, exige (i) relatório, (ii) fundamentação e (iii) dispositivo, para, ao final, afirmar que a decisão recorrida, na grande maioria dos casos, estava correta. E isso, certamente, demanda tempo, seja do Gabinete, seja do Ministro. </w:t>
      </w:r>
    </w:p>
    <w:p w:rsidR="00D549BC" w:rsidRDefault="00D549BC" w:rsidP="007A4667">
      <w:pPr>
        <w:rPr>
          <w:rFonts w:ascii="Times New Roman" w:hAnsi="Times New Roman"/>
          <w:sz w:val="24"/>
        </w:rPr>
      </w:pPr>
      <w:r>
        <w:rPr>
          <w:rFonts w:ascii="Times New Roman" w:hAnsi="Times New Roman"/>
          <w:sz w:val="24"/>
        </w:rPr>
        <w:t xml:space="preserve">Ademais, ainda que a decisão tenha sido monocrática, resta configurado o acesso da parte à Corte Suprema brasileira; o amplo acesso ao STF, muitas vezes como terceira instância, não pode significar que as partes devam obter sempre uma resposta colegiada. </w:t>
      </w:r>
    </w:p>
    <w:p w:rsidR="00D549BC" w:rsidRDefault="00D549BC" w:rsidP="007A4667">
      <w:pPr>
        <w:rPr>
          <w:rFonts w:ascii="Times New Roman" w:hAnsi="Times New Roman"/>
          <w:sz w:val="24"/>
        </w:rPr>
      </w:pPr>
      <w:r>
        <w:rPr>
          <w:rFonts w:ascii="Times New Roman" w:hAnsi="Times New Roman"/>
          <w:sz w:val="24"/>
        </w:rPr>
        <w:t xml:space="preserve">Um segundo argumento contrário ainda ao defendido por MEDINA COELHO diz respeito ao que apontamos no terceiro capítulo, especificamente na seção 4.2.3, qual seja, o </w:t>
      </w:r>
      <w:r w:rsidRPr="004529F6">
        <w:rPr>
          <w:rFonts w:ascii="Times New Roman" w:hAnsi="Times New Roman"/>
          <w:i/>
          <w:sz w:val="24"/>
        </w:rPr>
        <w:t>desvirtuamento da Repercussão Geral</w:t>
      </w:r>
      <w:r>
        <w:rPr>
          <w:rFonts w:ascii="Times New Roman" w:hAnsi="Times New Roman"/>
          <w:sz w:val="24"/>
        </w:rPr>
        <w:t xml:space="preserve">. Esse diagnóstico serviria para confirmar a hipótese de que Corte não tem controle daquilo que julga, pois existem casos que foram submetidos ao Plenário Virtual, mas que pela ausência de votos suficientes para negativa da preliminar –recordemos que a abstenção no Plenário Virtual conta favoravelmente à Repercussão Geral – acabaram sendo considerados “relevantes”. </w:t>
      </w:r>
    </w:p>
    <w:p w:rsidR="00D549BC" w:rsidRDefault="00D549BC" w:rsidP="007A4667">
      <w:pPr>
        <w:rPr>
          <w:rFonts w:ascii="Times New Roman" w:hAnsi="Times New Roman"/>
          <w:sz w:val="24"/>
        </w:rPr>
      </w:pPr>
      <w:r>
        <w:rPr>
          <w:rFonts w:ascii="Times New Roman" w:hAnsi="Times New Roman"/>
          <w:sz w:val="24"/>
        </w:rPr>
        <w:t>O Ministro Roberto Barroso afirmou, em recente entrevista, que “p</w:t>
      </w:r>
      <w:r w:rsidRPr="00B0057C">
        <w:rPr>
          <w:rFonts w:ascii="Times New Roman" w:hAnsi="Times New Roman"/>
          <w:sz w:val="24"/>
        </w:rPr>
        <w:t xml:space="preserve">ouco mais de 5% dos </w:t>
      </w:r>
      <w:r>
        <w:rPr>
          <w:rFonts w:ascii="Times New Roman" w:hAnsi="Times New Roman"/>
          <w:sz w:val="24"/>
        </w:rPr>
        <w:t>R</w:t>
      </w:r>
      <w:r w:rsidRPr="00B0057C">
        <w:rPr>
          <w:rFonts w:ascii="Times New Roman" w:hAnsi="Times New Roman"/>
          <w:sz w:val="24"/>
        </w:rPr>
        <w:t xml:space="preserve">ecursos </w:t>
      </w:r>
      <w:r>
        <w:rPr>
          <w:rFonts w:ascii="Times New Roman" w:hAnsi="Times New Roman"/>
          <w:sz w:val="24"/>
        </w:rPr>
        <w:t>E</w:t>
      </w:r>
      <w:r w:rsidRPr="00B0057C">
        <w:rPr>
          <w:rFonts w:ascii="Times New Roman" w:hAnsi="Times New Roman"/>
          <w:sz w:val="24"/>
        </w:rPr>
        <w:t xml:space="preserve">xtraordinários são providos. Ou seja, em mais de 90% dos </w:t>
      </w:r>
      <w:r>
        <w:rPr>
          <w:rFonts w:ascii="Times New Roman" w:hAnsi="Times New Roman"/>
          <w:sz w:val="24"/>
        </w:rPr>
        <w:t>R</w:t>
      </w:r>
      <w:r w:rsidRPr="00B0057C">
        <w:rPr>
          <w:rFonts w:ascii="Times New Roman" w:hAnsi="Times New Roman"/>
          <w:sz w:val="24"/>
        </w:rPr>
        <w:t xml:space="preserve">ecursos </w:t>
      </w:r>
      <w:r>
        <w:rPr>
          <w:rFonts w:ascii="Times New Roman" w:hAnsi="Times New Roman"/>
          <w:sz w:val="24"/>
        </w:rPr>
        <w:t>E</w:t>
      </w:r>
      <w:r w:rsidRPr="00B0057C">
        <w:rPr>
          <w:rFonts w:ascii="Times New Roman" w:hAnsi="Times New Roman"/>
          <w:sz w:val="24"/>
        </w:rPr>
        <w:t>xtraordinários que chegam ao STF</w:t>
      </w:r>
      <w:r>
        <w:rPr>
          <w:rFonts w:ascii="Times New Roman" w:hAnsi="Times New Roman"/>
          <w:sz w:val="24"/>
        </w:rPr>
        <w:t>,</w:t>
      </w:r>
      <w:r w:rsidRPr="00B0057C">
        <w:rPr>
          <w:rFonts w:ascii="Times New Roman" w:hAnsi="Times New Roman"/>
          <w:sz w:val="24"/>
        </w:rPr>
        <w:t xml:space="preserve"> é mantida a decisão da origem</w:t>
      </w:r>
      <w:r>
        <w:rPr>
          <w:rFonts w:ascii="Times New Roman" w:hAnsi="Times New Roman"/>
          <w:sz w:val="24"/>
        </w:rPr>
        <w:t>,</w:t>
      </w:r>
      <w:r w:rsidRPr="00B0057C">
        <w:rPr>
          <w:rFonts w:ascii="Times New Roman" w:hAnsi="Times New Roman"/>
          <w:sz w:val="24"/>
        </w:rPr>
        <w:t xml:space="preserve"> que já passou pelo primeiro e pelo segundo graus e, por vezes, pelo STJ</w:t>
      </w:r>
      <w:r>
        <w:rPr>
          <w:rFonts w:ascii="Times New Roman" w:hAnsi="Times New Roman"/>
          <w:sz w:val="24"/>
        </w:rPr>
        <w:t>”.</w:t>
      </w:r>
      <w:r>
        <w:rPr>
          <w:rStyle w:val="FootnoteReference"/>
          <w:rFonts w:ascii="Times New Roman" w:hAnsi="Times New Roman"/>
          <w:sz w:val="24"/>
        </w:rPr>
        <w:footnoteReference w:id="266"/>
      </w:r>
      <w:r>
        <w:rPr>
          <w:rFonts w:ascii="Times New Roman" w:hAnsi="Times New Roman"/>
          <w:sz w:val="24"/>
        </w:rPr>
        <w:t xml:space="preserve"> Em conclusão, asseverou, ainda, que: </w:t>
      </w:r>
    </w:p>
    <w:p w:rsidR="00D549BC" w:rsidRDefault="00D549BC" w:rsidP="008373DC">
      <w:pPr>
        <w:spacing w:line="240" w:lineRule="auto"/>
        <w:ind w:left="2268" w:firstLine="0"/>
        <w:rPr>
          <w:rFonts w:ascii="Times New Roman" w:hAnsi="Times New Roman"/>
          <w:sz w:val="24"/>
        </w:rPr>
      </w:pPr>
      <w:r w:rsidRPr="008373DC">
        <w:rPr>
          <w:rFonts w:ascii="Times New Roman" w:hAnsi="Times New Roman"/>
        </w:rPr>
        <w:t xml:space="preserve">Isso significa que a maior parte do trabalho do gabinete é produzindo decisão nos processos que o ministro não vai julgar, ou seja, vai manter a decisão de origem. Isso não faz nenhum sentido. Acho que, em breve, nos casos em que seja para manter a decisão, não vamos precisar produzir uma decisão, ou bastará uma decisão simples, como “a decisão recorrida está alinhada com a jurisprudência do Supremo” ou “a decisão recorrida não envolve matéria constitucional”. </w:t>
      </w:r>
      <w:r w:rsidRPr="00453F55">
        <w:rPr>
          <w:rFonts w:ascii="Times New Roman" w:hAnsi="Times New Roman"/>
          <w:i/>
        </w:rPr>
        <w:t>E aí vamos deixar de atrasar o trânsito em julgado em anos</w:t>
      </w:r>
      <w:r w:rsidRPr="008373DC">
        <w:rPr>
          <w:rFonts w:ascii="Times New Roman" w:hAnsi="Times New Roman"/>
        </w:rPr>
        <w:t xml:space="preserve">. </w:t>
      </w:r>
      <w:r w:rsidRPr="00453F55">
        <w:rPr>
          <w:rFonts w:ascii="Times New Roman" w:hAnsi="Times New Roman"/>
          <w:i/>
        </w:rPr>
        <w:t>Isso me parece tão óbvio que não deve ser difícil conseguir consenso em futuro próximo</w:t>
      </w:r>
      <w:r>
        <w:rPr>
          <w:rFonts w:ascii="Times New Roman" w:hAnsi="Times New Roman"/>
          <w:i/>
        </w:rPr>
        <w:t>.</w:t>
      </w:r>
      <w:r>
        <w:rPr>
          <w:rStyle w:val="FootnoteReference"/>
          <w:rFonts w:ascii="Times New Roman" w:hAnsi="Times New Roman"/>
        </w:rPr>
        <w:footnoteReference w:id="267"/>
      </w:r>
    </w:p>
    <w:p w:rsidR="00D549BC" w:rsidRDefault="00D549BC" w:rsidP="008373DC">
      <w:pPr>
        <w:spacing w:line="240" w:lineRule="auto"/>
        <w:ind w:left="2268" w:firstLine="0"/>
        <w:rPr>
          <w:rFonts w:ascii="Times New Roman" w:hAnsi="Times New Roman"/>
          <w:sz w:val="24"/>
        </w:rPr>
      </w:pPr>
    </w:p>
    <w:p w:rsidR="00D549BC" w:rsidRDefault="00D549BC" w:rsidP="007A4667">
      <w:pPr>
        <w:rPr>
          <w:rFonts w:ascii="Times New Roman" w:hAnsi="Times New Roman"/>
          <w:sz w:val="24"/>
        </w:rPr>
      </w:pPr>
      <w:r>
        <w:rPr>
          <w:rFonts w:ascii="Times New Roman" w:hAnsi="Times New Roman"/>
          <w:sz w:val="24"/>
        </w:rPr>
        <w:t xml:space="preserve">A fala do Ministro Barroso nos leva, por conseguinte, a um segundo problema, que talvez mereça maiores reflexões em um futuro trabalho: </w:t>
      </w:r>
      <w:r w:rsidRPr="006473F0">
        <w:rPr>
          <w:rFonts w:ascii="Times New Roman" w:hAnsi="Times New Roman"/>
          <w:sz w:val="24"/>
        </w:rPr>
        <w:t>quantos graus de jurisdição</w:t>
      </w:r>
      <w:r>
        <w:rPr>
          <w:rFonts w:ascii="Times New Roman" w:hAnsi="Times New Roman"/>
          <w:sz w:val="24"/>
        </w:rPr>
        <w:t xml:space="preserve"> </w:t>
      </w:r>
      <w:r w:rsidRPr="006473F0">
        <w:rPr>
          <w:rFonts w:ascii="Times New Roman" w:hAnsi="Times New Roman"/>
          <w:sz w:val="24"/>
        </w:rPr>
        <w:t>são necessários para se assegurar ao cidadão um</w:t>
      </w:r>
      <w:r>
        <w:rPr>
          <w:rFonts w:ascii="Times New Roman" w:hAnsi="Times New Roman"/>
          <w:sz w:val="24"/>
        </w:rPr>
        <w:t xml:space="preserve"> </w:t>
      </w:r>
      <w:r w:rsidRPr="006473F0">
        <w:rPr>
          <w:rFonts w:ascii="Times New Roman" w:hAnsi="Times New Roman"/>
          <w:sz w:val="24"/>
        </w:rPr>
        <w:t>julgamento imparcial como requer o artigo 5º, inciso</w:t>
      </w:r>
      <w:r>
        <w:rPr>
          <w:rFonts w:ascii="Times New Roman" w:hAnsi="Times New Roman"/>
          <w:sz w:val="24"/>
        </w:rPr>
        <w:t xml:space="preserve"> </w:t>
      </w:r>
      <w:r w:rsidRPr="006473F0">
        <w:rPr>
          <w:rFonts w:ascii="Times New Roman" w:hAnsi="Times New Roman"/>
          <w:sz w:val="24"/>
        </w:rPr>
        <w:t>LV da Constituição, que assegura o direito ao</w:t>
      </w:r>
      <w:r>
        <w:rPr>
          <w:rFonts w:ascii="Times New Roman" w:hAnsi="Times New Roman"/>
          <w:sz w:val="24"/>
        </w:rPr>
        <w:t xml:space="preserve"> </w:t>
      </w:r>
      <w:r w:rsidRPr="006473F0">
        <w:rPr>
          <w:rFonts w:ascii="Times New Roman" w:hAnsi="Times New Roman"/>
          <w:sz w:val="24"/>
        </w:rPr>
        <w:t>devido processo legal</w:t>
      </w:r>
      <w:r>
        <w:rPr>
          <w:rFonts w:ascii="Times New Roman" w:hAnsi="Times New Roman"/>
          <w:sz w:val="24"/>
        </w:rPr>
        <w:t xml:space="preserve">. Seria imprescindível, para tanto, o acesso da parte até o órgão de cúpula do Judiciário? </w:t>
      </w:r>
    </w:p>
    <w:p w:rsidR="00D549BC" w:rsidRDefault="00D549BC" w:rsidP="00594883">
      <w:pPr>
        <w:ind w:firstLine="851"/>
        <w:rPr>
          <w:rFonts w:ascii="Times New Roman" w:hAnsi="Times New Roman"/>
          <w:sz w:val="24"/>
        </w:rPr>
      </w:pPr>
      <w:r>
        <w:rPr>
          <w:rFonts w:ascii="Times New Roman" w:hAnsi="Times New Roman"/>
          <w:sz w:val="24"/>
        </w:rPr>
        <w:t xml:space="preserve">JOAQUIM FALCÃO; PABLO CERDEIRA posicionam-se no sentido de que: </w:t>
      </w:r>
    </w:p>
    <w:p w:rsidR="00D549BC" w:rsidRPr="00D8003A" w:rsidRDefault="00D549BC" w:rsidP="000A3CD7">
      <w:pPr>
        <w:spacing w:line="240" w:lineRule="auto"/>
        <w:ind w:left="2268" w:firstLine="0"/>
        <w:rPr>
          <w:rFonts w:ascii="Times New Roman" w:hAnsi="Times New Roman"/>
        </w:rPr>
      </w:pPr>
      <w:r w:rsidRPr="00D8003A">
        <w:rPr>
          <w:rFonts w:ascii="Times New Roman" w:hAnsi="Times New Roman"/>
        </w:rPr>
        <w:t xml:space="preserve">É consenso na doutrina e na prática democrática do mundo inteiro que </w:t>
      </w:r>
      <w:r>
        <w:rPr>
          <w:rFonts w:ascii="Times New Roman" w:hAnsi="Times New Roman"/>
        </w:rPr>
        <w:t>–</w:t>
      </w:r>
      <w:r w:rsidRPr="00D8003A">
        <w:rPr>
          <w:rFonts w:ascii="Times New Roman" w:hAnsi="Times New Roman"/>
        </w:rPr>
        <w:t xml:space="preserve"> quanto ao número de decisões </w:t>
      </w:r>
      <w:r>
        <w:rPr>
          <w:rFonts w:ascii="Times New Roman" w:hAnsi="Times New Roman"/>
        </w:rPr>
        <w:t>–</w:t>
      </w:r>
      <w:r w:rsidRPr="00D8003A">
        <w:rPr>
          <w:rFonts w:ascii="Times New Roman" w:hAnsi="Times New Roman"/>
        </w:rPr>
        <w:t xml:space="preserve"> basta o duplo grau de jurisdição, combinando uma decisão individual de um juiz e uma revisão de um órgão colegiado, o tribunal, para assegurar o acesso da cidadania a um julgamento imparcial</w:t>
      </w:r>
      <w:r>
        <w:rPr>
          <w:rFonts w:ascii="Times New Roman" w:hAnsi="Times New Roman"/>
        </w:rPr>
        <w:t>.</w:t>
      </w:r>
      <w:r>
        <w:rPr>
          <w:rStyle w:val="FootnoteReference"/>
          <w:rFonts w:ascii="Times New Roman" w:hAnsi="Times New Roman"/>
        </w:rPr>
        <w:footnoteReference w:id="268"/>
      </w:r>
      <w:r w:rsidRPr="00D8003A">
        <w:rPr>
          <w:rFonts w:ascii="Times New Roman" w:hAnsi="Times New Roman"/>
        </w:rPr>
        <w:t xml:space="preserve"> </w:t>
      </w:r>
    </w:p>
    <w:p w:rsidR="00D549BC" w:rsidRPr="00D8003A" w:rsidRDefault="00D549BC" w:rsidP="00547017">
      <w:pPr>
        <w:spacing w:line="240" w:lineRule="auto"/>
        <w:ind w:left="2126" w:firstLine="0"/>
        <w:rPr>
          <w:rFonts w:ascii="Times New Roman" w:hAnsi="Times New Roman"/>
        </w:rPr>
      </w:pPr>
    </w:p>
    <w:p w:rsidR="00D549BC" w:rsidRDefault="00D549BC" w:rsidP="00D11EF2">
      <w:pPr>
        <w:rPr>
          <w:rFonts w:ascii="Times New Roman" w:hAnsi="Times New Roman"/>
          <w:sz w:val="24"/>
        </w:rPr>
      </w:pPr>
      <w:r>
        <w:rPr>
          <w:rFonts w:ascii="Times New Roman" w:hAnsi="Times New Roman"/>
          <w:sz w:val="24"/>
        </w:rPr>
        <w:t>O Ministro Roberto Barroso também se posiciona tal qual os autores acima citados, vejamos:</w:t>
      </w:r>
    </w:p>
    <w:p w:rsidR="00D549BC" w:rsidRPr="000A3CD7" w:rsidRDefault="00D549BC" w:rsidP="000A3CD7">
      <w:pPr>
        <w:spacing w:line="240" w:lineRule="auto"/>
        <w:ind w:left="2268" w:firstLine="0"/>
        <w:rPr>
          <w:rFonts w:ascii="Times New Roman" w:hAnsi="Times New Roman"/>
        </w:rPr>
      </w:pPr>
      <w:r w:rsidRPr="000A3CD7">
        <w:rPr>
          <w:rFonts w:ascii="Times New Roman" w:hAnsi="Times New Roman"/>
        </w:rPr>
        <w:t xml:space="preserve">Em breve, em algum lugar do futuro, vamos consolidar a cultura de que o acesso à Justiça e o devido processo legal se realizam em dois graus de jurisdição. </w:t>
      </w:r>
      <w:r w:rsidRPr="00F71952">
        <w:rPr>
          <w:rFonts w:ascii="Times New Roman" w:hAnsi="Times New Roman"/>
          <w:i/>
        </w:rPr>
        <w:t>Os Tribunais Superiores</w:t>
      </w:r>
      <w:r w:rsidRPr="000A3CD7">
        <w:rPr>
          <w:rFonts w:ascii="Times New Roman" w:hAnsi="Times New Roman"/>
        </w:rPr>
        <w:t xml:space="preserve"> – particularmente o STF, o STJ e o TST – </w:t>
      </w:r>
      <w:r w:rsidRPr="00C86721">
        <w:rPr>
          <w:rFonts w:ascii="Times New Roman" w:hAnsi="Times New Roman"/>
          <w:i/>
        </w:rPr>
        <w:t>devem ter controle da própria agenda e selecionar</w:t>
      </w:r>
      <w:r w:rsidRPr="000A3CD7">
        <w:rPr>
          <w:rFonts w:ascii="Times New Roman" w:hAnsi="Times New Roman"/>
        </w:rPr>
        <w:t xml:space="preserve">, </w:t>
      </w:r>
      <w:r w:rsidRPr="00C86721">
        <w:rPr>
          <w:rFonts w:ascii="Times New Roman" w:hAnsi="Times New Roman"/>
          <w:i/>
        </w:rPr>
        <w:t>como regra geral</w:t>
      </w:r>
      <w:r w:rsidRPr="000A3CD7">
        <w:rPr>
          <w:rFonts w:ascii="Times New Roman" w:hAnsi="Times New Roman"/>
        </w:rPr>
        <w:t xml:space="preserve">, </w:t>
      </w:r>
      <w:r w:rsidRPr="00C86721">
        <w:rPr>
          <w:rFonts w:ascii="Times New Roman" w:hAnsi="Times New Roman"/>
          <w:i/>
        </w:rPr>
        <w:t>os casos que vão julgar</w:t>
      </w:r>
      <w:r w:rsidRPr="000A3CD7">
        <w:rPr>
          <w:rFonts w:ascii="Times New Roman" w:hAnsi="Times New Roman"/>
        </w:rPr>
        <w:t xml:space="preserve">, </w:t>
      </w:r>
      <w:r w:rsidRPr="00C86721">
        <w:rPr>
          <w:rFonts w:ascii="Times New Roman" w:hAnsi="Times New Roman"/>
          <w:i/>
        </w:rPr>
        <w:t>conciliando a relevância dos temas com a capacidade material e física dos tribunais e dos juízes</w:t>
      </w:r>
      <w:r>
        <w:rPr>
          <w:rFonts w:ascii="Times New Roman" w:hAnsi="Times New Roman"/>
          <w:i/>
        </w:rPr>
        <w:t>.</w:t>
      </w:r>
      <w:r w:rsidRPr="006A3028">
        <w:rPr>
          <w:rStyle w:val="FootnoteReference"/>
          <w:rFonts w:ascii="Times New Roman" w:hAnsi="Times New Roman"/>
        </w:rPr>
        <w:footnoteReference w:id="269"/>
      </w:r>
    </w:p>
    <w:p w:rsidR="00D549BC" w:rsidRDefault="00D549BC" w:rsidP="000A3CD7">
      <w:pPr>
        <w:ind w:left="2268" w:firstLine="0"/>
        <w:rPr>
          <w:rFonts w:ascii="Times New Roman" w:hAnsi="Times New Roman"/>
          <w:sz w:val="24"/>
        </w:rPr>
      </w:pPr>
    </w:p>
    <w:p w:rsidR="00D549BC" w:rsidRDefault="00D549BC" w:rsidP="00D11EF2">
      <w:pPr>
        <w:rPr>
          <w:rFonts w:ascii="Times New Roman" w:hAnsi="Times New Roman"/>
          <w:sz w:val="24"/>
        </w:rPr>
      </w:pPr>
      <w:r>
        <w:rPr>
          <w:rFonts w:ascii="Times New Roman" w:hAnsi="Times New Roman"/>
          <w:sz w:val="24"/>
        </w:rPr>
        <w:t>Conclui-se, portanto, que o excesso de decisões monocráticas no órgão de cúpula do Judiciário representa mais um descontrole das partes, no afã de postergar ao máximo o trânsito em julgado, do que um descontrole dentro da própria Corte Suprema. Além disso, ratificamos a ideia sugerida de que o “duplo grau de jurisdição” satisfar-se-ia, nas democracias modernas, com decisões de primeira (monocrática) e segunda (colegiada) instâncias.</w:t>
      </w:r>
    </w:p>
    <w:p w:rsidR="00D549BC" w:rsidRDefault="00D549BC" w:rsidP="00D11EF2">
      <w:pPr>
        <w:rPr>
          <w:rFonts w:ascii="Times New Roman" w:hAnsi="Times New Roman"/>
          <w:sz w:val="24"/>
        </w:rPr>
      </w:pPr>
      <w:r>
        <w:rPr>
          <w:rFonts w:ascii="Times New Roman" w:hAnsi="Times New Roman"/>
          <w:sz w:val="24"/>
        </w:rPr>
        <w:t xml:space="preserve">Os Tribunais Superiores devem ter o controle daquilo que vão julgar, dada suas competências jurisdicionais extraordinárias, e isso não implica, necessariamente, no uso da Jurisprudência Defensiva, uma vez que devem ser utilizados critérios legais para seleção de casos. </w:t>
      </w:r>
    </w:p>
    <w:p w:rsidR="00D549BC" w:rsidRDefault="00D549BC" w:rsidP="00D11EF2">
      <w:pPr>
        <w:rPr>
          <w:rFonts w:ascii="Times New Roman" w:hAnsi="Times New Roman"/>
          <w:sz w:val="24"/>
        </w:rPr>
      </w:pPr>
      <w:r>
        <w:rPr>
          <w:rFonts w:ascii="Times New Roman" w:hAnsi="Times New Roman"/>
          <w:sz w:val="24"/>
        </w:rPr>
        <w:t>Atualmente, a regra é o acesso amplo e irrestrito ao Supremo Tribunal Federal, e excepcionalmente acontecem restrições. Todavia, se o objetivo é construirmos um Supremo Tribunal de cunho eminentemente constitucional, conforme as autênticas Cortes Constitucionais de outros países, então, precisamos rever até que ponto, de fato, concretizar-se-ia o devido processo legal. Porém, conforme já alertamos, tal proposta merece maiores reflexões.</w:t>
      </w:r>
    </w:p>
    <w:p w:rsidR="00D549BC" w:rsidRDefault="00D549BC" w:rsidP="00BD0B5B">
      <w:pPr>
        <w:rPr>
          <w:rFonts w:ascii="Times New Roman" w:hAnsi="Times New Roman"/>
          <w:sz w:val="24"/>
        </w:rPr>
      </w:pPr>
      <w:r>
        <w:rPr>
          <w:rFonts w:ascii="Times New Roman" w:hAnsi="Times New Roman"/>
          <w:sz w:val="24"/>
        </w:rPr>
        <w:t xml:space="preserve"> A exigência de R</w:t>
      </w:r>
      <w:r w:rsidRPr="00C41A17">
        <w:rPr>
          <w:rFonts w:ascii="Times New Roman" w:hAnsi="Times New Roman"/>
          <w:sz w:val="24"/>
        </w:rPr>
        <w:t xml:space="preserve">epercussão </w:t>
      </w:r>
      <w:r>
        <w:rPr>
          <w:rFonts w:ascii="Times New Roman" w:hAnsi="Times New Roman"/>
          <w:sz w:val="24"/>
        </w:rPr>
        <w:t>Geral na Jurisdição Constitucional busca, segundo analisamos, a</w:t>
      </w:r>
      <w:r w:rsidRPr="00C41A17">
        <w:rPr>
          <w:rFonts w:ascii="Times New Roman" w:hAnsi="Times New Roman"/>
          <w:sz w:val="24"/>
        </w:rPr>
        <w:t xml:space="preserve"> racionalização de julgamento de demandas repetitivas,</w:t>
      </w:r>
      <w:r>
        <w:rPr>
          <w:rFonts w:ascii="Times New Roman" w:hAnsi="Times New Roman"/>
          <w:sz w:val="24"/>
        </w:rPr>
        <w:t xml:space="preserve"> por meio da possibilidade de sobrestamento (art. 543-B do CPC). Ademais, vimos, também, que a RG foi incorporada</w:t>
      </w:r>
      <w:r w:rsidRPr="00C41A17">
        <w:rPr>
          <w:rFonts w:ascii="Times New Roman" w:hAnsi="Times New Roman"/>
          <w:sz w:val="24"/>
        </w:rPr>
        <w:t xml:space="preserve"> ao ordenamento </w:t>
      </w:r>
      <w:r>
        <w:rPr>
          <w:rFonts w:ascii="Times New Roman" w:hAnsi="Times New Roman"/>
          <w:sz w:val="24"/>
        </w:rPr>
        <w:t xml:space="preserve">jurídico </w:t>
      </w:r>
      <w:r w:rsidRPr="00C41A17">
        <w:rPr>
          <w:rFonts w:ascii="Times New Roman" w:hAnsi="Times New Roman"/>
          <w:sz w:val="24"/>
        </w:rPr>
        <w:t xml:space="preserve">nacional como solução para </w:t>
      </w:r>
      <w:r>
        <w:rPr>
          <w:rFonts w:ascii="Times New Roman" w:hAnsi="Times New Roman"/>
          <w:sz w:val="24"/>
        </w:rPr>
        <w:t>enfrentar</w:t>
      </w:r>
      <w:r w:rsidRPr="00C41A17">
        <w:rPr>
          <w:rFonts w:ascii="Times New Roman" w:hAnsi="Times New Roman"/>
          <w:sz w:val="24"/>
        </w:rPr>
        <w:t xml:space="preserve"> o elevado acervo de processos em tramitação no país, especialmente de </w:t>
      </w:r>
      <w:r>
        <w:rPr>
          <w:rFonts w:ascii="Times New Roman" w:hAnsi="Times New Roman"/>
          <w:sz w:val="24"/>
        </w:rPr>
        <w:t>R</w:t>
      </w:r>
      <w:r w:rsidRPr="00C41A17">
        <w:rPr>
          <w:rFonts w:ascii="Times New Roman" w:hAnsi="Times New Roman"/>
          <w:sz w:val="24"/>
        </w:rPr>
        <w:t xml:space="preserve">ecursos </w:t>
      </w:r>
      <w:r>
        <w:rPr>
          <w:rFonts w:ascii="Times New Roman" w:hAnsi="Times New Roman"/>
          <w:sz w:val="24"/>
        </w:rPr>
        <w:t>E</w:t>
      </w:r>
      <w:r w:rsidRPr="00C41A17">
        <w:rPr>
          <w:rFonts w:ascii="Times New Roman" w:hAnsi="Times New Roman"/>
          <w:sz w:val="24"/>
        </w:rPr>
        <w:t>xtraordinários.</w:t>
      </w:r>
      <w:r>
        <w:rPr>
          <w:rFonts w:ascii="Times New Roman" w:hAnsi="Times New Roman"/>
          <w:sz w:val="24"/>
        </w:rPr>
        <w:t xml:space="preserve"> Acontece que, desde a sua efetivação, em 2007, pudemos observar certo desvirtuamento do instituto, principalmente por falhas do próprio STF no momento de sua aplicação nos Recursos Extraordinários e respectivos Agravos. </w:t>
      </w:r>
    </w:p>
    <w:p w:rsidR="00D549BC" w:rsidRDefault="00D549BC" w:rsidP="00DB1187">
      <w:pPr>
        <w:rPr>
          <w:rFonts w:ascii="Times New Roman" w:hAnsi="Times New Roman"/>
          <w:sz w:val="24"/>
        </w:rPr>
      </w:pPr>
      <w:r>
        <w:rPr>
          <w:rFonts w:ascii="Times New Roman" w:hAnsi="Times New Roman"/>
          <w:sz w:val="24"/>
        </w:rPr>
        <w:t xml:space="preserve">O desvirtuamento da Repercussão Geral decorreria, conforme apontamos no trabalho (seção 4.2.3), de dois fatores principais, a saber: (i) o excessivo número de Repercussões Gerais reconhecidas pelo Tribunal (mais do que poderia julgar); (ii) a consequente demora no julgamento de mérito desses casos, que tiveram a RG reconhecida. Isso, com certeza, gera inúmeras consequências, principalmente pelo fato de, nas instâncias de origem (Tribunais de Justiça, Tribunais Regionais Federais, STJ e TST), inúmeros recursos ficarem sobrestados, aguardando a decisão de mérito do recurso paradigma, que, em alguns casos, pode chegar a sete anos de espera. </w:t>
      </w:r>
    </w:p>
    <w:p w:rsidR="00D549BC" w:rsidRDefault="00D549BC" w:rsidP="00DB1187">
      <w:pPr>
        <w:rPr>
          <w:rFonts w:ascii="Times New Roman" w:hAnsi="Times New Roman"/>
          <w:sz w:val="24"/>
        </w:rPr>
      </w:pPr>
      <w:r>
        <w:rPr>
          <w:rFonts w:ascii="Times New Roman" w:hAnsi="Times New Roman"/>
          <w:sz w:val="24"/>
        </w:rPr>
        <w:t>Como forma de confirmar a suposta banalização da RG, é importante, então, trazermos à tona um julgado do STF do ano de 2013, no qual ficou assentado que o Plenário da Corte poderia não conhecer de Recurso Extraordinário por tratar-se de matéria de índole infraconstitucional, ainda que tenha reconhecido, anteriormente, a existência de Repercussão Geral por meio do Plenário Virtual.</w:t>
      </w:r>
      <w:r>
        <w:rPr>
          <w:rStyle w:val="FootnoteReference"/>
          <w:rFonts w:ascii="Times New Roman" w:hAnsi="Times New Roman"/>
          <w:sz w:val="24"/>
        </w:rPr>
        <w:footnoteReference w:id="270"/>
      </w:r>
      <w:r>
        <w:rPr>
          <w:rFonts w:ascii="Times New Roman" w:hAnsi="Times New Roman"/>
          <w:sz w:val="24"/>
        </w:rPr>
        <w:t xml:space="preserve"> Ou seja, na prática, seria uma forma indireta de retirada da Repercussão Geral anteriormente reconhecida, o que indicaria que a decisão que reconheceu a RG não precluiria, sendo passível, assim, de revisão pelo Pleno.</w:t>
      </w:r>
      <w:r>
        <w:rPr>
          <w:rStyle w:val="FootnoteReference"/>
          <w:rFonts w:ascii="Times New Roman" w:hAnsi="Times New Roman"/>
          <w:sz w:val="24"/>
        </w:rPr>
        <w:footnoteReference w:id="271"/>
      </w:r>
      <w:r>
        <w:rPr>
          <w:rFonts w:ascii="Times New Roman" w:hAnsi="Times New Roman"/>
          <w:sz w:val="24"/>
        </w:rPr>
        <w:t xml:space="preserve"> </w:t>
      </w:r>
    </w:p>
    <w:p w:rsidR="00D549BC" w:rsidRDefault="00D549BC" w:rsidP="00AF2304">
      <w:pPr>
        <w:rPr>
          <w:rFonts w:ascii="Times New Roman" w:hAnsi="Times New Roman"/>
          <w:sz w:val="24"/>
        </w:rPr>
      </w:pPr>
      <w:r>
        <w:rPr>
          <w:rFonts w:ascii="Times New Roman" w:hAnsi="Times New Roman"/>
          <w:sz w:val="24"/>
        </w:rPr>
        <w:t xml:space="preserve">Por outro lado, na mesma hipótese, foi aplicada a sistemática do art. 543-B do CPC </w:t>
      </w:r>
      <w:r w:rsidRPr="0082290C">
        <w:rPr>
          <w:rFonts w:ascii="Times New Roman" w:hAnsi="Times New Roman"/>
          <w:sz w:val="24"/>
        </w:rPr>
        <w:t xml:space="preserve">para tornar </w:t>
      </w:r>
      <w:r w:rsidRPr="00353BD3">
        <w:rPr>
          <w:rFonts w:ascii="Times New Roman" w:hAnsi="Times New Roman"/>
          <w:i/>
          <w:sz w:val="24"/>
        </w:rPr>
        <w:t>inadmitidos</w:t>
      </w:r>
      <w:r w:rsidRPr="0082290C">
        <w:rPr>
          <w:rFonts w:ascii="Times New Roman" w:hAnsi="Times New Roman"/>
          <w:sz w:val="24"/>
        </w:rPr>
        <w:t xml:space="preserve"> </w:t>
      </w:r>
      <w:r>
        <w:rPr>
          <w:rFonts w:ascii="Times New Roman" w:hAnsi="Times New Roman"/>
          <w:sz w:val="24"/>
        </w:rPr>
        <w:t>tod</w:t>
      </w:r>
      <w:r w:rsidRPr="0082290C">
        <w:rPr>
          <w:rFonts w:ascii="Times New Roman" w:hAnsi="Times New Roman"/>
          <w:sz w:val="24"/>
        </w:rPr>
        <w:t>os</w:t>
      </w:r>
      <w:r>
        <w:rPr>
          <w:rFonts w:ascii="Times New Roman" w:hAnsi="Times New Roman"/>
          <w:sz w:val="24"/>
        </w:rPr>
        <w:t xml:space="preserve"> os</w:t>
      </w:r>
      <w:r w:rsidRPr="0082290C">
        <w:rPr>
          <w:rFonts w:ascii="Times New Roman" w:hAnsi="Times New Roman"/>
          <w:sz w:val="24"/>
        </w:rPr>
        <w:t xml:space="preserve"> </w:t>
      </w:r>
      <w:r>
        <w:rPr>
          <w:rFonts w:ascii="Times New Roman" w:hAnsi="Times New Roman"/>
          <w:sz w:val="24"/>
        </w:rPr>
        <w:t>R</w:t>
      </w:r>
      <w:r w:rsidRPr="0082290C">
        <w:rPr>
          <w:rFonts w:ascii="Times New Roman" w:hAnsi="Times New Roman"/>
          <w:sz w:val="24"/>
        </w:rPr>
        <w:t xml:space="preserve">ecursos </w:t>
      </w:r>
      <w:r>
        <w:rPr>
          <w:rFonts w:ascii="Times New Roman" w:hAnsi="Times New Roman"/>
          <w:sz w:val="24"/>
        </w:rPr>
        <w:t>E</w:t>
      </w:r>
      <w:r w:rsidRPr="0082290C">
        <w:rPr>
          <w:rFonts w:ascii="Times New Roman" w:hAnsi="Times New Roman"/>
          <w:sz w:val="24"/>
        </w:rPr>
        <w:t>xtraordinários sobre o mesmo tema</w:t>
      </w:r>
      <w:r>
        <w:rPr>
          <w:rFonts w:ascii="Times New Roman" w:hAnsi="Times New Roman"/>
          <w:sz w:val="24"/>
        </w:rPr>
        <w:t>, o que nos leva a entender que houve o reconhecimento tácito da possibilidade de negativa de Repercussão Geral, ainda que pelo Plenário físico, visto que o § 2º do citado dispositivo dispõe que “n</w:t>
      </w:r>
      <w:r w:rsidRPr="00553FEF">
        <w:rPr>
          <w:rFonts w:ascii="Times New Roman" w:hAnsi="Times New Roman"/>
          <w:sz w:val="24"/>
        </w:rPr>
        <w:t xml:space="preserve">egada a existência de repercussão geral, os recursos sobrestados considerar-se-ão automaticamente </w:t>
      </w:r>
      <w:r w:rsidRPr="00353BD3">
        <w:rPr>
          <w:rFonts w:ascii="Times New Roman" w:hAnsi="Times New Roman"/>
          <w:i/>
          <w:sz w:val="24"/>
        </w:rPr>
        <w:t>não admitidos</w:t>
      </w:r>
      <w:r>
        <w:rPr>
          <w:rFonts w:ascii="Times New Roman" w:hAnsi="Times New Roman"/>
          <w:i/>
          <w:sz w:val="24"/>
        </w:rPr>
        <w:t>.</w:t>
      </w:r>
      <w:r>
        <w:rPr>
          <w:rFonts w:ascii="Times New Roman" w:hAnsi="Times New Roman"/>
          <w:sz w:val="24"/>
        </w:rPr>
        <w:t xml:space="preserve">” Dessa forma, outra conclusão não há de que o STF, </w:t>
      </w:r>
      <w:r w:rsidRPr="00F40533">
        <w:rPr>
          <w:rFonts w:ascii="Times New Roman" w:hAnsi="Times New Roman"/>
          <w:i/>
          <w:sz w:val="24"/>
        </w:rPr>
        <w:t>implicitamente</w:t>
      </w:r>
      <w:r w:rsidRPr="00F40533">
        <w:rPr>
          <w:rFonts w:ascii="Times New Roman" w:hAnsi="Times New Roman"/>
          <w:sz w:val="24"/>
        </w:rPr>
        <w:t>,</w:t>
      </w:r>
      <w:r>
        <w:rPr>
          <w:rFonts w:ascii="Times New Roman" w:hAnsi="Times New Roman"/>
          <w:sz w:val="24"/>
        </w:rPr>
        <w:t xml:space="preserve"> rejeitou, em decisão unânime, a RG no RE 607.607/RS, a qual fora reconhecida anteriormente.</w:t>
      </w:r>
    </w:p>
    <w:p w:rsidR="00D549BC" w:rsidRDefault="00D549BC" w:rsidP="00AF2304">
      <w:pPr>
        <w:rPr>
          <w:rFonts w:ascii="Times New Roman" w:hAnsi="Times New Roman"/>
          <w:sz w:val="24"/>
        </w:rPr>
      </w:pPr>
      <w:r>
        <w:rPr>
          <w:rFonts w:ascii="Times New Roman" w:hAnsi="Times New Roman"/>
          <w:sz w:val="24"/>
        </w:rPr>
        <w:t xml:space="preserve">No referido caso, a Repercussão Geral, Tema 347, só foi reconhecida </w:t>
      </w:r>
      <w:r w:rsidRPr="001558A8">
        <w:rPr>
          <w:rFonts w:ascii="Times New Roman" w:hAnsi="Times New Roman"/>
          <w:sz w:val="24"/>
        </w:rPr>
        <w:t xml:space="preserve">por ausência de manifestações suficientes para </w:t>
      </w:r>
      <w:r>
        <w:rPr>
          <w:rFonts w:ascii="Times New Roman" w:hAnsi="Times New Roman"/>
          <w:sz w:val="24"/>
        </w:rPr>
        <w:t>su</w:t>
      </w:r>
      <w:r w:rsidRPr="001558A8">
        <w:rPr>
          <w:rFonts w:ascii="Times New Roman" w:hAnsi="Times New Roman"/>
          <w:sz w:val="24"/>
        </w:rPr>
        <w:t xml:space="preserve">a recusa (art. 324, </w:t>
      </w:r>
      <w:r>
        <w:rPr>
          <w:rFonts w:ascii="Times New Roman" w:hAnsi="Times New Roman"/>
          <w:sz w:val="24"/>
        </w:rPr>
        <w:t>§ 1º do RISTF</w:t>
      </w:r>
      <w:r>
        <w:rPr>
          <w:rStyle w:val="FootnoteReference"/>
          <w:rFonts w:ascii="Times New Roman" w:hAnsi="Times New Roman"/>
          <w:sz w:val="24"/>
        </w:rPr>
        <w:footnoteReference w:id="272"/>
      </w:r>
      <w:r>
        <w:rPr>
          <w:rFonts w:ascii="Times New Roman" w:hAnsi="Times New Roman"/>
          <w:sz w:val="24"/>
        </w:rPr>
        <w:t>), o que evidencia, vez mais, a irrelevância da matéria levada ao Pleno</w:t>
      </w:r>
      <w:r w:rsidRPr="001558A8">
        <w:rPr>
          <w:rFonts w:ascii="Times New Roman" w:hAnsi="Times New Roman"/>
          <w:sz w:val="24"/>
        </w:rPr>
        <w:t>. Não se manifestaram</w:t>
      </w:r>
      <w:r>
        <w:rPr>
          <w:rFonts w:ascii="Times New Roman" w:hAnsi="Times New Roman"/>
          <w:sz w:val="24"/>
        </w:rPr>
        <w:t>, dentro do prazo regimental,</w:t>
      </w:r>
      <w:r w:rsidRPr="001558A8">
        <w:rPr>
          <w:rFonts w:ascii="Times New Roman" w:hAnsi="Times New Roman"/>
          <w:sz w:val="24"/>
        </w:rPr>
        <w:t xml:space="preserve"> os</w:t>
      </w:r>
      <w:r>
        <w:rPr>
          <w:rFonts w:ascii="Times New Roman" w:hAnsi="Times New Roman"/>
          <w:sz w:val="24"/>
        </w:rPr>
        <w:t xml:space="preserve"> seguintes</w:t>
      </w:r>
      <w:r w:rsidRPr="001558A8">
        <w:rPr>
          <w:rFonts w:ascii="Times New Roman" w:hAnsi="Times New Roman"/>
          <w:sz w:val="24"/>
        </w:rPr>
        <w:t xml:space="preserve"> Ministros</w:t>
      </w:r>
      <w:r>
        <w:rPr>
          <w:rFonts w:ascii="Times New Roman" w:hAnsi="Times New Roman"/>
          <w:sz w:val="24"/>
        </w:rPr>
        <w:t xml:space="preserve">: (i) </w:t>
      </w:r>
      <w:r w:rsidRPr="001558A8">
        <w:rPr>
          <w:rFonts w:ascii="Times New Roman" w:hAnsi="Times New Roman"/>
          <w:sz w:val="24"/>
        </w:rPr>
        <w:t xml:space="preserve">Cezar Peluso, </w:t>
      </w:r>
      <w:r>
        <w:rPr>
          <w:rFonts w:ascii="Times New Roman" w:hAnsi="Times New Roman"/>
          <w:sz w:val="24"/>
        </w:rPr>
        <w:t xml:space="preserve">(ii) </w:t>
      </w:r>
      <w:r w:rsidRPr="001558A8">
        <w:rPr>
          <w:rFonts w:ascii="Times New Roman" w:hAnsi="Times New Roman"/>
          <w:sz w:val="24"/>
        </w:rPr>
        <w:t xml:space="preserve">Celso de Mello, </w:t>
      </w:r>
      <w:r>
        <w:rPr>
          <w:rFonts w:ascii="Times New Roman" w:hAnsi="Times New Roman"/>
          <w:sz w:val="24"/>
        </w:rPr>
        <w:t xml:space="preserve">(iii) </w:t>
      </w:r>
      <w:r w:rsidRPr="001558A8">
        <w:rPr>
          <w:rFonts w:ascii="Times New Roman" w:hAnsi="Times New Roman"/>
          <w:sz w:val="24"/>
        </w:rPr>
        <w:t>Cármen Lúcia,</w:t>
      </w:r>
      <w:r>
        <w:rPr>
          <w:rFonts w:ascii="Times New Roman" w:hAnsi="Times New Roman"/>
          <w:sz w:val="24"/>
        </w:rPr>
        <w:t xml:space="preserve"> (iv)</w:t>
      </w:r>
      <w:r w:rsidRPr="001558A8">
        <w:rPr>
          <w:rFonts w:ascii="Times New Roman" w:hAnsi="Times New Roman"/>
          <w:sz w:val="24"/>
        </w:rPr>
        <w:t xml:space="preserve"> Ricardo Lewandowski,</w:t>
      </w:r>
      <w:r>
        <w:rPr>
          <w:rFonts w:ascii="Times New Roman" w:hAnsi="Times New Roman"/>
          <w:sz w:val="24"/>
        </w:rPr>
        <w:t xml:space="preserve"> (v)</w:t>
      </w:r>
      <w:r w:rsidRPr="001558A8">
        <w:rPr>
          <w:rFonts w:ascii="Times New Roman" w:hAnsi="Times New Roman"/>
          <w:sz w:val="24"/>
        </w:rPr>
        <w:t xml:space="preserve"> Joaquim Barbosa e </w:t>
      </w:r>
      <w:r>
        <w:rPr>
          <w:rFonts w:ascii="Times New Roman" w:hAnsi="Times New Roman"/>
          <w:sz w:val="24"/>
        </w:rPr>
        <w:t>(vi) Ellen Gracie.</w:t>
      </w:r>
      <w:r w:rsidRPr="001558A8">
        <w:rPr>
          <w:rFonts w:ascii="Times New Roman" w:hAnsi="Times New Roman"/>
          <w:sz w:val="24"/>
        </w:rPr>
        <w:t xml:space="preserve"> </w:t>
      </w:r>
      <w:r>
        <w:rPr>
          <w:rFonts w:ascii="Times New Roman" w:hAnsi="Times New Roman"/>
          <w:sz w:val="24"/>
        </w:rPr>
        <w:t>T</w:t>
      </w:r>
      <w:r w:rsidRPr="001558A8">
        <w:rPr>
          <w:rFonts w:ascii="Times New Roman" w:hAnsi="Times New Roman"/>
          <w:sz w:val="24"/>
        </w:rPr>
        <w:t xml:space="preserve">endo se manifestado pela recusa do </w:t>
      </w:r>
      <w:r>
        <w:rPr>
          <w:rFonts w:ascii="Times New Roman" w:hAnsi="Times New Roman"/>
          <w:sz w:val="24"/>
        </w:rPr>
        <w:t>R</w:t>
      </w:r>
      <w:r w:rsidRPr="001558A8">
        <w:rPr>
          <w:rFonts w:ascii="Times New Roman" w:hAnsi="Times New Roman"/>
          <w:sz w:val="24"/>
        </w:rPr>
        <w:t xml:space="preserve">ecurso </w:t>
      </w:r>
      <w:r>
        <w:rPr>
          <w:rFonts w:ascii="Times New Roman" w:hAnsi="Times New Roman"/>
          <w:sz w:val="24"/>
        </w:rPr>
        <w:t>E</w:t>
      </w:r>
      <w:r w:rsidRPr="001558A8">
        <w:rPr>
          <w:rFonts w:ascii="Times New Roman" w:hAnsi="Times New Roman"/>
          <w:sz w:val="24"/>
        </w:rPr>
        <w:t xml:space="preserve">xtraordinário os Ministros </w:t>
      </w:r>
      <w:r>
        <w:rPr>
          <w:rFonts w:ascii="Times New Roman" w:hAnsi="Times New Roman"/>
          <w:sz w:val="24"/>
        </w:rPr>
        <w:t xml:space="preserve">(i) </w:t>
      </w:r>
      <w:r w:rsidRPr="001558A8">
        <w:rPr>
          <w:rFonts w:ascii="Times New Roman" w:hAnsi="Times New Roman"/>
          <w:sz w:val="24"/>
        </w:rPr>
        <w:t xml:space="preserve">Dias Toffoli e </w:t>
      </w:r>
      <w:r>
        <w:rPr>
          <w:rFonts w:ascii="Times New Roman" w:hAnsi="Times New Roman"/>
          <w:sz w:val="24"/>
        </w:rPr>
        <w:t xml:space="preserve">(ii) </w:t>
      </w:r>
      <w:r w:rsidRPr="001558A8">
        <w:rPr>
          <w:rFonts w:ascii="Times New Roman" w:hAnsi="Times New Roman"/>
          <w:sz w:val="24"/>
        </w:rPr>
        <w:t>Gilmar Mendes</w:t>
      </w:r>
      <w:r>
        <w:rPr>
          <w:rFonts w:ascii="Times New Roman" w:hAnsi="Times New Roman"/>
          <w:sz w:val="24"/>
        </w:rPr>
        <w:t>,</w:t>
      </w:r>
      <w:r w:rsidRPr="001558A8">
        <w:rPr>
          <w:rFonts w:ascii="Times New Roman" w:hAnsi="Times New Roman"/>
          <w:sz w:val="24"/>
        </w:rPr>
        <w:t xml:space="preserve"> e pelo reconhecimento </w:t>
      </w:r>
      <w:r>
        <w:rPr>
          <w:rFonts w:ascii="Times New Roman" w:hAnsi="Times New Roman"/>
          <w:sz w:val="24"/>
        </w:rPr>
        <w:t>da Repercussão Geral da Questão C</w:t>
      </w:r>
      <w:r w:rsidRPr="001558A8">
        <w:rPr>
          <w:rFonts w:ascii="Times New Roman" w:hAnsi="Times New Roman"/>
          <w:sz w:val="24"/>
        </w:rPr>
        <w:t>onstitucional suscitada os Ministr</w:t>
      </w:r>
      <w:r>
        <w:rPr>
          <w:rFonts w:ascii="Times New Roman" w:hAnsi="Times New Roman"/>
          <w:sz w:val="24"/>
        </w:rPr>
        <w:t>os (i) Marco Aurélio,</w:t>
      </w:r>
      <w:r w:rsidRPr="00AA60B0">
        <w:rPr>
          <w:rFonts w:ascii="Times New Roman" w:hAnsi="Times New Roman"/>
          <w:sz w:val="24"/>
        </w:rPr>
        <w:t xml:space="preserve"> </w:t>
      </w:r>
      <w:r>
        <w:rPr>
          <w:rFonts w:ascii="Times New Roman" w:hAnsi="Times New Roman"/>
          <w:sz w:val="24"/>
        </w:rPr>
        <w:t xml:space="preserve">Relator, e (ii) Ayres Britto. </w:t>
      </w:r>
    </w:p>
    <w:p w:rsidR="00D549BC" w:rsidRDefault="00D549BC" w:rsidP="00797574">
      <w:pPr>
        <w:tabs>
          <w:tab w:val="left" w:pos="709"/>
        </w:tabs>
        <w:rPr>
          <w:rFonts w:ascii="Times New Roman" w:hAnsi="Times New Roman"/>
          <w:sz w:val="24"/>
        </w:rPr>
      </w:pPr>
      <w:r>
        <w:rPr>
          <w:rFonts w:ascii="Times New Roman" w:hAnsi="Times New Roman"/>
          <w:sz w:val="24"/>
        </w:rPr>
        <w:t>Na Sessão Plenária do dia 4 de setembro de 2014 (quinta-feira), o Ministro Roberto Barroso suscitou Questão de Ordem no RE 584.247/RR, que trata do Tema 538.</w:t>
      </w:r>
      <w:r>
        <w:rPr>
          <w:rStyle w:val="FootnoteReference"/>
          <w:rFonts w:ascii="Times New Roman" w:hAnsi="Times New Roman"/>
          <w:sz w:val="24"/>
        </w:rPr>
        <w:footnoteReference w:id="273"/>
      </w:r>
      <w:r>
        <w:rPr>
          <w:rFonts w:ascii="Times New Roman" w:hAnsi="Times New Roman"/>
          <w:sz w:val="24"/>
        </w:rPr>
        <w:t xml:space="preserve"> Foi ressaltado, pelo Ministro Barroso, que, na votação em Plenário Virtual do Tema 538, sete Ministros da Corte foram contrários ao reconhecimento da Repercussão Geral, todavia, </w:t>
      </w:r>
      <w:r w:rsidRPr="00F47A79">
        <w:rPr>
          <w:rFonts w:ascii="Times New Roman" w:hAnsi="Times New Roman"/>
          <w:sz w:val="24"/>
        </w:rPr>
        <w:t>por ausência de manifestações suficientes para a recusa do recurso, reputou</w:t>
      </w:r>
      <w:r>
        <w:rPr>
          <w:rFonts w:ascii="Times New Roman" w:hAnsi="Times New Roman"/>
          <w:sz w:val="24"/>
        </w:rPr>
        <w:t>-se</w:t>
      </w:r>
      <w:r w:rsidRPr="00F47A79">
        <w:rPr>
          <w:rFonts w:ascii="Times New Roman" w:hAnsi="Times New Roman"/>
          <w:sz w:val="24"/>
        </w:rPr>
        <w:t xml:space="preserve"> existente a </w:t>
      </w:r>
      <w:r>
        <w:rPr>
          <w:rFonts w:ascii="Times New Roman" w:hAnsi="Times New Roman"/>
          <w:sz w:val="24"/>
        </w:rPr>
        <w:t>R</w:t>
      </w:r>
      <w:r w:rsidRPr="00F47A79">
        <w:rPr>
          <w:rFonts w:ascii="Times New Roman" w:hAnsi="Times New Roman"/>
          <w:sz w:val="24"/>
        </w:rPr>
        <w:t xml:space="preserve">epercussão </w:t>
      </w:r>
      <w:r>
        <w:rPr>
          <w:rFonts w:ascii="Times New Roman" w:hAnsi="Times New Roman"/>
          <w:sz w:val="24"/>
        </w:rPr>
        <w:t>G</w:t>
      </w:r>
      <w:r w:rsidRPr="00F47A79">
        <w:rPr>
          <w:rFonts w:ascii="Times New Roman" w:hAnsi="Times New Roman"/>
          <w:sz w:val="24"/>
        </w:rPr>
        <w:t xml:space="preserve">eral da </w:t>
      </w:r>
      <w:r>
        <w:rPr>
          <w:rFonts w:ascii="Times New Roman" w:hAnsi="Times New Roman"/>
          <w:sz w:val="24"/>
        </w:rPr>
        <w:t>Q</w:t>
      </w:r>
      <w:r w:rsidRPr="00F47A79">
        <w:rPr>
          <w:rFonts w:ascii="Times New Roman" w:hAnsi="Times New Roman"/>
          <w:sz w:val="24"/>
        </w:rPr>
        <w:t xml:space="preserve">uestão </w:t>
      </w:r>
      <w:r>
        <w:rPr>
          <w:rFonts w:ascii="Times New Roman" w:hAnsi="Times New Roman"/>
          <w:sz w:val="24"/>
        </w:rPr>
        <w:t>C</w:t>
      </w:r>
      <w:r w:rsidRPr="00F47A79">
        <w:rPr>
          <w:rFonts w:ascii="Times New Roman" w:hAnsi="Times New Roman"/>
          <w:sz w:val="24"/>
        </w:rPr>
        <w:t>onstitucional suscitada</w:t>
      </w:r>
      <w:r>
        <w:rPr>
          <w:rFonts w:ascii="Times New Roman" w:hAnsi="Times New Roman"/>
          <w:sz w:val="24"/>
        </w:rPr>
        <w:t xml:space="preserve"> </w:t>
      </w:r>
      <w:r w:rsidRPr="00F47A79">
        <w:rPr>
          <w:rFonts w:ascii="Times New Roman" w:hAnsi="Times New Roman"/>
          <w:sz w:val="24"/>
        </w:rPr>
        <w:t xml:space="preserve">(art. 324, </w:t>
      </w:r>
      <w:r>
        <w:rPr>
          <w:rFonts w:ascii="Times New Roman" w:hAnsi="Times New Roman"/>
          <w:sz w:val="24"/>
        </w:rPr>
        <w:t>§ 1º</w:t>
      </w:r>
      <w:r w:rsidRPr="00F47A79">
        <w:rPr>
          <w:rFonts w:ascii="Times New Roman" w:hAnsi="Times New Roman"/>
          <w:sz w:val="24"/>
        </w:rPr>
        <w:t xml:space="preserve"> do RISTF)</w:t>
      </w:r>
      <w:r>
        <w:rPr>
          <w:rFonts w:ascii="Times New Roman" w:hAnsi="Times New Roman"/>
          <w:sz w:val="24"/>
        </w:rPr>
        <w:t xml:space="preserve">. </w:t>
      </w:r>
    </w:p>
    <w:p w:rsidR="00D549BC" w:rsidRDefault="00D549BC" w:rsidP="00797574">
      <w:pPr>
        <w:tabs>
          <w:tab w:val="left" w:pos="709"/>
        </w:tabs>
        <w:rPr>
          <w:rFonts w:ascii="Times New Roman" w:hAnsi="Times New Roman"/>
          <w:sz w:val="24"/>
        </w:rPr>
      </w:pPr>
      <w:r>
        <w:rPr>
          <w:rFonts w:ascii="Times New Roman" w:hAnsi="Times New Roman"/>
          <w:sz w:val="24"/>
        </w:rPr>
        <w:t>A Questão de Ordem suscitada diz respeito, justamente, à possibilidade de retirada de Repercussão Geral por ausência de votos suficientes para a rejeição, já que no caso em questão foram sete votos contrários, d</w:t>
      </w:r>
      <w:r w:rsidRPr="00766706">
        <w:rPr>
          <w:rFonts w:ascii="Times New Roman" w:hAnsi="Times New Roman"/>
          <w:sz w:val="24"/>
        </w:rPr>
        <w:t>os Ministros</w:t>
      </w:r>
      <w:r>
        <w:rPr>
          <w:rFonts w:ascii="Times New Roman" w:hAnsi="Times New Roman"/>
          <w:sz w:val="24"/>
        </w:rPr>
        <w:t>:</w:t>
      </w:r>
      <w:r w:rsidRPr="00766706">
        <w:rPr>
          <w:rFonts w:ascii="Times New Roman" w:hAnsi="Times New Roman"/>
          <w:sz w:val="24"/>
        </w:rPr>
        <w:t xml:space="preserve"> </w:t>
      </w:r>
      <w:r>
        <w:rPr>
          <w:rFonts w:ascii="Times New Roman" w:hAnsi="Times New Roman"/>
          <w:sz w:val="24"/>
        </w:rPr>
        <w:t xml:space="preserve">(i) </w:t>
      </w:r>
      <w:r w:rsidRPr="00766706">
        <w:rPr>
          <w:rFonts w:ascii="Times New Roman" w:hAnsi="Times New Roman"/>
          <w:sz w:val="24"/>
        </w:rPr>
        <w:t xml:space="preserve">Ricardo Lewandowski, </w:t>
      </w:r>
      <w:r>
        <w:rPr>
          <w:rFonts w:ascii="Times New Roman" w:hAnsi="Times New Roman"/>
          <w:sz w:val="24"/>
        </w:rPr>
        <w:t xml:space="preserve">(ii) </w:t>
      </w:r>
      <w:r w:rsidRPr="00766706">
        <w:rPr>
          <w:rFonts w:ascii="Times New Roman" w:hAnsi="Times New Roman"/>
          <w:sz w:val="24"/>
        </w:rPr>
        <w:t xml:space="preserve">Luiz Fux, </w:t>
      </w:r>
      <w:r>
        <w:rPr>
          <w:rFonts w:ascii="Times New Roman" w:hAnsi="Times New Roman"/>
          <w:sz w:val="24"/>
        </w:rPr>
        <w:t xml:space="preserve">(iii) </w:t>
      </w:r>
      <w:r w:rsidRPr="00766706">
        <w:rPr>
          <w:rFonts w:ascii="Times New Roman" w:hAnsi="Times New Roman"/>
          <w:sz w:val="24"/>
        </w:rPr>
        <w:t>Marco Aurélio,</w:t>
      </w:r>
      <w:r>
        <w:rPr>
          <w:rFonts w:ascii="Times New Roman" w:hAnsi="Times New Roman"/>
          <w:sz w:val="24"/>
        </w:rPr>
        <w:t xml:space="preserve"> (iv) </w:t>
      </w:r>
      <w:r w:rsidRPr="00766706">
        <w:rPr>
          <w:rFonts w:ascii="Times New Roman" w:hAnsi="Times New Roman"/>
          <w:sz w:val="24"/>
        </w:rPr>
        <w:t xml:space="preserve">Dias Toffoli, </w:t>
      </w:r>
      <w:r>
        <w:rPr>
          <w:rFonts w:ascii="Times New Roman" w:hAnsi="Times New Roman"/>
          <w:sz w:val="24"/>
        </w:rPr>
        <w:t xml:space="preserve">(v) </w:t>
      </w:r>
      <w:r w:rsidRPr="00766706">
        <w:rPr>
          <w:rFonts w:ascii="Times New Roman" w:hAnsi="Times New Roman"/>
          <w:sz w:val="24"/>
        </w:rPr>
        <w:t xml:space="preserve">Celso de Mello, </w:t>
      </w:r>
      <w:r>
        <w:rPr>
          <w:rFonts w:ascii="Times New Roman" w:hAnsi="Times New Roman"/>
          <w:sz w:val="24"/>
        </w:rPr>
        <w:t xml:space="preserve">(vi) </w:t>
      </w:r>
      <w:r w:rsidRPr="00766706">
        <w:rPr>
          <w:rFonts w:ascii="Times New Roman" w:hAnsi="Times New Roman"/>
          <w:sz w:val="24"/>
        </w:rPr>
        <w:t xml:space="preserve">Rosa Weber e </w:t>
      </w:r>
      <w:r>
        <w:rPr>
          <w:rFonts w:ascii="Times New Roman" w:hAnsi="Times New Roman"/>
          <w:sz w:val="24"/>
        </w:rPr>
        <w:t xml:space="preserve">(vi) Gilmar Mendes. </w:t>
      </w:r>
    </w:p>
    <w:p w:rsidR="00D549BC" w:rsidRDefault="00D549BC" w:rsidP="000E3214">
      <w:pPr>
        <w:rPr>
          <w:rFonts w:ascii="Times New Roman" w:hAnsi="Times New Roman"/>
          <w:sz w:val="24"/>
        </w:rPr>
      </w:pPr>
      <w:r>
        <w:rPr>
          <w:rFonts w:ascii="Times New Roman" w:hAnsi="Times New Roman"/>
          <w:sz w:val="24"/>
        </w:rPr>
        <w:t xml:space="preserve">O Ministro Barroso invocou, a seu favor, o entendimento firmado no bojo dos Embargos Declaratório no RE 607.607/RS, pois, em sua percepção, naquele caso, a Corte entendeu pela retirada da Repercussão Geral, ainda que o fundamento tenha sido diverso, qual seja, a questão ensejava interpretação da legislação infraconstitucional e local, ou seja, ausência de questão constitucional. Portanto, o raciocínio do Ministro Barroso é correto, pois, conforme afirmamos acima, o STF, no julgamento dos ED no RE 607.607/RS, aplicou um dispositivo processual civil (art. 543, § 2º), que é exclusivo para negativa da Repercussão Geral. </w:t>
      </w:r>
    </w:p>
    <w:p w:rsidR="00D549BC" w:rsidRDefault="00D549BC" w:rsidP="000E3214">
      <w:pPr>
        <w:rPr>
          <w:rFonts w:ascii="Times New Roman" w:hAnsi="Times New Roman"/>
          <w:sz w:val="24"/>
        </w:rPr>
      </w:pPr>
      <w:r>
        <w:rPr>
          <w:rFonts w:ascii="Times New Roman" w:hAnsi="Times New Roman"/>
          <w:sz w:val="24"/>
        </w:rPr>
        <w:t xml:space="preserve">Por conseguinte, o Ministro Roberto Barroso sugeriu que somados os sete votos contrários do Plenário Virtual ao seu, também pela ausência de Repercussão Geral, porém proferido em Plenário físico, permaneceria configurado o </w:t>
      </w:r>
      <w:r w:rsidRPr="00766706">
        <w:rPr>
          <w:rFonts w:ascii="Times New Roman" w:hAnsi="Times New Roman"/>
          <w:i/>
          <w:sz w:val="24"/>
        </w:rPr>
        <w:t>quorum</w:t>
      </w:r>
      <w:r>
        <w:rPr>
          <w:rFonts w:ascii="Times New Roman" w:hAnsi="Times New Roman"/>
          <w:sz w:val="24"/>
        </w:rPr>
        <w:t xml:space="preserve"> exigido para a rejeição da RG, qual seja, oitos votos. </w:t>
      </w:r>
    </w:p>
    <w:p w:rsidR="00D549BC" w:rsidRDefault="00D549BC" w:rsidP="000E3214">
      <w:pPr>
        <w:rPr>
          <w:rFonts w:ascii="Times New Roman" w:hAnsi="Times New Roman"/>
          <w:sz w:val="24"/>
        </w:rPr>
      </w:pPr>
      <w:r>
        <w:rPr>
          <w:rFonts w:ascii="Times New Roman" w:hAnsi="Times New Roman"/>
          <w:sz w:val="24"/>
        </w:rPr>
        <w:t>Todavia, a proposta enfrentou resistência por parte dos Ministros Marco Aurélio e Gilmar Mendes, os quais se manifestaram pela impossibilidade de retirada da Repercussão Geral que já foi reconhecida no Plenário Virtual, ao argumento da segurança jurídica, ou seja, o Supremo não poderia surpresar a parte com uma nova decisão.</w:t>
      </w:r>
    </w:p>
    <w:p w:rsidR="00D549BC" w:rsidRDefault="00D549BC" w:rsidP="000E3214">
      <w:pPr>
        <w:rPr>
          <w:rFonts w:ascii="Times New Roman" w:hAnsi="Times New Roman"/>
          <w:sz w:val="24"/>
        </w:rPr>
      </w:pPr>
      <w:r>
        <w:rPr>
          <w:rFonts w:ascii="Times New Roman" w:hAnsi="Times New Roman"/>
          <w:sz w:val="24"/>
        </w:rPr>
        <w:t xml:space="preserve">O RE 584.247/RR acabou sendo retirado da pauta, pois o Presidente Ricardo Lewandowski entendeu que não havia </w:t>
      </w:r>
      <w:r w:rsidRPr="008C7F75">
        <w:rPr>
          <w:rFonts w:ascii="Times New Roman" w:hAnsi="Times New Roman"/>
          <w:i/>
          <w:sz w:val="24"/>
        </w:rPr>
        <w:t>quorum</w:t>
      </w:r>
      <w:r>
        <w:rPr>
          <w:rFonts w:ascii="Times New Roman" w:hAnsi="Times New Roman"/>
          <w:sz w:val="24"/>
        </w:rPr>
        <w:t xml:space="preserve"> suficiente para que fosse realizada nova votação acerca da retirada da RG do Tema 538. Até o presente, não há decisão sobre a Questão de Ordem levantada no referido caso.</w:t>
      </w:r>
    </w:p>
    <w:p w:rsidR="00D549BC" w:rsidRDefault="00D549BC" w:rsidP="000E3214">
      <w:pPr>
        <w:rPr>
          <w:rFonts w:ascii="Times New Roman" w:hAnsi="Times New Roman"/>
          <w:sz w:val="24"/>
        </w:rPr>
      </w:pPr>
      <w:r>
        <w:rPr>
          <w:rFonts w:ascii="Times New Roman" w:hAnsi="Times New Roman"/>
          <w:sz w:val="24"/>
        </w:rPr>
        <w:t>Comungamos, aqui, com a possibilidade de retirada de Repercussão Geral, no seu julgamento em Plenário, desde que atendidos alguns pressupostos: (i) a maioria dos votos no Plenário Virtual tenha sido pelo não reconhecimento da preliminar, ou seja, somente houve a RG por ausência votos suficientes para rejeição; (ii) no Plenário, caberia ao Relator, suscitar a Questão de Ordem para retirada da RG; por fim, (iii) em decorrência da QO, o Pleno deveria realizar nova votação acerca da Repercussão Geral, sendo desconsiderados os votos proferidos no Plenário Virtual. Em suma, defendemos que a decisão do Plenário Virtual não precluiria após proferido o resultado de reconhecimento de Repercussão Geral.</w:t>
      </w:r>
    </w:p>
    <w:p w:rsidR="00D549BC" w:rsidRDefault="00D549BC" w:rsidP="000E3214">
      <w:pPr>
        <w:rPr>
          <w:rFonts w:ascii="Times New Roman" w:hAnsi="Times New Roman"/>
          <w:sz w:val="24"/>
        </w:rPr>
      </w:pPr>
      <w:r>
        <w:rPr>
          <w:rFonts w:ascii="Times New Roman" w:hAnsi="Times New Roman"/>
          <w:sz w:val="24"/>
        </w:rPr>
        <w:t>O Supremo Tribunal Federal precisa ter uma percepção mais crítica acerca do acúmulo de processos que atravancam a pauta do Plenário. Muitas vezes, tratam-se de casos irrelevantes, cuja Repercussão Geral foi reconhecida tacitamente, em especial quando a Corte ainda não estava acostumada com o novo instituto no início de sua vigência.</w:t>
      </w:r>
    </w:p>
    <w:p w:rsidR="00D549BC" w:rsidRDefault="00D549BC" w:rsidP="000E3214">
      <w:pPr>
        <w:rPr>
          <w:rFonts w:ascii="Times New Roman" w:hAnsi="Times New Roman"/>
          <w:sz w:val="24"/>
        </w:rPr>
      </w:pPr>
      <w:r>
        <w:rPr>
          <w:rFonts w:ascii="Times New Roman" w:hAnsi="Times New Roman"/>
          <w:sz w:val="24"/>
        </w:rPr>
        <w:t xml:space="preserve">Em outro giro, não podemos deixar de registrar, aqui, nossa preocupação com o instituto da Repercussão Geral, tendo em vista o advento do </w:t>
      </w:r>
      <w:r w:rsidRPr="00D92D1E">
        <w:rPr>
          <w:rFonts w:ascii="Times New Roman" w:hAnsi="Times New Roman"/>
          <w:i/>
          <w:sz w:val="24"/>
        </w:rPr>
        <w:t>novel</w:t>
      </w:r>
      <w:r>
        <w:rPr>
          <w:rFonts w:ascii="Times New Roman" w:hAnsi="Times New Roman"/>
          <w:sz w:val="24"/>
        </w:rPr>
        <w:t xml:space="preserve"> Código de Processo Civil, que entrará em vigor em 16 de março de 2016. Este </w:t>
      </w:r>
      <w:r w:rsidRPr="006D684D">
        <w:rPr>
          <w:rFonts w:ascii="Times New Roman" w:hAnsi="Times New Roman"/>
          <w:sz w:val="24"/>
        </w:rPr>
        <w:t xml:space="preserve">modifica, de forma substancial, a sistemática da </w:t>
      </w:r>
      <w:r>
        <w:rPr>
          <w:rFonts w:ascii="Times New Roman" w:hAnsi="Times New Roman"/>
          <w:sz w:val="24"/>
        </w:rPr>
        <w:t>R</w:t>
      </w:r>
      <w:r w:rsidRPr="006D684D">
        <w:rPr>
          <w:rFonts w:ascii="Times New Roman" w:hAnsi="Times New Roman"/>
          <w:sz w:val="24"/>
        </w:rPr>
        <w:t xml:space="preserve">epercussão </w:t>
      </w:r>
      <w:r>
        <w:rPr>
          <w:rFonts w:ascii="Times New Roman" w:hAnsi="Times New Roman"/>
          <w:sz w:val="24"/>
        </w:rPr>
        <w:t>G</w:t>
      </w:r>
      <w:r w:rsidRPr="006D684D">
        <w:rPr>
          <w:rFonts w:ascii="Times New Roman" w:hAnsi="Times New Roman"/>
          <w:sz w:val="24"/>
        </w:rPr>
        <w:t xml:space="preserve">eral e impõe novos desafios ao Supremo Tribunal Federal </w:t>
      </w:r>
      <w:r>
        <w:rPr>
          <w:rFonts w:ascii="Times New Roman" w:hAnsi="Times New Roman"/>
          <w:sz w:val="24"/>
        </w:rPr>
        <w:t>como</w:t>
      </w:r>
      <w:r w:rsidRPr="006D684D">
        <w:rPr>
          <w:rFonts w:ascii="Times New Roman" w:hAnsi="Times New Roman"/>
          <w:sz w:val="24"/>
        </w:rPr>
        <w:t xml:space="preserve"> principal gestor do instituto</w:t>
      </w:r>
      <w:r>
        <w:rPr>
          <w:rFonts w:ascii="Times New Roman" w:hAnsi="Times New Roman"/>
          <w:sz w:val="24"/>
        </w:rPr>
        <w:t xml:space="preserve">. </w:t>
      </w:r>
      <w:r w:rsidRPr="006D684D">
        <w:rPr>
          <w:rFonts w:ascii="Times New Roman" w:hAnsi="Times New Roman"/>
          <w:sz w:val="24"/>
        </w:rPr>
        <w:t>Há pelo menos quatro grandes transformações</w:t>
      </w:r>
      <w:r>
        <w:rPr>
          <w:rFonts w:ascii="Times New Roman" w:hAnsi="Times New Roman"/>
          <w:sz w:val="24"/>
        </w:rPr>
        <w:t>,</w:t>
      </w:r>
      <w:r w:rsidRPr="006D684D">
        <w:rPr>
          <w:rFonts w:ascii="Times New Roman" w:hAnsi="Times New Roman"/>
          <w:sz w:val="24"/>
        </w:rPr>
        <w:t xml:space="preserve"> que decorrem da </w:t>
      </w:r>
      <w:r w:rsidRPr="006D684D">
        <w:rPr>
          <w:rFonts w:ascii="Times New Roman" w:hAnsi="Times New Roman"/>
          <w:i/>
          <w:sz w:val="24"/>
        </w:rPr>
        <w:t>novel</w:t>
      </w:r>
      <w:r w:rsidRPr="006D684D">
        <w:rPr>
          <w:rFonts w:ascii="Times New Roman" w:hAnsi="Times New Roman"/>
          <w:sz w:val="24"/>
        </w:rPr>
        <w:t xml:space="preserve"> regulamentação prevista no artigo 1.029 e seguintes do </w:t>
      </w:r>
      <w:r>
        <w:rPr>
          <w:rFonts w:ascii="Times New Roman" w:hAnsi="Times New Roman"/>
          <w:sz w:val="24"/>
        </w:rPr>
        <w:t>N</w:t>
      </w:r>
      <w:r w:rsidRPr="006D684D">
        <w:rPr>
          <w:rFonts w:ascii="Times New Roman" w:hAnsi="Times New Roman"/>
          <w:sz w:val="24"/>
        </w:rPr>
        <w:t xml:space="preserve">CPC, todas com escopo de aperfeiçoar a racionalização do julgamento de demandas repetitivas: </w:t>
      </w:r>
      <w:r>
        <w:rPr>
          <w:rFonts w:ascii="Times New Roman" w:hAnsi="Times New Roman"/>
          <w:sz w:val="24"/>
        </w:rPr>
        <w:t>(i)</w:t>
      </w:r>
      <w:r w:rsidRPr="006D684D">
        <w:rPr>
          <w:rFonts w:ascii="Times New Roman" w:hAnsi="Times New Roman"/>
          <w:sz w:val="24"/>
        </w:rPr>
        <w:t xml:space="preserve"> cabimento de impugnação contra as decisões das instâncias de origem que aplicam a sistemática da </w:t>
      </w:r>
      <w:r>
        <w:rPr>
          <w:rFonts w:ascii="Times New Roman" w:hAnsi="Times New Roman"/>
          <w:sz w:val="24"/>
        </w:rPr>
        <w:t>R</w:t>
      </w:r>
      <w:r w:rsidRPr="006D684D">
        <w:rPr>
          <w:rFonts w:ascii="Times New Roman" w:hAnsi="Times New Roman"/>
          <w:sz w:val="24"/>
        </w:rPr>
        <w:t xml:space="preserve">epercussão </w:t>
      </w:r>
      <w:r>
        <w:rPr>
          <w:rFonts w:ascii="Times New Roman" w:hAnsi="Times New Roman"/>
          <w:sz w:val="24"/>
        </w:rPr>
        <w:t>G</w:t>
      </w:r>
      <w:r w:rsidRPr="006D684D">
        <w:rPr>
          <w:rFonts w:ascii="Times New Roman" w:hAnsi="Times New Roman"/>
          <w:sz w:val="24"/>
        </w:rPr>
        <w:t xml:space="preserve">eral; </w:t>
      </w:r>
      <w:r>
        <w:rPr>
          <w:rFonts w:ascii="Times New Roman" w:hAnsi="Times New Roman"/>
          <w:sz w:val="24"/>
        </w:rPr>
        <w:t>(ii)</w:t>
      </w:r>
      <w:r w:rsidRPr="006D684D">
        <w:rPr>
          <w:rFonts w:ascii="Times New Roman" w:hAnsi="Times New Roman"/>
          <w:sz w:val="24"/>
        </w:rPr>
        <w:t xml:space="preserve"> fim do duplo juízo de admissibilidade d</w:t>
      </w:r>
      <w:r>
        <w:rPr>
          <w:rFonts w:ascii="Times New Roman" w:hAnsi="Times New Roman"/>
          <w:sz w:val="24"/>
        </w:rPr>
        <w:t>o R</w:t>
      </w:r>
      <w:r w:rsidRPr="006D684D">
        <w:rPr>
          <w:rFonts w:ascii="Times New Roman" w:hAnsi="Times New Roman"/>
          <w:sz w:val="24"/>
        </w:rPr>
        <w:t xml:space="preserve">ecurso </w:t>
      </w:r>
      <w:r>
        <w:rPr>
          <w:rFonts w:ascii="Times New Roman" w:hAnsi="Times New Roman"/>
          <w:sz w:val="24"/>
        </w:rPr>
        <w:t>E</w:t>
      </w:r>
      <w:r w:rsidRPr="006D684D">
        <w:rPr>
          <w:rFonts w:ascii="Times New Roman" w:hAnsi="Times New Roman"/>
          <w:sz w:val="24"/>
        </w:rPr>
        <w:t xml:space="preserve">xtraordinário; </w:t>
      </w:r>
      <w:r>
        <w:rPr>
          <w:rFonts w:ascii="Times New Roman" w:hAnsi="Times New Roman"/>
          <w:sz w:val="24"/>
        </w:rPr>
        <w:t>(iii)</w:t>
      </w:r>
      <w:r w:rsidRPr="006D684D">
        <w:rPr>
          <w:rFonts w:ascii="Times New Roman" w:hAnsi="Times New Roman"/>
          <w:sz w:val="24"/>
        </w:rPr>
        <w:t xml:space="preserve"> estabelecimento de prazo para que o STF julgue os processos-p</w:t>
      </w:r>
      <w:r>
        <w:rPr>
          <w:rFonts w:ascii="Times New Roman" w:hAnsi="Times New Roman"/>
          <w:sz w:val="24"/>
        </w:rPr>
        <w:t xml:space="preserve">aradigmas da Repercussão Geral; (iv) </w:t>
      </w:r>
      <w:r w:rsidRPr="006D684D">
        <w:rPr>
          <w:rFonts w:ascii="Times New Roman" w:hAnsi="Times New Roman"/>
          <w:sz w:val="24"/>
        </w:rPr>
        <w:t>possibilidade de desconsideração de vício formal de recurso tempestivo.</w:t>
      </w:r>
    </w:p>
    <w:p w:rsidR="00D549BC" w:rsidRDefault="00D549BC" w:rsidP="001E188E">
      <w:pPr>
        <w:rPr>
          <w:rFonts w:ascii="Times New Roman" w:hAnsi="Times New Roman"/>
          <w:sz w:val="24"/>
        </w:rPr>
      </w:pPr>
      <w:r>
        <w:rPr>
          <w:rFonts w:ascii="Times New Roman" w:hAnsi="Times New Roman"/>
          <w:sz w:val="24"/>
        </w:rPr>
        <w:t xml:space="preserve">Acontece que algumas dessas inovações legislativas são bastante questionáveis. Enfrentemos, doravante, algumas delas, sem, no entanto, aprofundarmo-nos, até porque, as reais consequências somente poderão ser objeto de pesquisa e análise crítica quando o NCPC entrar em vigor em março de 2016. </w:t>
      </w:r>
    </w:p>
    <w:p w:rsidR="00D549BC" w:rsidRDefault="00D549BC" w:rsidP="001E188E">
      <w:pPr>
        <w:rPr>
          <w:rFonts w:ascii="Times New Roman" w:hAnsi="Times New Roman"/>
          <w:sz w:val="24"/>
        </w:rPr>
      </w:pPr>
      <w:r w:rsidRPr="006D684D">
        <w:rPr>
          <w:rFonts w:ascii="Times New Roman" w:hAnsi="Times New Roman"/>
          <w:sz w:val="24"/>
        </w:rPr>
        <w:t>No que diz respeito às impugnações contra decisões das instâncias de orige</w:t>
      </w:r>
      <w:r>
        <w:rPr>
          <w:rFonts w:ascii="Times New Roman" w:hAnsi="Times New Roman"/>
          <w:sz w:val="24"/>
        </w:rPr>
        <w:t>m que aplicam a sistemática da R</w:t>
      </w:r>
      <w:r w:rsidRPr="006D684D">
        <w:rPr>
          <w:rFonts w:ascii="Times New Roman" w:hAnsi="Times New Roman"/>
          <w:sz w:val="24"/>
        </w:rPr>
        <w:t xml:space="preserve">epercussão </w:t>
      </w:r>
      <w:r>
        <w:rPr>
          <w:rFonts w:ascii="Times New Roman" w:hAnsi="Times New Roman"/>
          <w:sz w:val="24"/>
        </w:rPr>
        <w:t>G</w:t>
      </w:r>
      <w:r w:rsidRPr="006D684D">
        <w:rPr>
          <w:rFonts w:ascii="Times New Roman" w:hAnsi="Times New Roman"/>
          <w:sz w:val="24"/>
        </w:rPr>
        <w:t xml:space="preserve">eral, o Supremo Tribunal Federal decidiu, em 2009, não caber </w:t>
      </w:r>
      <w:r>
        <w:rPr>
          <w:rFonts w:ascii="Times New Roman" w:hAnsi="Times New Roman"/>
          <w:sz w:val="24"/>
        </w:rPr>
        <w:t>A</w:t>
      </w:r>
      <w:r w:rsidRPr="006D684D">
        <w:rPr>
          <w:rFonts w:ascii="Times New Roman" w:hAnsi="Times New Roman"/>
          <w:sz w:val="24"/>
        </w:rPr>
        <w:t xml:space="preserve">gravo de </w:t>
      </w:r>
      <w:r>
        <w:rPr>
          <w:rFonts w:ascii="Times New Roman" w:hAnsi="Times New Roman"/>
          <w:sz w:val="24"/>
        </w:rPr>
        <w:t>I</w:t>
      </w:r>
      <w:r w:rsidRPr="006D684D">
        <w:rPr>
          <w:rFonts w:ascii="Times New Roman" w:hAnsi="Times New Roman"/>
          <w:sz w:val="24"/>
        </w:rPr>
        <w:t>nstrumento</w:t>
      </w:r>
      <w:r>
        <w:rPr>
          <w:rFonts w:ascii="Times New Roman" w:hAnsi="Times New Roman"/>
          <w:sz w:val="24"/>
        </w:rPr>
        <w:t>, nem Reclamação.</w:t>
      </w:r>
      <w:r>
        <w:rPr>
          <w:rStyle w:val="FootnoteReference"/>
          <w:rFonts w:ascii="Times New Roman" w:hAnsi="Times New Roman"/>
          <w:sz w:val="24"/>
        </w:rPr>
        <w:footnoteReference w:id="274"/>
      </w:r>
      <w:r>
        <w:rPr>
          <w:rFonts w:ascii="Times New Roman" w:hAnsi="Times New Roman"/>
          <w:sz w:val="24"/>
        </w:rPr>
        <w:t xml:space="preserve"> </w:t>
      </w:r>
      <w:r w:rsidRPr="004B776C">
        <w:rPr>
          <w:rFonts w:ascii="Times New Roman" w:hAnsi="Times New Roman"/>
          <w:sz w:val="24"/>
        </w:rPr>
        <w:t>Partiu-se do pressuposto de que admitir esses meios impugnativos significaria confrontar a lógica do sistema e restabelecer o modelo de análise casuística</w:t>
      </w:r>
      <w:r>
        <w:rPr>
          <w:rFonts w:ascii="Times New Roman" w:hAnsi="Times New Roman"/>
          <w:sz w:val="24"/>
        </w:rPr>
        <w:t>, que gera uma pletora de processos e decisões monocráticas</w:t>
      </w:r>
      <w:r w:rsidRPr="004B776C">
        <w:rPr>
          <w:rFonts w:ascii="Times New Roman" w:hAnsi="Times New Roman"/>
          <w:sz w:val="24"/>
        </w:rPr>
        <w:t>.</w:t>
      </w:r>
      <w:r>
        <w:rPr>
          <w:rFonts w:ascii="Times New Roman" w:hAnsi="Times New Roman"/>
          <w:sz w:val="24"/>
        </w:rPr>
        <w:t xml:space="preserve"> Todavia</w:t>
      </w:r>
      <w:r w:rsidRPr="004B776C">
        <w:rPr>
          <w:rFonts w:ascii="Times New Roman" w:hAnsi="Times New Roman"/>
          <w:sz w:val="24"/>
        </w:rPr>
        <w:t>, essas louváveis orientaçõe</w:t>
      </w:r>
      <w:r>
        <w:rPr>
          <w:rFonts w:ascii="Times New Roman" w:hAnsi="Times New Roman"/>
          <w:sz w:val="24"/>
        </w:rPr>
        <w:t>s, que permitiram, em parte, o sucesso da R</w:t>
      </w:r>
      <w:r w:rsidRPr="004B776C">
        <w:rPr>
          <w:rFonts w:ascii="Times New Roman" w:hAnsi="Times New Roman"/>
          <w:sz w:val="24"/>
        </w:rPr>
        <w:t xml:space="preserve">epercussão </w:t>
      </w:r>
      <w:r>
        <w:rPr>
          <w:rFonts w:ascii="Times New Roman" w:hAnsi="Times New Roman"/>
          <w:sz w:val="24"/>
        </w:rPr>
        <w:t>G</w:t>
      </w:r>
      <w:r w:rsidRPr="004B776C">
        <w:rPr>
          <w:rFonts w:ascii="Times New Roman" w:hAnsi="Times New Roman"/>
          <w:sz w:val="24"/>
        </w:rPr>
        <w:t xml:space="preserve">eral em sua primeira fase, são agora postas em xeque pelo </w:t>
      </w:r>
      <w:r>
        <w:rPr>
          <w:rFonts w:ascii="Times New Roman" w:hAnsi="Times New Roman"/>
          <w:sz w:val="24"/>
        </w:rPr>
        <w:t>N</w:t>
      </w:r>
      <w:r w:rsidRPr="004B776C">
        <w:rPr>
          <w:rFonts w:ascii="Times New Roman" w:hAnsi="Times New Roman"/>
          <w:sz w:val="24"/>
        </w:rPr>
        <w:t xml:space="preserve">CPC, </w:t>
      </w:r>
      <w:r>
        <w:rPr>
          <w:rFonts w:ascii="Times New Roman" w:hAnsi="Times New Roman"/>
          <w:sz w:val="24"/>
        </w:rPr>
        <w:t>o qual</w:t>
      </w:r>
      <w:r w:rsidRPr="004B776C">
        <w:rPr>
          <w:rFonts w:ascii="Times New Roman" w:hAnsi="Times New Roman"/>
          <w:sz w:val="24"/>
        </w:rPr>
        <w:t xml:space="preserve"> dispõe expressamente sobre o cabimento de </w:t>
      </w:r>
      <w:r>
        <w:rPr>
          <w:rFonts w:ascii="Times New Roman" w:hAnsi="Times New Roman"/>
          <w:sz w:val="24"/>
        </w:rPr>
        <w:t>R</w:t>
      </w:r>
      <w:r w:rsidRPr="004B776C">
        <w:rPr>
          <w:rFonts w:ascii="Times New Roman" w:hAnsi="Times New Roman"/>
          <w:sz w:val="24"/>
        </w:rPr>
        <w:t>eclamação para garantir a observância de precedente proferido no julgame</w:t>
      </w:r>
      <w:r>
        <w:rPr>
          <w:rFonts w:ascii="Times New Roman" w:hAnsi="Times New Roman"/>
          <w:sz w:val="24"/>
        </w:rPr>
        <w:t>nto de casos repetitivos (art.</w:t>
      </w:r>
      <w:r w:rsidRPr="004B776C">
        <w:rPr>
          <w:rFonts w:ascii="Times New Roman" w:hAnsi="Times New Roman"/>
          <w:sz w:val="24"/>
        </w:rPr>
        <w:t xml:space="preserve"> 988,</w:t>
      </w:r>
      <w:r>
        <w:rPr>
          <w:rFonts w:ascii="Times New Roman" w:hAnsi="Times New Roman"/>
          <w:sz w:val="24"/>
        </w:rPr>
        <w:t xml:space="preserve"> inciso</w:t>
      </w:r>
      <w:r w:rsidRPr="004B776C">
        <w:rPr>
          <w:rFonts w:ascii="Times New Roman" w:hAnsi="Times New Roman"/>
          <w:sz w:val="24"/>
        </w:rPr>
        <w:t xml:space="preserve"> I</w:t>
      </w:r>
      <w:r>
        <w:rPr>
          <w:rFonts w:ascii="Times New Roman" w:hAnsi="Times New Roman"/>
          <w:sz w:val="24"/>
        </w:rPr>
        <w:t>V), além de prever o Agravo em R</w:t>
      </w:r>
      <w:r w:rsidRPr="004B776C">
        <w:rPr>
          <w:rFonts w:ascii="Times New Roman" w:hAnsi="Times New Roman"/>
          <w:sz w:val="24"/>
        </w:rPr>
        <w:t xml:space="preserve">ecurso </w:t>
      </w:r>
      <w:r>
        <w:rPr>
          <w:rFonts w:ascii="Times New Roman" w:hAnsi="Times New Roman"/>
          <w:sz w:val="24"/>
        </w:rPr>
        <w:t>E</w:t>
      </w:r>
      <w:r w:rsidRPr="004B776C">
        <w:rPr>
          <w:rFonts w:ascii="Times New Roman" w:hAnsi="Times New Roman"/>
          <w:sz w:val="24"/>
        </w:rPr>
        <w:t>xtraordinário como recurso hábil contra a não admissibilidade ou a declaração de prejuízo em deman</w:t>
      </w:r>
      <w:r>
        <w:rPr>
          <w:rFonts w:ascii="Times New Roman" w:hAnsi="Times New Roman"/>
          <w:sz w:val="24"/>
        </w:rPr>
        <w:t>das múltiplas (art. 1.042).</w:t>
      </w:r>
      <w:r>
        <w:rPr>
          <w:rStyle w:val="FootnoteReference"/>
          <w:rFonts w:ascii="Times New Roman" w:hAnsi="Times New Roman"/>
          <w:sz w:val="24"/>
        </w:rPr>
        <w:footnoteReference w:id="275"/>
      </w:r>
      <w:r>
        <w:rPr>
          <w:rFonts w:ascii="Times New Roman" w:hAnsi="Times New Roman"/>
          <w:sz w:val="24"/>
        </w:rPr>
        <w:t xml:space="preserve"> </w:t>
      </w:r>
    </w:p>
    <w:p w:rsidR="00D549BC" w:rsidRDefault="00D549BC" w:rsidP="001E188E">
      <w:pPr>
        <w:rPr>
          <w:rFonts w:ascii="Times New Roman" w:hAnsi="Times New Roman"/>
          <w:sz w:val="24"/>
        </w:rPr>
      </w:pPr>
      <w:r w:rsidRPr="00070F83">
        <w:rPr>
          <w:rFonts w:ascii="Times New Roman" w:hAnsi="Times New Roman"/>
          <w:sz w:val="24"/>
        </w:rPr>
        <w:t>Em consequência</w:t>
      </w:r>
      <w:r>
        <w:rPr>
          <w:rFonts w:ascii="Times New Roman" w:hAnsi="Times New Roman"/>
          <w:sz w:val="24"/>
        </w:rPr>
        <w:t xml:space="preserve"> dessas disposições, supõe-se</w:t>
      </w:r>
      <w:r w:rsidRPr="00070F83">
        <w:rPr>
          <w:rFonts w:ascii="Times New Roman" w:hAnsi="Times New Roman"/>
          <w:sz w:val="24"/>
        </w:rPr>
        <w:t xml:space="preserve"> que a interposição de </w:t>
      </w:r>
      <w:r>
        <w:rPr>
          <w:rFonts w:ascii="Times New Roman" w:hAnsi="Times New Roman"/>
          <w:sz w:val="24"/>
        </w:rPr>
        <w:t>A</w:t>
      </w:r>
      <w:r w:rsidRPr="00070F83">
        <w:rPr>
          <w:rFonts w:ascii="Times New Roman" w:hAnsi="Times New Roman"/>
          <w:sz w:val="24"/>
        </w:rPr>
        <w:t xml:space="preserve">gravo </w:t>
      </w:r>
      <w:r>
        <w:rPr>
          <w:rFonts w:ascii="Times New Roman" w:hAnsi="Times New Roman"/>
          <w:sz w:val="24"/>
        </w:rPr>
        <w:t xml:space="preserve">poderá </w:t>
      </w:r>
      <w:r w:rsidRPr="00070F83">
        <w:rPr>
          <w:rFonts w:ascii="Times New Roman" w:hAnsi="Times New Roman"/>
          <w:sz w:val="24"/>
        </w:rPr>
        <w:t>ser uma eta</w:t>
      </w:r>
      <w:r>
        <w:rPr>
          <w:rFonts w:ascii="Times New Roman" w:hAnsi="Times New Roman"/>
          <w:sz w:val="24"/>
        </w:rPr>
        <w:t>pa constante na sistemática da Repercussão G</w:t>
      </w:r>
      <w:r w:rsidRPr="00070F83">
        <w:rPr>
          <w:rFonts w:ascii="Times New Roman" w:hAnsi="Times New Roman"/>
          <w:sz w:val="24"/>
        </w:rPr>
        <w:t xml:space="preserve">eral, que terá lugar na grande maioria dos casos em que as instâncias de origem declararem </w:t>
      </w:r>
      <w:r>
        <w:rPr>
          <w:rFonts w:ascii="Times New Roman" w:hAnsi="Times New Roman"/>
          <w:sz w:val="24"/>
        </w:rPr>
        <w:t>prejudicados os</w:t>
      </w:r>
      <w:r w:rsidRPr="00070F83">
        <w:rPr>
          <w:rFonts w:ascii="Times New Roman" w:hAnsi="Times New Roman"/>
          <w:sz w:val="24"/>
        </w:rPr>
        <w:t xml:space="preserve"> </w:t>
      </w:r>
      <w:r>
        <w:rPr>
          <w:rFonts w:ascii="Times New Roman" w:hAnsi="Times New Roman"/>
          <w:sz w:val="24"/>
        </w:rPr>
        <w:t>R</w:t>
      </w:r>
      <w:r w:rsidRPr="00070F83">
        <w:rPr>
          <w:rFonts w:ascii="Times New Roman" w:hAnsi="Times New Roman"/>
          <w:sz w:val="24"/>
        </w:rPr>
        <w:t>ecurso</w:t>
      </w:r>
      <w:r>
        <w:rPr>
          <w:rFonts w:ascii="Times New Roman" w:hAnsi="Times New Roman"/>
          <w:sz w:val="24"/>
        </w:rPr>
        <w:t>s</w:t>
      </w:r>
      <w:r w:rsidRPr="00070F83">
        <w:rPr>
          <w:rFonts w:ascii="Times New Roman" w:hAnsi="Times New Roman"/>
          <w:sz w:val="24"/>
        </w:rPr>
        <w:t xml:space="preserve"> </w:t>
      </w:r>
      <w:r>
        <w:rPr>
          <w:rFonts w:ascii="Times New Roman" w:hAnsi="Times New Roman"/>
          <w:sz w:val="24"/>
        </w:rPr>
        <w:t>E</w:t>
      </w:r>
      <w:r w:rsidRPr="00070F83">
        <w:rPr>
          <w:rFonts w:ascii="Times New Roman" w:hAnsi="Times New Roman"/>
          <w:sz w:val="24"/>
        </w:rPr>
        <w:t>xtraordinário</w:t>
      </w:r>
      <w:r>
        <w:rPr>
          <w:rFonts w:ascii="Times New Roman" w:hAnsi="Times New Roman"/>
          <w:sz w:val="24"/>
        </w:rPr>
        <w:t>s</w:t>
      </w:r>
      <w:r w:rsidRPr="00070F83">
        <w:rPr>
          <w:rFonts w:ascii="Times New Roman" w:hAnsi="Times New Roman"/>
          <w:sz w:val="24"/>
        </w:rPr>
        <w:t xml:space="preserve"> repetitivo</w:t>
      </w:r>
      <w:r>
        <w:rPr>
          <w:rFonts w:ascii="Times New Roman" w:hAnsi="Times New Roman"/>
          <w:sz w:val="24"/>
        </w:rPr>
        <w:t>s (art. 1.042, II do NCPC)</w:t>
      </w:r>
      <w:r w:rsidRPr="00070F83">
        <w:rPr>
          <w:rFonts w:ascii="Times New Roman" w:hAnsi="Times New Roman"/>
          <w:sz w:val="24"/>
        </w:rPr>
        <w:t xml:space="preserve"> ou </w:t>
      </w:r>
      <w:r>
        <w:rPr>
          <w:rFonts w:ascii="Times New Roman" w:hAnsi="Times New Roman"/>
          <w:sz w:val="24"/>
        </w:rPr>
        <w:t>fundamentarem</w:t>
      </w:r>
      <w:r w:rsidRPr="00070F83">
        <w:rPr>
          <w:rFonts w:ascii="Times New Roman" w:hAnsi="Times New Roman"/>
          <w:sz w:val="24"/>
        </w:rPr>
        <w:t xml:space="preserve"> sua inadmissibi</w:t>
      </w:r>
      <w:r>
        <w:rPr>
          <w:rFonts w:ascii="Times New Roman" w:hAnsi="Times New Roman"/>
          <w:sz w:val="24"/>
        </w:rPr>
        <w:t>lidade decorrente da rejeição da</w:t>
      </w:r>
      <w:r w:rsidRPr="00070F83">
        <w:rPr>
          <w:rFonts w:ascii="Times New Roman" w:hAnsi="Times New Roman"/>
          <w:sz w:val="24"/>
        </w:rPr>
        <w:t xml:space="preserve"> </w:t>
      </w:r>
      <w:r>
        <w:rPr>
          <w:rFonts w:ascii="Times New Roman" w:hAnsi="Times New Roman"/>
          <w:sz w:val="24"/>
        </w:rPr>
        <w:t>R</w:t>
      </w:r>
      <w:r w:rsidRPr="00070F83">
        <w:rPr>
          <w:rFonts w:ascii="Times New Roman" w:hAnsi="Times New Roman"/>
          <w:sz w:val="24"/>
        </w:rPr>
        <w:t xml:space="preserve">epercussão </w:t>
      </w:r>
      <w:r>
        <w:rPr>
          <w:rFonts w:ascii="Times New Roman" w:hAnsi="Times New Roman"/>
          <w:sz w:val="24"/>
        </w:rPr>
        <w:t>G</w:t>
      </w:r>
      <w:r w:rsidRPr="00070F83">
        <w:rPr>
          <w:rFonts w:ascii="Times New Roman" w:hAnsi="Times New Roman"/>
          <w:sz w:val="24"/>
        </w:rPr>
        <w:t>eral</w:t>
      </w:r>
      <w:r>
        <w:rPr>
          <w:rFonts w:ascii="Times New Roman" w:hAnsi="Times New Roman"/>
          <w:sz w:val="24"/>
        </w:rPr>
        <w:t xml:space="preserve"> pelo Supremo (art. 1.042, III do NCPC)</w:t>
      </w:r>
      <w:r w:rsidRPr="00070F83">
        <w:rPr>
          <w:rFonts w:ascii="Times New Roman" w:hAnsi="Times New Roman"/>
          <w:sz w:val="24"/>
        </w:rPr>
        <w:t>.</w:t>
      </w:r>
      <w:r>
        <w:rPr>
          <w:rFonts w:ascii="Times New Roman" w:hAnsi="Times New Roman"/>
          <w:sz w:val="24"/>
        </w:rPr>
        <w:t xml:space="preserve"> </w:t>
      </w:r>
    </w:p>
    <w:p w:rsidR="00D549BC" w:rsidRDefault="00D549BC" w:rsidP="001E188E">
      <w:pPr>
        <w:rPr>
          <w:rFonts w:ascii="Times New Roman" w:hAnsi="Times New Roman"/>
          <w:sz w:val="24"/>
        </w:rPr>
      </w:pPr>
      <w:r w:rsidRPr="0003541C">
        <w:rPr>
          <w:rFonts w:ascii="Times New Roman" w:hAnsi="Times New Roman"/>
          <w:sz w:val="24"/>
        </w:rPr>
        <w:t xml:space="preserve">Igualmente, </w:t>
      </w:r>
      <w:r>
        <w:rPr>
          <w:rFonts w:ascii="Times New Roman" w:hAnsi="Times New Roman"/>
          <w:sz w:val="24"/>
        </w:rPr>
        <w:t>a possibilidade</w:t>
      </w:r>
      <w:r w:rsidRPr="0003541C">
        <w:rPr>
          <w:rFonts w:ascii="Times New Roman" w:hAnsi="Times New Roman"/>
          <w:sz w:val="24"/>
        </w:rPr>
        <w:t xml:space="preserve"> </w:t>
      </w:r>
      <w:r>
        <w:rPr>
          <w:rFonts w:ascii="Times New Roman" w:hAnsi="Times New Roman"/>
          <w:sz w:val="24"/>
        </w:rPr>
        <w:t>de R</w:t>
      </w:r>
      <w:r w:rsidRPr="0003541C">
        <w:rPr>
          <w:rFonts w:ascii="Times New Roman" w:hAnsi="Times New Roman"/>
          <w:sz w:val="24"/>
        </w:rPr>
        <w:t xml:space="preserve">eclamação </w:t>
      </w:r>
      <w:r>
        <w:rPr>
          <w:rFonts w:ascii="Times New Roman" w:hAnsi="Times New Roman"/>
          <w:sz w:val="24"/>
        </w:rPr>
        <w:t>para o STF poderá ser</w:t>
      </w:r>
      <w:r w:rsidRPr="0003541C">
        <w:rPr>
          <w:rFonts w:ascii="Times New Roman" w:hAnsi="Times New Roman"/>
          <w:sz w:val="24"/>
        </w:rPr>
        <w:t xml:space="preserve"> frequentemente manejada como meio de insurgência, quando as partes não concordarem com as decisões judiciais da origem e invocarem suposto descumprimento de precedente proferido no julgamento de demandas repetitivas</w:t>
      </w:r>
      <w:r>
        <w:rPr>
          <w:rFonts w:ascii="Times New Roman" w:hAnsi="Times New Roman"/>
          <w:sz w:val="24"/>
        </w:rPr>
        <w:t xml:space="preserve">. </w:t>
      </w:r>
    </w:p>
    <w:p w:rsidR="00D549BC" w:rsidRDefault="00D549BC" w:rsidP="001E188E">
      <w:pPr>
        <w:rPr>
          <w:rFonts w:ascii="Times New Roman" w:hAnsi="Times New Roman"/>
          <w:sz w:val="24"/>
        </w:rPr>
      </w:pPr>
      <w:r w:rsidRPr="00D04814">
        <w:rPr>
          <w:rFonts w:ascii="Times New Roman" w:hAnsi="Times New Roman"/>
          <w:sz w:val="24"/>
        </w:rPr>
        <w:t>Acerca do j</w:t>
      </w:r>
      <w:r>
        <w:rPr>
          <w:rFonts w:ascii="Times New Roman" w:hAnsi="Times New Roman"/>
          <w:sz w:val="24"/>
        </w:rPr>
        <w:t>uízo de admissibilidade, o Novo CPC estabelece que os R</w:t>
      </w:r>
      <w:r w:rsidRPr="00D04814">
        <w:rPr>
          <w:rFonts w:ascii="Times New Roman" w:hAnsi="Times New Roman"/>
          <w:sz w:val="24"/>
        </w:rPr>
        <w:t xml:space="preserve">ecursos </w:t>
      </w:r>
      <w:r>
        <w:rPr>
          <w:rFonts w:ascii="Times New Roman" w:hAnsi="Times New Roman"/>
          <w:sz w:val="24"/>
        </w:rPr>
        <w:t>E</w:t>
      </w:r>
      <w:r w:rsidRPr="00D04814">
        <w:rPr>
          <w:rFonts w:ascii="Times New Roman" w:hAnsi="Times New Roman"/>
          <w:sz w:val="24"/>
        </w:rPr>
        <w:t>xtraordinários</w:t>
      </w:r>
      <w:r>
        <w:rPr>
          <w:rFonts w:ascii="Times New Roman" w:hAnsi="Times New Roman"/>
          <w:sz w:val="24"/>
        </w:rPr>
        <w:t xml:space="preserve"> interpostos deverão</w:t>
      </w:r>
      <w:r w:rsidRPr="00D04814">
        <w:rPr>
          <w:rFonts w:ascii="Times New Roman" w:hAnsi="Times New Roman"/>
          <w:sz w:val="24"/>
        </w:rPr>
        <w:t xml:space="preserve"> ser enviados ao STF</w:t>
      </w:r>
      <w:r>
        <w:rPr>
          <w:rFonts w:ascii="Times New Roman" w:hAnsi="Times New Roman"/>
          <w:sz w:val="24"/>
        </w:rPr>
        <w:t>,</w:t>
      </w:r>
      <w:r w:rsidRPr="00D04814">
        <w:rPr>
          <w:rFonts w:ascii="Times New Roman" w:hAnsi="Times New Roman"/>
          <w:sz w:val="24"/>
        </w:rPr>
        <w:t xml:space="preserve"> </w:t>
      </w:r>
      <w:r w:rsidRPr="00D04814">
        <w:rPr>
          <w:rFonts w:ascii="Times New Roman" w:hAnsi="Times New Roman"/>
          <w:i/>
          <w:sz w:val="24"/>
        </w:rPr>
        <w:t>independentemente</w:t>
      </w:r>
      <w:r w:rsidRPr="00D04814">
        <w:rPr>
          <w:rFonts w:ascii="Times New Roman" w:hAnsi="Times New Roman"/>
          <w:sz w:val="24"/>
        </w:rPr>
        <w:t xml:space="preserve"> de juízo de admissibilidade pel</w:t>
      </w:r>
      <w:r>
        <w:rPr>
          <w:rFonts w:ascii="Times New Roman" w:hAnsi="Times New Roman"/>
          <w:sz w:val="24"/>
        </w:rPr>
        <w:t>as instâncias recorridas (art.</w:t>
      </w:r>
      <w:r w:rsidRPr="00D04814">
        <w:rPr>
          <w:rFonts w:ascii="Times New Roman" w:hAnsi="Times New Roman"/>
          <w:sz w:val="24"/>
        </w:rPr>
        <w:t xml:space="preserve"> 1.030, parágrafo único)</w:t>
      </w:r>
      <w:r>
        <w:rPr>
          <w:rFonts w:ascii="Times New Roman" w:hAnsi="Times New Roman"/>
          <w:sz w:val="24"/>
        </w:rPr>
        <w:t>.</w:t>
      </w:r>
      <w:r>
        <w:rPr>
          <w:rStyle w:val="FootnoteReference"/>
          <w:rFonts w:ascii="Times New Roman" w:hAnsi="Times New Roman"/>
          <w:sz w:val="24"/>
        </w:rPr>
        <w:footnoteReference w:id="276"/>
      </w:r>
      <w:r w:rsidRPr="00D04814">
        <w:rPr>
          <w:rFonts w:ascii="Times New Roman" w:hAnsi="Times New Roman"/>
          <w:sz w:val="24"/>
        </w:rPr>
        <w:t xml:space="preserve"> </w:t>
      </w:r>
      <w:r>
        <w:rPr>
          <w:rFonts w:ascii="Times New Roman" w:hAnsi="Times New Roman"/>
          <w:sz w:val="24"/>
        </w:rPr>
        <w:t xml:space="preserve">Ou seja, o juízo de admissibilidade do RE, nas instâncias em que serão interpostos, tornar-se-á </w:t>
      </w:r>
      <w:r w:rsidRPr="00D04814">
        <w:rPr>
          <w:rFonts w:ascii="Times New Roman" w:hAnsi="Times New Roman"/>
          <w:i/>
          <w:sz w:val="24"/>
        </w:rPr>
        <w:t>facultativo</w:t>
      </w:r>
      <w:r>
        <w:rPr>
          <w:rFonts w:ascii="Times New Roman" w:hAnsi="Times New Roman"/>
          <w:sz w:val="24"/>
        </w:rPr>
        <w:t>.</w:t>
      </w:r>
    </w:p>
    <w:p w:rsidR="00D549BC" w:rsidRDefault="00D549BC" w:rsidP="001E188E">
      <w:pPr>
        <w:rPr>
          <w:rFonts w:ascii="Times New Roman" w:hAnsi="Times New Roman"/>
          <w:sz w:val="24"/>
        </w:rPr>
      </w:pPr>
      <w:r w:rsidRPr="00D04814">
        <w:rPr>
          <w:rFonts w:ascii="Times New Roman" w:hAnsi="Times New Roman"/>
          <w:sz w:val="24"/>
        </w:rPr>
        <w:t>Assim, há quem enxergue na extinção do duplo juízo de admissibilidad</w:t>
      </w:r>
      <w:r>
        <w:rPr>
          <w:rFonts w:ascii="Times New Roman" w:hAnsi="Times New Roman"/>
          <w:sz w:val="24"/>
        </w:rPr>
        <w:t>e uma dificuldade extra para a R</w:t>
      </w:r>
      <w:r w:rsidRPr="00D04814">
        <w:rPr>
          <w:rFonts w:ascii="Times New Roman" w:hAnsi="Times New Roman"/>
          <w:sz w:val="24"/>
        </w:rPr>
        <w:t xml:space="preserve">epercussão </w:t>
      </w:r>
      <w:r>
        <w:rPr>
          <w:rFonts w:ascii="Times New Roman" w:hAnsi="Times New Roman"/>
          <w:sz w:val="24"/>
        </w:rPr>
        <w:t>G</w:t>
      </w:r>
      <w:r w:rsidRPr="00D04814">
        <w:rPr>
          <w:rFonts w:ascii="Times New Roman" w:hAnsi="Times New Roman"/>
          <w:sz w:val="24"/>
        </w:rPr>
        <w:t>eral, na medida em que se teria eliminado</w:t>
      </w:r>
      <w:r>
        <w:rPr>
          <w:rFonts w:ascii="Times New Roman" w:hAnsi="Times New Roman"/>
          <w:sz w:val="24"/>
        </w:rPr>
        <w:t xml:space="preserve"> importante</w:t>
      </w:r>
      <w:r w:rsidRPr="00D04814">
        <w:rPr>
          <w:rFonts w:ascii="Times New Roman" w:hAnsi="Times New Roman"/>
          <w:sz w:val="24"/>
        </w:rPr>
        <w:t xml:space="preserve"> filtro pro</w:t>
      </w:r>
      <w:r>
        <w:rPr>
          <w:rFonts w:ascii="Times New Roman" w:hAnsi="Times New Roman"/>
          <w:sz w:val="24"/>
        </w:rPr>
        <w:t>cessual, de forma que todos os R</w:t>
      </w:r>
      <w:r w:rsidRPr="00D04814">
        <w:rPr>
          <w:rFonts w:ascii="Times New Roman" w:hAnsi="Times New Roman"/>
          <w:sz w:val="24"/>
        </w:rPr>
        <w:t xml:space="preserve">ecursos </w:t>
      </w:r>
      <w:r>
        <w:rPr>
          <w:rFonts w:ascii="Times New Roman" w:hAnsi="Times New Roman"/>
          <w:sz w:val="24"/>
        </w:rPr>
        <w:t>E</w:t>
      </w:r>
      <w:r w:rsidRPr="00D04814">
        <w:rPr>
          <w:rFonts w:ascii="Times New Roman" w:hAnsi="Times New Roman"/>
          <w:sz w:val="24"/>
        </w:rPr>
        <w:t>xtraordinários interpostos no país passarão a ser examinados pelo STF, o que acarretaria</w:t>
      </w:r>
      <w:r>
        <w:rPr>
          <w:rFonts w:ascii="Times New Roman" w:hAnsi="Times New Roman"/>
          <w:sz w:val="24"/>
        </w:rPr>
        <w:t>, inevitavelmente,</w:t>
      </w:r>
      <w:r w:rsidRPr="00D04814">
        <w:rPr>
          <w:rFonts w:ascii="Times New Roman" w:hAnsi="Times New Roman"/>
          <w:sz w:val="24"/>
        </w:rPr>
        <w:t xml:space="preserve"> sobrec</w:t>
      </w:r>
      <w:r>
        <w:rPr>
          <w:rFonts w:ascii="Times New Roman" w:hAnsi="Times New Roman"/>
          <w:sz w:val="24"/>
        </w:rPr>
        <w:t>arga recursal n</w:t>
      </w:r>
      <w:r w:rsidRPr="00D04814">
        <w:rPr>
          <w:rFonts w:ascii="Times New Roman" w:hAnsi="Times New Roman"/>
          <w:sz w:val="24"/>
        </w:rPr>
        <w:t xml:space="preserve">a Corte. </w:t>
      </w:r>
    </w:p>
    <w:p w:rsidR="00D549BC" w:rsidRDefault="00D549BC" w:rsidP="001E188E">
      <w:pPr>
        <w:rPr>
          <w:rFonts w:ascii="Times New Roman" w:hAnsi="Times New Roman"/>
          <w:sz w:val="24"/>
        </w:rPr>
      </w:pPr>
      <w:r>
        <w:rPr>
          <w:rFonts w:ascii="Times New Roman" w:hAnsi="Times New Roman"/>
          <w:sz w:val="24"/>
        </w:rPr>
        <w:t>Por outro lado, o atual CPC, prevê que a decisão que não admite o RE pode ser desafiada por meio de Agravo nos próprios autos (art. 544 do CPC),</w:t>
      </w:r>
      <w:r>
        <w:rPr>
          <w:rStyle w:val="FootnoteReference"/>
          <w:rFonts w:ascii="Times New Roman" w:hAnsi="Times New Roman"/>
          <w:sz w:val="24"/>
        </w:rPr>
        <w:footnoteReference w:id="277"/>
      </w:r>
      <w:r>
        <w:rPr>
          <w:rFonts w:ascii="Times New Roman" w:hAnsi="Times New Roman"/>
          <w:sz w:val="24"/>
        </w:rPr>
        <w:t xml:space="preserve"> levando a questão diretamente para a Corte Suprema. O que, a princípio, faz-nos pensar que, na prática, todo RE acaba indo parar no STF, situação esta que não se diferiria muito com o fim do juízo de admissibilidade feito na origem. </w:t>
      </w:r>
    </w:p>
    <w:p w:rsidR="00D549BC" w:rsidRDefault="00D549BC" w:rsidP="006D0A63">
      <w:pPr>
        <w:ind w:firstLine="851"/>
        <w:rPr>
          <w:rFonts w:ascii="Times New Roman" w:hAnsi="Times New Roman"/>
          <w:sz w:val="24"/>
        </w:rPr>
      </w:pPr>
      <w:r>
        <w:rPr>
          <w:rFonts w:ascii="Times New Roman" w:hAnsi="Times New Roman"/>
          <w:sz w:val="24"/>
        </w:rPr>
        <w:t xml:space="preserve">Resta saber, no entanto, empiricamente, se esse primeiro filtro, realizado na origem, é, de fato, eficaz ou não. Todavia, a presente pesquisa não explorou essa problemática, que, sugerimos, seja formulada da seguinte maneira: qual a porcentagem, em média, de Agravos que são interpostos com base no art. 544 do CPC? </w:t>
      </w:r>
    </w:p>
    <w:p w:rsidR="00D549BC" w:rsidRDefault="00D549BC" w:rsidP="001E188E">
      <w:pPr>
        <w:rPr>
          <w:rFonts w:ascii="Times New Roman" w:hAnsi="Times New Roman"/>
          <w:sz w:val="24"/>
        </w:rPr>
      </w:pPr>
      <w:r>
        <w:rPr>
          <w:rFonts w:ascii="Times New Roman" w:hAnsi="Times New Roman"/>
          <w:sz w:val="24"/>
        </w:rPr>
        <w:t xml:space="preserve">Somente por meio de dados quantitativos seria possível afirmar se o fim do juízo prévio de admissibilidade, realizado na origem, foi devidamente extinto pelo NCPC. </w:t>
      </w:r>
      <w:r w:rsidRPr="00B105E1">
        <w:rPr>
          <w:rFonts w:ascii="Times New Roman" w:hAnsi="Times New Roman"/>
          <w:sz w:val="24"/>
        </w:rPr>
        <w:t>Diz-se prévio, pois o</w:t>
      </w:r>
      <w:r>
        <w:rPr>
          <w:rFonts w:ascii="Times New Roman" w:hAnsi="Times New Roman"/>
          <w:sz w:val="24"/>
        </w:rPr>
        <w:t xml:space="preserve"> </w:t>
      </w:r>
      <w:r w:rsidRPr="00B105E1">
        <w:rPr>
          <w:rFonts w:ascii="Times New Roman" w:hAnsi="Times New Roman"/>
          <w:sz w:val="24"/>
        </w:rPr>
        <w:t>juízo de</w:t>
      </w:r>
      <w:r>
        <w:rPr>
          <w:rFonts w:ascii="Times New Roman" w:hAnsi="Times New Roman"/>
          <w:sz w:val="24"/>
        </w:rPr>
        <w:t>finitivo de admissibilidade do R</w:t>
      </w:r>
      <w:r w:rsidRPr="00B105E1">
        <w:rPr>
          <w:rFonts w:ascii="Times New Roman" w:hAnsi="Times New Roman"/>
          <w:sz w:val="24"/>
        </w:rPr>
        <w:t xml:space="preserve">ecurso </w:t>
      </w:r>
      <w:r>
        <w:rPr>
          <w:rFonts w:ascii="Times New Roman" w:hAnsi="Times New Roman"/>
          <w:sz w:val="24"/>
        </w:rPr>
        <w:t>E</w:t>
      </w:r>
      <w:r w:rsidRPr="00B105E1">
        <w:rPr>
          <w:rFonts w:ascii="Times New Roman" w:hAnsi="Times New Roman"/>
          <w:sz w:val="24"/>
        </w:rPr>
        <w:t>xtraordinário é da competência do STF.</w:t>
      </w:r>
    </w:p>
    <w:p w:rsidR="00D549BC" w:rsidRDefault="00D549BC" w:rsidP="001E188E">
      <w:pPr>
        <w:rPr>
          <w:rFonts w:ascii="Times New Roman" w:hAnsi="Times New Roman"/>
          <w:sz w:val="24"/>
        </w:rPr>
      </w:pPr>
      <w:r>
        <w:rPr>
          <w:rFonts w:ascii="Times New Roman" w:hAnsi="Times New Roman"/>
          <w:sz w:val="24"/>
        </w:rPr>
        <w:t xml:space="preserve">Não obstante, levantamos duas hipóteses para o problema acima formulado: (i) havendo o filtro na origem, há a possibilidade de perda de prazo, isto é, a parte não apresenta o Agravo tempestivamente; segunda, (ii) a parte concorda com os fundamentos da decisão que inadmitiu seu recurso excepcional e desiste de agravá-la. Por conseguinte, o atual juízo prévio de admissibilidade feito na instância </w:t>
      </w:r>
      <w:r w:rsidRPr="00B73161">
        <w:rPr>
          <w:rFonts w:ascii="Times New Roman" w:hAnsi="Times New Roman"/>
          <w:i/>
          <w:sz w:val="24"/>
        </w:rPr>
        <w:t>a quo</w:t>
      </w:r>
      <w:r>
        <w:rPr>
          <w:rFonts w:ascii="Times New Roman" w:hAnsi="Times New Roman"/>
          <w:sz w:val="24"/>
        </w:rPr>
        <w:t xml:space="preserve"> mostrar-se-ia válido para fins de racionalização da sobrecarga recursal na Corte Suprema brasileira.</w:t>
      </w:r>
    </w:p>
    <w:p w:rsidR="00D549BC" w:rsidRDefault="00D549BC" w:rsidP="001E188E">
      <w:pPr>
        <w:rPr>
          <w:rFonts w:ascii="Times New Roman" w:hAnsi="Times New Roman"/>
          <w:sz w:val="24"/>
        </w:rPr>
      </w:pPr>
      <w:r w:rsidRPr="005C2EBD">
        <w:rPr>
          <w:rFonts w:ascii="Times New Roman" w:hAnsi="Times New Roman"/>
          <w:sz w:val="24"/>
        </w:rPr>
        <w:t>Quanto ao estabelecimento de prazo para julgamento d</w:t>
      </w:r>
      <w:r>
        <w:rPr>
          <w:rFonts w:ascii="Times New Roman" w:hAnsi="Times New Roman"/>
          <w:sz w:val="24"/>
        </w:rPr>
        <w:t xml:space="preserve">e mérito dos </w:t>
      </w:r>
      <w:r w:rsidRPr="005C2EBD">
        <w:rPr>
          <w:rFonts w:ascii="Times New Roman" w:hAnsi="Times New Roman"/>
          <w:i/>
          <w:sz w:val="24"/>
        </w:rPr>
        <w:t>leading cases</w:t>
      </w:r>
      <w:r w:rsidRPr="005C2EBD">
        <w:rPr>
          <w:rFonts w:ascii="Times New Roman" w:hAnsi="Times New Roman"/>
          <w:sz w:val="24"/>
        </w:rPr>
        <w:t xml:space="preserve">, o </w:t>
      </w:r>
      <w:r>
        <w:rPr>
          <w:rFonts w:ascii="Times New Roman" w:hAnsi="Times New Roman"/>
          <w:sz w:val="24"/>
        </w:rPr>
        <w:t>NCPC dispõe que o R</w:t>
      </w:r>
      <w:r w:rsidRPr="005C2EBD">
        <w:rPr>
          <w:rFonts w:ascii="Times New Roman" w:hAnsi="Times New Roman"/>
          <w:sz w:val="24"/>
        </w:rPr>
        <w:t>ecurso</w:t>
      </w:r>
      <w:r>
        <w:rPr>
          <w:rFonts w:ascii="Times New Roman" w:hAnsi="Times New Roman"/>
          <w:sz w:val="24"/>
        </w:rPr>
        <w:t xml:space="preserve"> Extraordinário afetado à sistemática da Repercussão G</w:t>
      </w:r>
      <w:r w:rsidRPr="005C2EBD">
        <w:rPr>
          <w:rFonts w:ascii="Times New Roman" w:hAnsi="Times New Roman"/>
          <w:sz w:val="24"/>
        </w:rPr>
        <w:t>eral deve ser apre</w:t>
      </w:r>
      <w:r>
        <w:rPr>
          <w:rFonts w:ascii="Times New Roman" w:hAnsi="Times New Roman"/>
          <w:sz w:val="24"/>
        </w:rPr>
        <w:t>ciado no prazo de um ano</w:t>
      </w:r>
      <w:r w:rsidRPr="005C2EBD">
        <w:rPr>
          <w:rFonts w:ascii="Times New Roman" w:hAnsi="Times New Roman"/>
          <w:sz w:val="24"/>
        </w:rPr>
        <w:t>, sob pena de cessarem-se os efeitos da suspensão de processos nas instâncias de origem.</w:t>
      </w:r>
      <w:r>
        <w:rPr>
          <w:rFonts w:ascii="Times New Roman" w:hAnsi="Times New Roman"/>
          <w:sz w:val="24"/>
        </w:rPr>
        <w:t xml:space="preserve"> </w:t>
      </w:r>
      <w:r w:rsidRPr="005C2EBD">
        <w:rPr>
          <w:rFonts w:ascii="Times New Roman" w:hAnsi="Times New Roman"/>
          <w:sz w:val="24"/>
        </w:rPr>
        <w:t xml:space="preserve">O </w:t>
      </w:r>
      <w:r w:rsidRPr="005C2EBD">
        <w:rPr>
          <w:rFonts w:ascii="Times New Roman" w:hAnsi="Times New Roman"/>
          <w:i/>
          <w:sz w:val="24"/>
        </w:rPr>
        <w:t>novel</w:t>
      </w:r>
      <w:r w:rsidRPr="005C2EBD">
        <w:rPr>
          <w:rFonts w:ascii="Times New Roman" w:hAnsi="Times New Roman"/>
          <w:sz w:val="24"/>
        </w:rPr>
        <w:t xml:space="preserve"> Código também determina que os feitos com </w:t>
      </w:r>
      <w:r>
        <w:rPr>
          <w:rFonts w:ascii="Times New Roman" w:hAnsi="Times New Roman"/>
          <w:sz w:val="24"/>
        </w:rPr>
        <w:t>R</w:t>
      </w:r>
      <w:r w:rsidRPr="005C2EBD">
        <w:rPr>
          <w:rFonts w:ascii="Times New Roman" w:hAnsi="Times New Roman"/>
          <w:sz w:val="24"/>
        </w:rPr>
        <w:t xml:space="preserve">epercussão </w:t>
      </w:r>
      <w:r>
        <w:rPr>
          <w:rFonts w:ascii="Times New Roman" w:hAnsi="Times New Roman"/>
          <w:sz w:val="24"/>
        </w:rPr>
        <w:t>G</w:t>
      </w:r>
      <w:r w:rsidRPr="005C2EBD">
        <w:rPr>
          <w:rFonts w:ascii="Times New Roman" w:hAnsi="Times New Roman"/>
          <w:sz w:val="24"/>
        </w:rPr>
        <w:t xml:space="preserve">eral reconhecida terão prioridade na tramitação sobre os demais casos, ressalvados os que envolvam réu preso e os pedidos de </w:t>
      </w:r>
      <w:r w:rsidRPr="005C2EBD">
        <w:rPr>
          <w:rFonts w:ascii="Times New Roman" w:hAnsi="Times New Roman"/>
          <w:i/>
          <w:sz w:val="24"/>
        </w:rPr>
        <w:t>habeas corpus</w:t>
      </w:r>
      <w:r>
        <w:rPr>
          <w:rFonts w:ascii="Times New Roman" w:hAnsi="Times New Roman"/>
          <w:sz w:val="24"/>
        </w:rPr>
        <w:t xml:space="preserve"> (art.</w:t>
      </w:r>
      <w:r w:rsidRPr="005C2EBD">
        <w:rPr>
          <w:rFonts w:ascii="Times New Roman" w:hAnsi="Times New Roman"/>
          <w:sz w:val="24"/>
        </w:rPr>
        <w:t xml:space="preserve"> 1.035, §§ 9°</w:t>
      </w:r>
      <w:r>
        <w:rPr>
          <w:rFonts w:ascii="Times New Roman" w:hAnsi="Times New Roman"/>
          <w:sz w:val="24"/>
        </w:rPr>
        <w:t xml:space="preserve"> e 10</w:t>
      </w:r>
      <w:r w:rsidRPr="005C2EBD">
        <w:rPr>
          <w:rFonts w:ascii="Times New Roman" w:hAnsi="Times New Roman"/>
          <w:sz w:val="24"/>
        </w:rPr>
        <w:t xml:space="preserve"> e</w:t>
      </w:r>
      <w:r>
        <w:rPr>
          <w:rFonts w:ascii="Times New Roman" w:hAnsi="Times New Roman"/>
          <w:sz w:val="24"/>
        </w:rPr>
        <w:t xml:space="preserve"> art.</w:t>
      </w:r>
      <w:r w:rsidRPr="005C2EBD">
        <w:rPr>
          <w:rFonts w:ascii="Times New Roman" w:hAnsi="Times New Roman"/>
          <w:sz w:val="24"/>
        </w:rPr>
        <w:t xml:space="preserve"> 1.037, § 4°)</w:t>
      </w:r>
      <w:r>
        <w:rPr>
          <w:rFonts w:ascii="Times New Roman" w:hAnsi="Times New Roman"/>
          <w:sz w:val="24"/>
        </w:rPr>
        <w:t>.</w:t>
      </w:r>
      <w:r>
        <w:rPr>
          <w:rStyle w:val="FootnoteReference"/>
          <w:rFonts w:ascii="Times New Roman" w:hAnsi="Times New Roman"/>
          <w:sz w:val="24"/>
        </w:rPr>
        <w:footnoteReference w:id="278"/>
      </w:r>
    </w:p>
    <w:p w:rsidR="00D549BC" w:rsidRDefault="00D549BC" w:rsidP="001E188E">
      <w:pPr>
        <w:rPr>
          <w:rFonts w:ascii="Times New Roman" w:hAnsi="Times New Roman"/>
          <w:sz w:val="24"/>
        </w:rPr>
      </w:pPr>
      <w:r>
        <w:rPr>
          <w:rFonts w:ascii="Times New Roman" w:hAnsi="Times New Roman"/>
          <w:sz w:val="24"/>
        </w:rPr>
        <w:t>Essa medida mostra-se de grande avanço para o instituto da Repercussão Geral, pois, ao mesmo tempo, resolverá a demora na prestação da jurisdição constitucional, que, conforme vimos, causa prejuízos excessivos em virtude das demandas sobrestadas nos juízos de origem, e obrigará a Corte Suprema a selecionar somente a quantidade de casos que efetivamente serão julgados no prazo de um ano. Em suma, a presente medida é bastante louvável, seja do ponto de vista da prestação jurisdicional célere (CR, art. 5º, inciso LXXVIII), seja do ponto de vista da qualidade jurídica.</w:t>
      </w:r>
    </w:p>
    <w:p w:rsidR="00D549BC" w:rsidRDefault="00D549BC" w:rsidP="005B60F6">
      <w:pPr>
        <w:rPr>
          <w:rFonts w:ascii="Times New Roman" w:hAnsi="Times New Roman"/>
          <w:sz w:val="24"/>
        </w:rPr>
      </w:pPr>
      <w:r>
        <w:rPr>
          <w:rFonts w:ascii="Times New Roman" w:hAnsi="Times New Roman"/>
          <w:sz w:val="24"/>
        </w:rPr>
        <w:t xml:space="preserve"> No entanto, a entrada em vigor dessa exigência deverá trazer à tona um outro problema que não foi devidamente esclarecido pelo NCPC: e o atual estoque de Repercussões Gerais reconhecidas, o que fazer? </w:t>
      </w:r>
    </w:p>
    <w:p w:rsidR="00D549BC" w:rsidRDefault="00D549BC" w:rsidP="005B60F6">
      <w:pPr>
        <w:rPr>
          <w:rFonts w:ascii="Times New Roman" w:hAnsi="Times New Roman"/>
          <w:sz w:val="24"/>
        </w:rPr>
      </w:pPr>
      <w:r>
        <w:rPr>
          <w:rFonts w:ascii="Times New Roman" w:hAnsi="Times New Roman"/>
          <w:sz w:val="24"/>
        </w:rPr>
        <w:t>Conforme analisamos na seção 4.3.2, o Ministro Roberto Barroso traz três possíveis soluções para esse estoque de Repercussões Gerais que se encontram pendentes de julgamento,</w:t>
      </w:r>
      <w:r>
        <w:rPr>
          <w:rStyle w:val="FootnoteReference"/>
          <w:rFonts w:ascii="Times New Roman" w:hAnsi="Times New Roman"/>
          <w:sz w:val="24"/>
        </w:rPr>
        <w:footnoteReference w:id="279"/>
      </w:r>
      <w:r>
        <w:rPr>
          <w:rFonts w:ascii="Times New Roman" w:hAnsi="Times New Roman"/>
          <w:sz w:val="24"/>
        </w:rPr>
        <w:t xml:space="preserve"> quais sejam: (i) primeira, priorizar julgamentos breves de casos de menor relevância jurídica </w:t>
      </w:r>
      <w:r w:rsidRPr="00A108E7">
        <w:rPr>
          <w:rFonts w:ascii="Times New Roman" w:hAnsi="Times New Roman"/>
          <w:sz w:val="24"/>
        </w:rPr>
        <w:t>que talvez nem devessem ter recebido</w:t>
      </w:r>
      <w:r>
        <w:rPr>
          <w:rFonts w:ascii="Times New Roman" w:hAnsi="Times New Roman"/>
          <w:sz w:val="24"/>
        </w:rPr>
        <w:t xml:space="preserve"> R</w:t>
      </w:r>
      <w:r w:rsidRPr="00A108E7">
        <w:rPr>
          <w:rFonts w:ascii="Times New Roman" w:hAnsi="Times New Roman"/>
          <w:sz w:val="24"/>
        </w:rPr>
        <w:t xml:space="preserve">epercussão </w:t>
      </w:r>
      <w:r>
        <w:rPr>
          <w:rFonts w:ascii="Times New Roman" w:hAnsi="Times New Roman"/>
          <w:sz w:val="24"/>
        </w:rPr>
        <w:t>G</w:t>
      </w:r>
      <w:r w:rsidRPr="00A108E7">
        <w:rPr>
          <w:rFonts w:ascii="Times New Roman" w:hAnsi="Times New Roman"/>
          <w:sz w:val="24"/>
        </w:rPr>
        <w:t>eral</w:t>
      </w:r>
      <w:r>
        <w:rPr>
          <w:rFonts w:ascii="Times New Roman" w:hAnsi="Times New Roman"/>
          <w:sz w:val="24"/>
        </w:rPr>
        <w:t xml:space="preserve">. </w:t>
      </w:r>
      <w:r w:rsidRPr="00A108E7">
        <w:rPr>
          <w:rFonts w:ascii="Times New Roman" w:hAnsi="Times New Roman"/>
          <w:sz w:val="24"/>
        </w:rPr>
        <w:t>Nos</w:t>
      </w:r>
      <w:r>
        <w:rPr>
          <w:rFonts w:ascii="Times New Roman" w:hAnsi="Times New Roman"/>
          <w:sz w:val="24"/>
        </w:rPr>
        <w:t xml:space="preserve"> casos de julgamento breve, o R</w:t>
      </w:r>
      <w:r w:rsidRPr="00A108E7">
        <w:rPr>
          <w:rFonts w:ascii="Times New Roman" w:hAnsi="Times New Roman"/>
          <w:sz w:val="24"/>
        </w:rPr>
        <w:t>elator apresentaria seu relatório e voto em até 20 minutos.</w:t>
      </w:r>
      <w:r>
        <w:rPr>
          <w:rFonts w:ascii="Times New Roman" w:hAnsi="Times New Roman"/>
          <w:sz w:val="24"/>
        </w:rPr>
        <w:t xml:space="preserve"> </w:t>
      </w:r>
      <w:r w:rsidRPr="00A108E7">
        <w:rPr>
          <w:rFonts w:ascii="Times New Roman" w:hAnsi="Times New Roman"/>
          <w:sz w:val="24"/>
        </w:rPr>
        <w:t>A primeira divergência procuraria observar o prazo máximo de 15 minutos. Os demais</w:t>
      </w:r>
      <w:r>
        <w:rPr>
          <w:rFonts w:ascii="Times New Roman" w:hAnsi="Times New Roman"/>
          <w:sz w:val="24"/>
        </w:rPr>
        <w:t xml:space="preserve"> </w:t>
      </w:r>
      <w:r w:rsidRPr="00A108E7">
        <w:rPr>
          <w:rFonts w:ascii="Times New Roman" w:hAnsi="Times New Roman"/>
          <w:sz w:val="24"/>
        </w:rPr>
        <w:t xml:space="preserve">Ministros procurariam não exceder 5 minutos nos seus votos. </w:t>
      </w:r>
      <w:r>
        <w:rPr>
          <w:rFonts w:ascii="Times New Roman" w:hAnsi="Times New Roman"/>
          <w:sz w:val="24"/>
        </w:rPr>
        <w:t>A</w:t>
      </w:r>
      <w:r w:rsidRPr="00A108E7">
        <w:rPr>
          <w:rFonts w:ascii="Times New Roman" w:hAnsi="Times New Roman"/>
          <w:sz w:val="24"/>
        </w:rPr>
        <w:t>s partes</w:t>
      </w:r>
      <w:r>
        <w:rPr>
          <w:rFonts w:ascii="Times New Roman" w:hAnsi="Times New Roman"/>
          <w:sz w:val="24"/>
        </w:rPr>
        <w:t xml:space="preserve"> </w:t>
      </w:r>
      <w:r w:rsidRPr="00A108E7">
        <w:rPr>
          <w:rFonts w:ascii="Times New Roman" w:hAnsi="Times New Roman"/>
          <w:sz w:val="24"/>
        </w:rPr>
        <w:t xml:space="preserve">fariam sua sustentação (pelo modelo tradicional, na data do julgamento) e os </w:t>
      </w:r>
      <w:r w:rsidRPr="00066A87">
        <w:rPr>
          <w:rFonts w:ascii="Times New Roman" w:hAnsi="Times New Roman"/>
          <w:i/>
          <w:sz w:val="24"/>
        </w:rPr>
        <w:t>amici curiae</w:t>
      </w:r>
      <w:r>
        <w:rPr>
          <w:rFonts w:ascii="Times New Roman" w:hAnsi="Times New Roman"/>
          <w:sz w:val="24"/>
        </w:rPr>
        <w:t xml:space="preserve"> </w:t>
      </w:r>
      <w:r w:rsidRPr="00066A87">
        <w:rPr>
          <w:rFonts w:ascii="Times New Roman" w:hAnsi="Times New Roman"/>
          <w:sz w:val="24"/>
        </w:rPr>
        <w:t>se manifestariam apenas por escrito (ou, caso se adote a sugestão do Ministro Dias</w:t>
      </w:r>
      <w:r>
        <w:rPr>
          <w:rFonts w:ascii="Times New Roman" w:hAnsi="Times New Roman"/>
          <w:sz w:val="24"/>
        </w:rPr>
        <w:t xml:space="preserve"> </w:t>
      </w:r>
      <w:r w:rsidRPr="00066A87">
        <w:rPr>
          <w:rFonts w:ascii="Times New Roman" w:hAnsi="Times New Roman"/>
          <w:sz w:val="24"/>
        </w:rPr>
        <w:t>Toffoli, fariam sua s</w:t>
      </w:r>
      <w:r>
        <w:rPr>
          <w:rFonts w:ascii="Times New Roman" w:hAnsi="Times New Roman"/>
          <w:sz w:val="24"/>
        </w:rPr>
        <w:t xml:space="preserve">ustentação em Plenário Virtual); (ii) casos que tratam de reafirmação de entendimento pacificado na Corte, ou seja, reafirmação de jurisprudência dominante. Nessa </w:t>
      </w:r>
      <w:r w:rsidRPr="00066A87">
        <w:rPr>
          <w:rFonts w:ascii="Times New Roman" w:hAnsi="Times New Roman"/>
          <w:sz w:val="24"/>
        </w:rPr>
        <w:t>hipótese o julga</w:t>
      </w:r>
      <w:r>
        <w:rPr>
          <w:rFonts w:ascii="Times New Roman" w:hAnsi="Times New Roman"/>
          <w:sz w:val="24"/>
        </w:rPr>
        <w:t>mento seria por</w:t>
      </w:r>
      <w:r w:rsidRPr="00066A87">
        <w:rPr>
          <w:rFonts w:ascii="Times New Roman" w:hAnsi="Times New Roman"/>
          <w:sz w:val="24"/>
        </w:rPr>
        <w:t xml:space="preserve"> meio eletrônico, como autorizado pelo art. 323-A do RI</w:t>
      </w:r>
      <w:r>
        <w:rPr>
          <w:rFonts w:ascii="Times New Roman" w:hAnsi="Times New Roman"/>
          <w:sz w:val="24"/>
        </w:rPr>
        <w:t>STF.</w:t>
      </w:r>
      <w:r>
        <w:rPr>
          <w:rStyle w:val="FootnoteReference"/>
          <w:rFonts w:ascii="Times New Roman" w:hAnsi="Times New Roman"/>
          <w:sz w:val="24"/>
        </w:rPr>
        <w:footnoteReference w:id="280"/>
      </w:r>
      <w:r w:rsidRPr="00066A87">
        <w:rPr>
          <w:rFonts w:ascii="Times New Roman" w:hAnsi="Times New Roman"/>
          <w:sz w:val="24"/>
        </w:rPr>
        <w:t xml:space="preserve"> </w:t>
      </w:r>
      <w:r>
        <w:rPr>
          <w:rFonts w:ascii="Times New Roman" w:hAnsi="Times New Roman"/>
          <w:sz w:val="24"/>
        </w:rPr>
        <w:t>Ess</w:t>
      </w:r>
      <w:r w:rsidRPr="00066A87">
        <w:rPr>
          <w:rFonts w:ascii="Times New Roman" w:hAnsi="Times New Roman"/>
          <w:sz w:val="24"/>
        </w:rPr>
        <w:t>a previsão regimental só foi promu</w:t>
      </w:r>
      <w:r>
        <w:rPr>
          <w:rFonts w:ascii="Times New Roman" w:hAnsi="Times New Roman"/>
          <w:sz w:val="24"/>
        </w:rPr>
        <w:t>lgada em 2010, quando inúmeras R</w:t>
      </w:r>
      <w:r w:rsidRPr="00066A87">
        <w:rPr>
          <w:rFonts w:ascii="Times New Roman" w:hAnsi="Times New Roman"/>
          <w:sz w:val="24"/>
        </w:rPr>
        <w:t>epercussões</w:t>
      </w:r>
      <w:r>
        <w:rPr>
          <w:rFonts w:ascii="Times New Roman" w:hAnsi="Times New Roman"/>
          <w:sz w:val="24"/>
        </w:rPr>
        <w:t xml:space="preserve"> G</w:t>
      </w:r>
      <w:r w:rsidRPr="00066A87">
        <w:rPr>
          <w:rFonts w:ascii="Times New Roman" w:hAnsi="Times New Roman"/>
          <w:sz w:val="24"/>
        </w:rPr>
        <w:t xml:space="preserve">erais já haviam sido reconhecidas. </w:t>
      </w:r>
      <w:r>
        <w:rPr>
          <w:rFonts w:ascii="Times New Roman" w:hAnsi="Times New Roman"/>
          <w:sz w:val="24"/>
        </w:rPr>
        <w:t xml:space="preserve">Segundo o Ministro, </w:t>
      </w:r>
      <w:r w:rsidRPr="00066A87">
        <w:rPr>
          <w:rFonts w:ascii="Times New Roman" w:hAnsi="Times New Roman"/>
          <w:sz w:val="24"/>
        </w:rPr>
        <w:t>tratando-se de norma procedimental, não há</w:t>
      </w:r>
      <w:r>
        <w:rPr>
          <w:rFonts w:ascii="Times New Roman" w:hAnsi="Times New Roman"/>
          <w:sz w:val="24"/>
        </w:rPr>
        <w:t xml:space="preserve"> </w:t>
      </w:r>
      <w:r w:rsidRPr="00066A87">
        <w:rPr>
          <w:rFonts w:ascii="Times New Roman" w:hAnsi="Times New Roman"/>
          <w:sz w:val="24"/>
        </w:rPr>
        <w:t>obstáculo a sua apli</w:t>
      </w:r>
      <w:r>
        <w:rPr>
          <w:rFonts w:ascii="Times New Roman" w:hAnsi="Times New Roman"/>
          <w:sz w:val="24"/>
        </w:rPr>
        <w:t>cação às Repercussões G</w:t>
      </w:r>
      <w:r w:rsidRPr="00066A87">
        <w:rPr>
          <w:rFonts w:ascii="Times New Roman" w:hAnsi="Times New Roman"/>
          <w:sz w:val="24"/>
        </w:rPr>
        <w:t>e</w:t>
      </w:r>
      <w:r>
        <w:rPr>
          <w:rFonts w:ascii="Times New Roman" w:hAnsi="Times New Roman"/>
          <w:sz w:val="24"/>
        </w:rPr>
        <w:t xml:space="preserve">rais reconhecidas anteriormente; por fim, (iii) a polêmica proposta de retirada de Repercussão Geral já reconhecida em Plenário Virtual, por meio de questão de ordem a ser suscitada em Plenário – essa proposta quase foi concretizada na sessão plenária de 4 de setembro de 2014, por meio de QO suscitada pelo Ministro Roberto Barroso no RE 548.247/RR. </w:t>
      </w:r>
    </w:p>
    <w:p w:rsidR="00D549BC" w:rsidRDefault="00D549BC" w:rsidP="005B60F6">
      <w:pPr>
        <w:rPr>
          <w:rFonts w:ascii="Times New Roman" w:hAnsi="Times New Roman"/>
          <w:sz w:val="24"/>
        </w:rPr>
      </w:pPr>
      <w:r w:rsidRPr="00693BDD">
        <w:rPr>
          <w:rFonts w:ascii="Times New Roman" w:hAnsi="Times New Roman"/>
          <w:sz w:val="24"/>
        </w:rPr>
        <w:t>Finalmente, a possibilidade de superação de vício form</w:t>
      </w:r>
      <w:r>
        <w:rPr>
          <w:rFonts w:ascii="Times New Roman" w:hAnsi="Times New Roman"/>
          <w:sz w:val="24"/>
        </w:rPr>
        <w:t>al de recurso tempestivo (art.</w:t>
      </w:r>
      <w:r w:rsidRPr="00693BDD">
        <w:rPr>
          <w:rFonts w:ascii="Times New Roman" w:hAnsi="Times New Roman"/>
          <w:sz w:val="24"/>
        </w:rPr>
        <w:t xml:space="preserve"> 1.029, § 3°)</w:t>
      </w:r>
      <w:r>
        <w:rPr>
          <w:rStyle w:val="FootnoteReference"/>
          <w:rFonts w:ascii="Times New Roman" w:hAnsi="Times New Roman"/>
          <w:sz w:val="24"/>
        </w:rPr>
        <w:footnoteReference w:id="281"/>
      </w:r>
      <w:r w:rsidRPr="00693BDD">
        <w:rPr>
          <w:rFonts w:ascii="Times New Roman" w:hAnsi="Times New Roman"/>
          <w:sz w:val="24"/>
        </w:rPr>
        <w:t xml:space="preserve"> revela a primazia atribuída à questão material pelo </w:t>
      </w:r>
      <w:r w:rsidRPr="00A7343F">
        <w:rPr>
          <w:rFonts w:ascii="Times New Roman" w:hAnsi="Times New Roman"/>
          <w:i/>
          <w:sz w:val="24"/>
        </w:rPr>
        <w:t xml:space="preserve">novel </w:t>
      </w:r>
      <w:r>
        <w:rPr>
          <w:rFonts w:ascii="Times New Roman" w:hAnsi="Times New Roman"/>
          <w:sz w:val="24"/>
        </w:rPr>
        <w:t>CPC</w:t>
      </w:r>
      <w:r w:rsidRPr="00693BDD">
        <w:rPr>
          <w:rFonts w:ascii="Times New Roman" w:hAnsi="Times New Roman"/>
          <w:sz w:val="24"/>
        </w:rPr>
        <w:t>, uma vez que se autoriza a aplicação do direito material mesmo nos feitos em que não há pressuposto recursal</w:t>
      </w:r>
      <w:r>
        <w:rPr>
          <w:rFonts w:ascii="Times New Roman" w:hAnsi="Times New Roman"/>
          <w:sz w:val="24"/>
        </w:rPr>
        <w:t>, desde que o vício formal não seja grave</w:t>
      </w:r>
      <w:r w:rsidRPr="00693BDD">
        <w:rPr>
          <w:rFonts w:ascii="Times New Roman" w:hAnsi="Times New Roman"/>
          <w:sz w:val="24"/>
        </w:rPr>
        <w:t>.</w:t>
      </w:r>
      <w:r>
        <w:rPr>
          <w:rFonts w:ascii="Times New Roman" w:hAnsi="Times New Roman"/>
          <w:sz w:val="24"/>
        </w:rPr>
        <w:t xml:space="preserve"> Tal proposta almeja, conforme verificamos na seção 4.1.1, combater a prática da jurisprudência defensiva, justificada sob o manto do excesso de trabalho nos Tribunais Superiores. </w:t>
      </w:r>
    </w:p>
    <w:p w:rsidR="00D549BC" w:rsidRDefault="00D549BC" w:rsidP="005B60F6">
      <w:pPr>
        <w:rPr>
          <w:rFonts w:ascii="Times New Roman" w:hAnsi="Times New Roman"/>
          <w:sz w:val="24"/>
        </w:rPr>
      </w:pPr>
      <w:r w:rsidRPr="00963728">
        <w:rPr>
          <w:rFonts w:ascii="Times New Roman" w:hAnsi="Times New Roman"/>
          <w:sz w:val="24"/>
        </w:rPr>
        <w:t xml:space="preserve">Em síntese, a disciplina da </w:t>
      </w:r>
      <w:r>
        <w:rPr>
          <w:rFonts w:ascii="Times New Roman" w:hAnsi="Times New Roman"/>
          <w:sz w:val="24"/>
        </w:rPr>
        <w:t>Repercussão Geral no N</w:t>
      </w:r>
      <w:r w:rsidRPr="00963728">
        <w:rPr>
          <w:rFonts w:ascii="Times New Roman" w:hAnsi="Times New Roman"/>
          <w:sz w:val="24"/>
        </w:rPr>
        <w:t>ovo Código de Processo Civil</w:t>
      </w:r>
      <w:r>
        <w:rPr>
          <w:rFonts w:ascii="Times New Roman" w:hAnsi="Times New Roman"/>
          <w:sz w:val="24"/>
        </w:rPr>
        <w:t xml:space="preserve"> (Lei 13.105, de 16 de março de 2015)</w:t>
      </w:r>
      <w:r w:rsidRPr="00963728">
        <w:rPr>
          <w:rFonts w:ascii="Times New Roman" w:hAnsi="Times New Roman"/>
          <w:sz w:val="24"/>
        </w:rPr>
        <w:t xml:space="preserve"> traz </w:t>
      </w:r>
      <w:r>
        <w:rPr>
          <w:rFonts w:ascii="Times New Roman" w:hAnsi="Times New Roman"/>
          <w:sz w:val="24"/>
        </w:rPr>
        <w:t>inovações positivas</w:t>
      </w:r>
      <w:r w:rsidRPr="00963728">
        <w:rPr>
          <w:rFonts w:ascii="Times New Roman" w:hAnsi="Times New Roman"/>
          <w:sz w:val="24"/>
        </w:rPr>
        <w:t xml:space="preserve">, </w:t>
      </w:r>
      <w:r>
        <w:rPr>
          <w:rFonts w:ascii="Times New Roman" w:hAnsi="Times New Roman"/>
          <w:sz w:val="24"/>
        </w:rPr>
        <w:t xml:space="preserve">como </w:t>
      </w:r>
      <w:r w:rsidRPr="00963728">
        <w:rPr>
          <w:rFonts w:ascii="Times New Roman" w:hAnsi="Times New Roman"/>
          <w:sz w:val="24"/>
        </w:rPr>
        <w:t xml:space="preserve">a previsão de prazo para julgamento de mérito de temas-paradigmas e a possibilidade de </w:t>
      </w:r>
      <w:r>
        <w:rPr>
          <w:rFonts w:ascii="Times New Roman" w:hAnsi="Times New Roman"/>
          <w:sz w:val="24"/>
        </w:rPr>
        <w:t>superação de vícios formais do R</w:t>
      </w:r>
      <w:r w:rsidRPr="00963728">
        <w:rPr>
          <w:rFonts w:ascii="Times New Roman" w:hAnsi="Times New Roman"/>
          <w:sz w:val="24"/>
        </w:rPr>
        <w:t xml:space="preserve">ecurso </w:t>
      </w:r>
      <w:r>
        <w:rPr>
          <w:rFonts w:ascii="Times New Roman" w:hAnsi="Times New Roman"/>
          <w:sz w:val="24"/>
        </w:rPr>
        <w:t xml:space="preserve">Extraordinário </w:t>
      </w:r>
      <w:r w:rsidRPr="00963728">
        <w:rPr>
          <w:rFonts w:ascii="Times New Roman" w:hAnsi="Times New Roman"/>
          <w:sz w:val="24"/>
        </w:rPr>
        <w:t>tempestivo</w:t>
      </w:r>
      <w:r>
        <w:rPr>
          <w:rFonts w:ascii="Times New Roman" w:hAnsi="Times New Roman"/>
          <w:sz w:val="24"/>
        </w:rPr>
        <w:t>, ou seja, combate à jurisprudência defensiva</w:t>
      </w:r>
      <w:r w:rsidRPr="00963728">
        <w:rPr>
          <w:rFonts w:ascii="Times New Roman" w:hAnsi="Times New Roman"/>
          <w:sz w:val="24"/>
        </w:rPr>
        <w:t xml:space="preserve">. </w:t>
      </w:r>
    </w:p>
    <w:p w:rsidR="00D549BC" w:rsidRDefault="00D549BC" w:rsidP="005B60F6">
      <w:pPr>
        <w:rPr>
          <w:rFonts w:ascii="Times New Roman" w:hAnsi="Times New Roman"/>
          <w:sz w:val="24"/>
        </w:rPr>
      </w:pPr>
      <w:r w:rsidRPr="00963728">
        <w:rPr>
          <w:rFonts w:ascii="Times New Roman" w:hAnsi="Times New Roman"/>
          <w:sz w:val="24"/>
        </w:rPr>
        <w:t xml:space="preserve">Contudo, é preciso que o Supremo Tribunal Federal se </w:t>
      </w:r>
      <w:r>
        <w:rPr>
          <w:rFonts w:ascii="Times New Roman" w:hAnsi="Times New Roman"/>
          <w:sz w:val="24"/>
        </w:rPr>
        <w:t>prepare para administrar a avalanche</w:t>
      </w:r>
      <w:r w:rsidRPr="00963728">
        <w:rPr>
          <w:rFonts w:ascii="Times New Roman" w:hAnsi="Times New Roman"/>
          <w:sz w:val="24"/>
        </w:rPr>
        <w:t xml:space="preserve"> de processos que</w:t>
      </w:r>
      <w:r>
        <w:rPr>
          <w:rFonts w:ascii="Times New Roman" w:hAnsi="Times New Roman"/>
          <w:sz w:val="24"/>
        </w:rPr>
        <w:t xml:space="preserve"> supostamente</w:t>
      </w:r>
      <w:r w:rsidRPr="00963728">
        <w:rPr>
          <w:rFonts w:ascii="Times New Roman" w:hAnsi="Times New Roman"/>
          <w:sz w:val="24"/>
        </w:rPr>
        <w:t xml:space="preserve"> lhe será dirigida em breve.</w:t>
      </w:r>
      <w:r>
        <w:rPr>
          <w:rFonts w:ascii="Times New Roman" w:hAnsi="Times New Roman"/>
          <w:sz w:val="24"/>
        </w:rPr>
        <w:t xml:space="preserve"> O cabimento tanto de Reclamação quanto de A</w:t>
      </w:r>
      <w:r w:rsidRPr="00963728">
        <w:rPr>
          <w:rFonts w:ascii="Times New Roman" w:hAnsi="Times New Roman"/>
          <w:sz w:val="24"/>
        </w:rPr>
        <w:t>gravo contra decisões das instâncias de orige</w:t>
      </w:r>
      <w:r>
        <w:rPr>
          <w:rFonts w:ascii="Times New Roman" w:hAnsi="Times New Roman"/>
          <w:sz w:val="24"/>
        </w:rPr>
        <w:t>m que aplicam à sistemática da Repercussão G</w:t>
      </w:r>
      <w:r w:rsidRPr="00963728">
        <w:rPr>
          <w:rFonts w:ascii="Times New Roman" w:hAnsi="Times New Roman"/>
          <w:sz w:val="24"/>
        </w:rPr>
        <w:t>eral</w:t>
      </w:r>
      <w:r>
        <w:rPr>
          <w:rFonts w:ascii="Times New Roman" w:hAnsi="Times New Roman"/>
          <w:sz w:val="24"/>
        </w:rPr>
        <w:t xml:space="preserve"> poderá </w:t>
      </w:r>
      <w:r w:rsidRPr="00963728">
        <w:rPr>
          <w:rFonts w:ascii="Times New Roman" w:hAnsi="Times New Roman"/>
          <w:sz w:val="24"/>
        </w:rPr>
        <w:t>representa</w:t>
      </w:r>
      <w:r>
        <w:rPr>
          <w:rFonts w:ascii="Times New Roman" w:hAnsi="Times New Roman"/>
          <w:sz w:val="24"/>
        </w:rPr>
        <w:t>r</w:t>
      </w:r>
      <w:r w:rsidRPr="00963728">
        <w:rPr>
          <w:rFonts w:ascii="Times New Roman" w:hAnsi="Times New Roman"/>
          <w:sz w:val="24"/>
        </w:rPr>
        <w:t xml:space="preserve"> o </w:t>
      </w:r>
      <w:r>
        <w:rPr>
          <w:rFonts w:ascii="Times New Roman" w:hAnsi="Times New Roman"/>
          <w:sz w:val="24"/>
        </w:rPr>
        <w:t>“</w:t>
      </w:r>
      <w:r w:rsidRPr="00963728">
        <w:rPr>
          <w:rFonts w:ascii="Times New Roman" w:hAnsi="Times New Roman"/>
          <w:sz w:val="24"/>
        </w:rPr>
        <w:t xml:space="preserve">calcanhar de </w:t>
      </w:r>
      <w:r>
        <w:rPr>
          <w:rFonts w:ascii="Times New Roman" w:hAnsi="Times New Roman"/>
          <w:sz w:val="24"/>
        </w:rPr>
        <w:t>a</w:t>
      </w:r>
      <w:r w:rsidRPr="00963728">
        <w:rPr>
          <w:rFonts w:ascii="Times New Roman" w:hAnsi="Times New Roman"/>
          <w:sz w:val="24"/>
        </w:rPr>
        <w:t>quiles</w:t>
      </w:r>
      <w:r>
        <w:rPr>
          <w:rFonts w:ascii="Times New Roman" w:hAnsi="Times New Roman"/>
          <w:sz w:val="24"/>
        </w:rPr>
        <w:t xml:space="preserve">” do STF, assim como, o fim do juízo prévio de admissibilidade. </w:t>
      </w:r>
    </w:p>
    <w:p w:rsidR="00D549BC" w:rsidRDefault="00D549BC" w:rsidP="005B60F6">
      <w:pPr>
        <w:rPr>
          <w:rFonts w:ascii="Times New Roman" w:hAnsi="Times New Roman"/>
          <w:sz w:val="24"/>
        </w:rPr>
      </w:pPr>
      <w:r>
        <w:rPr>
          <w:rFonts w:ascii="Times New Roman" w:hAnsi="Times New Roman"/>
          <w:sz w:val="24"/>
        </w:rPr>
        <w:t>A abertura daquelas novas</w:t>
      </w:r>
      <w:r w:rsidRPr="00FF33EE">
        <w:rPr>
          <w:rFonts w:ascii="Times New Roman" w:hAnsi="Times New Roman"/>
          <w:sz w:val="24"/>
        </w:rPr>
        <w:t xml:space="preserve"> vias processuais</w:t>
      </w:r>
      <w:r>
        <w:rPr>
          <w:rFonts w:ascii="Times New Roman" w:hAnsi="Times New Roman"/>
          <w:sz w:val="24"/>
        </w:rPr>
        <w:t>, por meio de Agravos e Reclamações,</w:t>
      </w:r>
      <w:r w:rsidRPr="00FF33EE">
        <w:rPr>
          <w:rFonts w:ascii="Times New Roman" w:hAnsi="Times New Roman"/>
          <w:sz w:val="24"/>
        </w:rPr>
        <w:t xml:space="preserve"> pode</w:t>
      </w:r>
      <w:r>
        <w:rPr>
          <w:rFonts w:ascii="Times New Roman" w:hAnsi="Times New Roman"/>
          <w:sz w:val="24"/>
        </w:rPr>
        <w:t>rá causar um novo desvirtuamento do instituto da Repercussão G</w:t>
      </w:r>
      <w:r w:rsidRPr="00FF33EE">
        <w:rPr>
          <w:rFonts w:ascii="Times New Roman" w:hAnsi="Times New Roman"/>
          <w:sz w:val="24"/>
        </w:rPr>
        <w:t>eral, por isso é preciso que o Supremo Tribunal Federal esteja atento a</w:t>
      </w:r>
      <w:r>
        <w:rPr>
          <w:rFonts w:ascii="Times New Roman" w:hAnsi="Times New Roman"/>
          <w:sz w:val="24"/>
        </w:rPr>
        <w:t>o fenômeno</w:t>
      </w:r>
      <w:r w:rsidRPr="00FF33EE">
        <w:rPr>
          <w:rFonts w:ascii="Times New Roman" w:hAnsi="Times New Roman"/>
          <w:sz w:val="24"/>
        </w:rPr>
        <w:t>.</w:t>
      </w:r>
    </w:p>
    <w:p w:rsidR="00D549BC" w:rsidRDefault="00D549BC" w:rsidP="005B60F6">
      <w:pPr>
        <w:rPr>
          <w:rFonts w:ascii="Times New Roman" w:hAnsi="Times New Roman"/>
          <w:sz w:val="24"/>
        </w:rPr>
      </w:pPr>
      <w:r>
        <w:rPr>
          <w:rFonts w:ascii="Times New Roman" w:hAnsi="Times New Roman"/>
          <w:sz w:val="24"/>
        </w:rPr>
        <w:t xml:space="preserve">Inclusive, recentemente, o Ministro Gilmar Mendes, do Supremo Tribunal Federal, reuniu-se com membros do Congresso Nacional com o fito de tentar prorrogar a entrada em vigor do Novo Código de Processo Civil, justamente para discutir propostas de mudanças no </w:t>
      </w:r>
      <w:r w:rsidRPr="00502C93">
        <w:rPr>
          <w:rFonts w:ascii="Times New Roman" w:hAnsi="Times New Roman"/>
          <w:i/>
          <w:sz w:val="24"/>
        </w:rPr>
        <w:t>novel</w:t>
      </w:r>
      <w:r>
        <w:rPr>
          <w:rFonts w:ascii="Times New Roman" w:hAnsi="Times New Roman"/>
          <w:sz w:val="24"/>
        </w:rPr>
        <w:t xml:space="preserve"> código, a fim de evitar uma provável sobrecarga recursal, tanto no STF quanto no STJ.</w:t>
      </w:r>
      <w:r>
        <w:rPr>
          <w:rStyle w:val="FootnoteReference"/>
          <w:rFonts w:ascii="Times New Roman" w:hAnsi="Times New Roman"/>
          <w:sz w:val="24"/>
        </w:rPr>
        <w:footnoteReference w:id="282"/>
      </w:r>
      <w:r>
        <w:rPr>
          <w:rFonts w:ascii="Times New Roman" w:hAnsi="Times New Roman"/>
          <w:sz w:val="24"/>
        </w:rPr>
        <w:t xml:space="preserve"> </w:t>
      </w: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pPr>
    </w:p>
    <w:p w:rsidR="00D549BC" w:rsidRDefault="00D549BC" w:rsidP="00502C93">
      <w:pPr>
        <w:ind w:firstLine="851"/>
        <w:rPr>
          <w:rFonts w:ascii="Times New Roman" w:hAnsi="Times New Roman"/>
          <w:sz w:val="24"/>
        </w:rPr>
        <w:sectPr w:rsidR="00D549BC" w:rsidSect="009A39A8">
          <w:footnotePr>
            <w:numRestart w:val="eachSect"/>
          </w:footnotePr>
          <w:pgSz w:w="11906" w:h="16838" w:code="9"/>
          <w:pgMar w:top="1701" w:right="1134" w:bottom="1134" w:left="1701" w:header="709" w:footer="709" w:gutter="0"/>
          <w:cols w:space="708"/>
          <w:titlePg/>
          <w:docGrid w:linePitch="360"/>
        </w:sectPr>
      </w:pPr>
    </w:p>
    <w:p w:rsidR="00D549BC" w:rsidRDefault="00D549BC" w:rsidP="000A100A">
      <w:pPr>
        <w:pStyle w:val="TOC2"/>
        <w:numPr>
          <w:ilvl w:val="0"/>
          <w:numId w:val="0"/>
        </w:numPr>
      </w:pPr>
      <w:r>
        <w:rPr>
          <w:rFonts w:eastAsia="Times New Roman"/>
        </w:rPr>
        <w:t>6</w:t>
      </w:r>
      <w:r>
        <w:t xml:space="preserve"> REFERÊNCIAS</w:t>
      </w:r>
    </w:p>
    <w:p w:rsidR="00D549BC" w:rsidRDefault="00D549BC" w:rsidP="003D6AE9">
      <w:pPr>
        <w:pStyle w:val="FootnoteText"/>
        <w:ind w:left="284" w:hanging="284"/>
        <w:rPr>
          <w:rFonts w:ascii="Times New Roman" w:hAnsi="Times New Roman"/>
          <w:sz w:val="24"/>
          <w:szCs w:val="24"/>
        </w:rPr>
      </w:pP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ABBUD, André de Albuquerque Cavalcanti. A repercussão geral dos recursos extraordinários e o julgamento por amostragem no âmbito do Supremo Tribunal Federal. In: MONTEIRO, Vítor José de Melo; GIANNICO, Maurício. (Org.). </w:t>
      </w:r>
      <w:r w:rsidRPr="005F54CC">
        <w:rPr>
          <w:rFonts w:ascii="Times New Roman" w:hAnsi="Times New Roman"/>
          <w:b/>
          <w:sz w:val="24"/>
          <w:szCs w:val="24"/>
        </w:rPr>
        <w:t>As novas reformas do CPC e de outras normas processuais</w:t>
      </w:r>
      <w:r w:rsidRPr="005F54CC">
        <w:rPr>
          <w:rFonts w:ascii="Times New Roman" w:hAnsi="Times New Roman"/>
          <w:sz w:val="24"/>
          <w:szCs w:val="24"/>
        </w:rPr>
        <w:t>. São Paulo: Saraiva, 2008.</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ABREU, Iduna Weinert. A arguição de relevância da questão federal. </w:t>
      </w:r>
      <w:r w:rsidRPr="005F54CC">
        <w:rPr>
          <w:rFonts w:ascii="Times New Roman" w:hAnsi="Times New Roman"/>
          <w:b/>
          <w:sz w:val="24"/>
          <w:szCs w:val="24"/>
        </w:rPr>
        <w:t>Revista de Informação Legislativa</w:t>
      </w:r>
      <w:r w:rsidRPr="005F54CC">
        <w:rPr>
          <w:rFonts w:ascii="Times New Roman" w:hAnsi="Times New Roman"/>
          <w:sz w:val="24"/>
          <w:szCs w:val="24"/>
        </w:rPr>
        <w:t>, v. 16, n. 61, jan./mar. de 1979.</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AGGIO, Alberto; BARBOSA, Agnaldo; COELHO, Hercídia. </w:t>
      </w:r>
      <w:r w:rsidRPr="005F54CC">
        <w:rPr>
          <w:rFonts w:ascii="Times New Roman" w:hAnsi="Times New Roman"/>
          <w:b/>
          <w:sz w:val="24"/>
          <w:szCs w:val="24"/>
        </w:rPr>
        <w:t>Política e Sociedade no Brasil</w:t>
      </w:r>
      <w:r w:rsidRPr="005F54CC">
        <w:rPr>
          <w:rFonts w:ascii="Times New Roman" w:hAnsi="Times New Roman"/>
          <w:sz w:val="24"/>
          <w:szCs w:val="24"/>
        </w:rPr>
        <w:t>: 1930-1964. São Paulo: Annablume, 2002.</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AGRA, Walber de Moura. </w:t>
      </w:r>
      <w:r w:rsidRPr="005F54CC">
        <w:rPr>
          <w:rFonts w:ascii="Times New Roman" w:hAnsi="Times New Roman"/>
          <w:b/>
          <w:sz w:val="24"/>
          <w:szCs w:val="24"/>
        </w:rPr>
        <w:t>Curso de Direito Constitucional</w:t>
      </w:r>
      <w:r w:rsidRPr="005F54CC">
        <w:rPr>
          <w:rFonts w:ascii="Times New Roman" w:hAnsi="Times New Roman"/>
          <w:sz w:val="24"/>
          <w:szCs w:val="24"/>
        </w:rPr>
        <w:t>. 8. ed. Rio de Janeiro: Forense,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ALVES, José Carlos Moreira. O STF no período de minha judicatura: 1975 a 2003. </w:t>
      </w:r>
      <w:r w:rsidRPr="005F54CC">
        <w:rPr>
          <w:rFonts w:ascii="Times New Roman" w:hAnsi="Times New Roman"/>
          <w:b/>
          <w:sz w:val="24"/>
          <w:szCs w:val="24"/>
        </w:rPr>
        <w:t>Revista Forense</w:t>
      </w:r>
      <w:r w:rsidRPr="005F54CC">
        <w:rPr>
          <w:rFonts w:ascii="Times New Roman" w:hAnsi="Times New Roman"/>
          <w:sz w:val="24"/>
          <w:szCs w:val="24"/>
        </w:rPr>
        <w:t>, v. 400, ano 104, nov./dez. 2008.</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ARGUELHES, Diego Werneck; CERDEIRA, Pablo de Camargo; FALCÃO, Joaquim. </w:t>
      </w:r>
      <w:r w:rsidRPr="005F54CC">
        <w:rPr>
          <w:rFonts w:ascii="Times New Roman" w:hAnsi="Times New Roman"/>
          <w:b/>
          <w:sz w:val="24"/>
          <w:szCs w:val="24"/>
        </w:rPr>
        <w:t>I Relatório Supremo em Números</w:t>
      </w:r>
      <w:r w:rsidRPr="005F54CC">
        <w:rPr>
          <w:rFonts w:ascii="Times New Roman" w:hAnsi="Times New Roman"/>
          <w:sz w:val="24"/>
          <w:szCs w:val="24"/>
        </w:rPr>
        <w:t>: o Múltiplo Supremo. Rio de Janeiro: FGV-RIO, 2011. Disponível em: http://www.fgv.br/supremoemnumeros/publicacoes.html. Acesso em: 25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ARRUDA ALVIM NETO, José Manoel de. </w:t>
      </w:r>
      <w:r w:rsidRPr="005F54CC">
        <w:rPr>
          <w:rFonts w:ascii="Times New Roman" w:hAnsi="Times New Roman"/>
          <w:b/>
          <w:sz w:val="24"/>
          <w:szCs w:val="24"/>
        </w:rPr>
        <w:t>A Arguição de Relevância no Recurso Extraordinário</w:t>
      </w:r>
      <w:r w:rsidRPr="005F54CC">
        <w:rPr>
          <w:rFonts w:ascii="Times New Roman" w:hAnsi="Times New Roman"/>
          <w:sz w:val="24"/>
          <w:szCs w:val="24"/>
        </w:rPr>
        <w:t>. São Paulo: Revista dos Tribunais, 1988.</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ASSUMPÇÃO. Hélcio Alves de. Recurso extraordinário: requisitos constitucionais de admissibilidade. In: </w:t>
      </w:r>
      <w:r w:rsidRPr="005F54CC">
        <w:rPr>
          <w:rFonts w:ascii="Times New Roman" w:hAnsi="Times New Roman"/>
          <w:b/>
          <w:sz w:val="24"/>
          <w:szCs w:val="24"/>
        </w:rPr>
        <w:t>Meios de Impugnação ao Julgado Civil</w:t>
      </w:r>
      <w:r w:rsidRPr="005F54CC">
        <w:rPr>
          <w:rFonts w:ascii="Times New Roman" w:hAnsi="Times New Roman"/>
          <w:sz w:val="24"/>
          <w:szCs w:val="24"/>
        </w:rPr>
        <w:t xml:space="preserve"> – estudos em homenagem a José Carlos Barbosa Moreira, Adroaldo Fabrício (coord.). Rio de Janeiro: Forense, 2007.</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AZEVEDO, Filadelfo. A Crise do Supremo Tribunal. </w:t>
      </w:r>
      <w:r w:rsidRPr="005F54CC">
        <w:rPr>
          <w:rFonts w:ascii="Times New Roman" w:hAnsi="Times New Roman"/>
          <w:b/>
          <w:sz w:val="24"/>
          <w:szCs w:val="24"/>
        </w:rPr>
        <w:t>Revista Arquivos do Ministério da Justiça</w:t>
      </w:r>
      <w:r w:rsidRPr="005F54CC">
        <w:rPr>
          <w:rFonts w:ascii="Times New Roman" w:hAnsi="Times New Roman"/>
          <w:sz w:val="24"/>
          <w:szCs w:val="24"/>
        </w:rPr>
        <w:t>, 1943, v.1</w:t>
      </w:r>
      <w:r>
        <w:rPr>
          <w:rFonts w:ascii="Times New Roman" w:hAnsi="Times New Roman"/>
          <w:sz w:val="24"/>
          <w:szCs w:val="24"/>
        </w:rPr>
        <w:t>.</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BAPTISTA, N. Doreste. </w:t>
      </w:r>
      <w:r w:rsidRPr="005F54CC">
        <w:rPr>
          <w:rFonts w:ascii="Times New Roman" w:hAnsi="Times New Roman"/>
          <w:b/>
          <w:sz w:val="24"/>
          <w:szCs w:val="24"/>
        </w:rPr>
        <w:t>Da Arguição de Relevância no Recurso Extraordinário</w:t>
      </w:r>
      <w:r w:rsidRPr="005F54CC">
        <w:rPr>
          <w:rFonts w:ascii="Times New Roman" w:hAnsi="Times New Roman"/>
          <w:sz w:val="24"/>
          <w:szCs w:val="24"/>
        </w:rPr>
        <w:t>. Rio de Janeiro: Forense, 1976.</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BARBOSA, Ruy. </w:t>
      </w:r>
      <w:r w:rsidRPr="005F54CC">
        <w:rPr>
          <w:rFonts w:ascii="Times New Roman" w:hAnsi="Times New Roman"/>
          <w:b/>
          <w:sz w:val="24"/>
          <w:szCs w:val="24"/>
        </w:rPr>
        <w:t>Obras Completas de Rui Barbosa</w:t>
      </w:r>
      <w:r w:rsidRPr="005F54CC">
        <w:rPr>
          <w:rFonts w:ascii="Times New Roman" w:hAnsi="Times New Roman"/>
          <w:sz w:val="24"/>
          <w:szCs w:val="24"/>
        </w:rPr>
        <w:t xml:space="preserve"> </w:t>
      </w:r>
      <w:r w:rsidRPr="005F54CC">
        <w:rPr>
          <w:rFonts w:ascii="Times New Roman" w:hAnsi="Times New Roman"/>
          <w:b/>
          <w:sz w:val="24"/>
          <w:szCs w:val="24"/>
        </w:rPr>
        <w:t>–</w:t>
      </w:r>
      <w:r w:rsidRPr="005F54CC">
        <w:rPr>
          <w:rFonts w:ascii="Times New Roman" w:hAnsi="Times New Roman"/>
          <w:sz w:val="24"/>
          <w:szCs w:val="24"/>
        </w:rPr>
        <w:t xml:space="preserve"> OCRBdigital. Disponível em: http://www.casaruibarbosa.gov.br/rbonline/obrasCompletas.htm. Acesso em: 31 ago. 2014.</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BARROSO, Luís Roberto.</w:t>
      </w:r>
      <w:r w:rsidRPr="005F54CC">
        <w:rPr>
          <w:rFonts w:ascii="Times New Roman" w:hAnsi="Times New Roman"/>
          <w:b/>
          <w:sz w:val="24"/>
          <w:szCs w:val="24"/>
        </w:rPr>
        <w:t xml:space="preserve"> A Americanização do Direito Constitucional e seus paradoxos</w:t>
      </w:r>
      <w:r w:rsidRPr="005F54CC">
        <w:rPr>
          <w:rFonts w:ascii="Times New Roman" w:hAnsi="Times New Roman"/>
          <w:sz w:val="24"/>
          <w:szCs w:val="24"/>
        </w:rPr>
        <w:t>: teoria e jurisprudência constitucional no mundo contemporâneo.</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_____. Entrevista. </w:t>
      </w:r>
      <w:r w:rsidRPr="005F54CC">
        <w:rPr>
          <w:rFonts w:ascii="Times New Roman" w:hAnsi="Times New Roman"/>
          <w:b/>
          <w:sz w:val="24"/>
          <w:szCs w:val="24"/>
        </w:rPr>
        <w:t>Consultor Jurídico</w:t>
      </w:r>
      <w:r w:rsidRPr="005F54CC">
        <w:rPr>
          <w:rFonts w:ascii="Times New Roman" w:hAnsi="Times New Roman"/>
          <w:sz w:val="24"/>
          <w:szCs w:val="24"/>
        </w:rPr>
        <w:t xml:space="preserve"> (ConJur). Disponível em: http://www.conjur.com.br/2015-jul-02/entrevista-luis-roberto-barroso-ministro-stf-parte. Acesso em: 3 jul. 2015.</w:t>
      </w:r>
    </w:p>
    <w:p w:rsidR="00D549BC" w:rsidRPr="005F54CC" w:rsidRDefault="00D549BC" w:rsidP="004E5EC4">
      <w:pPr>
        <w:ind w:left="284" w:hanging="284"/>
        <w:rPr>
          <w:rFonts w:ascii="Times New Roman" w:hAnsi="Times New Roman"/>
          <w:sz w:val="24"/>
          <w:szCs w:val="24"/>
        </w:rPr>
      </w:pPr>
      <w:r>
        <w:rPr>
          <w:rFonts w:ascii="Times New Roman" w:hAnsi="Times New Roman"/>
          <w:sz w:val="24"/>
          <w:szCs w:val="24"/>
        </w:rPr>
        <w:t xml:space="preserve">_____. </w:t>
      </w:r>
      <w:r w:rsidRPr="005F54CC">
        <w:rPr>
          <w:rFonts w:ascii="Times New Roman" w:hAnsi="Times New Roman"/>
          <w:sz w:val="24"/>
          <w:szCs w:val="24"/>
        </w:rPr>
        <w:t xml:space="preserve">Entrevista. </w:t>
      </w:r>
      <w:r w:rsidRPr="005F54CC">
        <w:rPr>
          <w:rFonts w:ascii="Times New Roman" w:hAnsi="Times New Roman"/>
          <w:b/>
          <w:sz w:val="24"/>
          <w:szCs w:val="24"/>
        </w:rPr>
        <w:t>Os Constitucionalistas</w:t>
      </w:r>
      <w:r w:rsidRPr="005F54CC">
        <w:rPr>
          <w:rFonts w:ascii="Times New Roman" w:hAnsi="Times New Roman"/>
          <w:sz w:val="24"/>
          <w:szCs w:val="24"/>
        </w:rPr>
        <w:t>.  Disponível em: http://www.osconstitucionalistas.com.br/entrevista-luis-roberto-barroso-nao-tenho-nenhum-orgulho-do-volume-de-processos-que-o-supremo-julga. Acesso em: 23 fev. 2015.</w:t>
      </w:r>
    </w:p>
    <w:p w:rsidR="00D549B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_____. </w:t>
      </w:r>
      <w:r w:rsidRPr="005F54CC">
        <w:rPr>
          <w:rFonts w:ascii="Times New Roman" w:hAnsi="Times New Roman"/>
          <w:b/>
          <w:sz w:val="24"/>
          <w:szCs w:val="24"/>
        </w:rPr>
        <w:t>O Controle de Constitucionalidade no Direito Brasileiro</w:t>
      </w:r>
      <w:r w:rsidRPr="005F54CC">
        <w:rPr>
          <w:rFonts w:ascii="Times New Roman" w:hAnsi="Times New Roman"/>
          <w:sz w:val="24"/>
          <w:szCs w:val="24"/>
        </w:rPr>
        <w:t>. 6. ed., revista e atualizada. São Paulo: Saraiva, 2012.</w:t>
      </w:r>
    </w:p>
    <w:p w:rsidR="00D549BC" w:rsidRPr="005F54CC" w:rsidRDefault="00D549BC" w:rsidP="004E5EC4">
      <w:pPr>
        <w:ind w:left="284" w:hanging="284"/>
        <w:rPr>
          <w:rFonts w:ascii="Times New Roman" w:hAnsi="Times New Roman"/>
          <w:sz w:val="24"/>
          <w:szCs w:val="24"/>
        </w:rPr>
      </w:pPr>
      <w:r>
        <w:rPr>
          <w:rFonts w:ascii="Times New Roman" w:hAnsi="Times New Roman"/>
          <w:sz w:val="24"/>
          <w:szCs w:val="24"/>
        </w:rPr>
        <w:t xml:space="preserve">_____. </w:t>
      </w:r>
      <w:r w:rsidRPr="005F1F15">
        <w:rPr>
          <w:rFonts w:ascii="Times New Roman" w:hAnsi="Times New Roman"/>
          <w:b/>
          <w:sz w:val="24"/>
          <w:szCs w:val="24"/>
        </w:rPr>
        <w:t>Curso de Direito Constitucional Contemporâneo</w:t>
      </w:r>
      <w:r>
        <w:rPr>
          <w:rFonts w:ascii="Times New Roman" w:hAnsi="Times New Roman"/>
          <w:sz w:val="24"/>
          <w:szCs w:val="24"/>
        </w:rPr>
        <w:t xml:space="preserve">: os conceitos fundamentais e a construção do novo modelo. 3. ed. São Paulo: Saraiva, 2011.   </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_____. </w:t>
      </w:r>
      <w:r w:rsidRPr="005F54CC">
        <w:rPr>
          <w:rFonts w:ascii="Times New Roman" w:hAnsi="Times New Roman"/>
          <w:b/>
          <w:sz w:val="24"/>
          <w:szCs w:val="24"/>
        </w:rPr>
        <w:t>Reflexões sobre as Competências e o Funcionamento do Supremo Tribunal Federal</w:t>
      </w:r>
      <w:r w:rsidRPr="005F54CC">
        <w:rPr>
          <w:rFonts w:ascii="Times New Roman" w:hAnsi="Times New Roman"/>
          <w:sz w:val="24"/>
          <w:szCs w:val="24"/>
        </w:rPr>
        <w:t>. Disponível em: http://www.luisrobertobarroso.com.br/?p=1087. Acesso em: 8 out. 2014.</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_____. Retrospectiva 2014: Ano trouxe mudanças e amadurecimento do Supremo Tribunal Federal. Resenha. </w:t>
      </w:r>
      <w:r w:rsidRPr="005F54CC">
        <w:rPr>
          <w:rFonts w:ascii="Times New Roman" w:hAnsi="Times New Roman"/>
          <w:b/>
          <w:sz w:val="24"/>
          <w:szCs w:val="24"/>
        </w:rPr>
        <w:t>Consultor Jurídico</w:t>
      </w:r>
      <w:r w:rsidRPr="005F54CC">
        <w:rPr>
          <w:rFonts w:ascii="Times New Roman" w:hAnsi="Times New Roman"/>
          <w:sz w:val="24"/>
          <w:szCs w:val="24"/>
        </w:rPr>
        <w:t xml:space="preserve"> (ConJur), 2 de fevereiro de 2015. Disponível em: http://www.conjur.com.br/2015-fev-02/ano-trouxe-mudancas-amadurecimento-supremo-tribunal-federal. Acesso em: 20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BESTER BENITEZ, Gisela Maria. </w:t>
      </w:r>
      <w:r w:rsidRPr="005F54CC">
        <w:rPr>
          <w:rFonts w:ascii="Times New Roman" w:hAnsi="Times New Roman"/>
          <w:b/>
          <w:sz w:val="24"/>
          <w:szCs w:val="24"/>
        </w:rPr>
        <w:t>O controle de constitucionalidade jurisdicional nos países do Mercosul e a amplitude democrática do acesso à justiça constitucional</w:t>
      </w:r>
      <w:r w:rsidRPr="005F54CC">
        <w:rPr>
          <w:rFonts w:ascii="Times New Roman" w:hAnsi="Times New Roman"/>
          <w:sz w:val="24"/>
          <w:szCs w:val="24"/>
        </w:rPr>
        <w:t xml:space="preserve">: análise comparativa no âmbito do direito processual constitucional, 2003. </w:t>
      </w:r>
      <w:r>
        <w:rPr>
          <w:rFonts w:ascii="Times New Roman" w:hAnsi="Times New Roman"/>
          <w:sz w:val="24"/>
          <w:szCs w:val="24"/>
        </w:rPr>
        <w:t xml:space="preserve">Disponível em: </w:t>
      </w:r>
      <w:r w:rsidRPr="00A55A02">
        <w:rPr>
          <w:rFonts w:ascii="Times New Roman" w:hAnsi="Times New Roman"/>
          <w:sz w:val="24"/>
          <w:szCs w:val="24"/>
        </w:rPr>
        <w:t>http://www.juridicas.unam.mx/publica/librev/rev/dconstla/cont/2003/pr/pr13.pdf</w:t>
      </w:r>
      <w:r>
        <w:rPr>
          <w:rFonts w:ascii="Times New Roman" w:hAnsi="Times New Roman"/>
          <w:sz w:val="24"/>
          <w:szCs w:val="24"/>
        </w:rPr>
        <w:t>. Acesso em: 5 ago. 2014.</w:t>
      </w:r>
      <w:r w:rsidRPr="005F54CC">
        <w:rPr>
          <w:rFonts w:ascii="Times New Roman" w:hAnsi="Times New Roman"/>
          <w:sz w:val="24"/>
          <w:szCs w:val="24"/>
        </w:rPr>
        <w:t xml:space="preserve"> </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BITTENCOURT, C. A. Lúcio. </w:t>
      </w:r>
      <w:r w:rsidRPr="005F54CC">
        <w:rPr>
          <w:rFonts w:ascii="Times New Roman" w:hAnsi="Times New Roman"/>
          <w:b/>
          <w:sz w:val="24"/>
          <w:szCs w:val="24"/>
        </w:rPr>
        <w:t>O controle jurisdicional de constitucionalidade das leis</w:t>
      </w:r>
      <w:r w:rsidRPr="005F54CC">
        <w:rPr>
          <w:rFonts w:ascii="Times New Roman" w:hAnsi="Times New Roman"/>
          <w:sz w:val="24"/>
          <w:szCs w:val="24"/>
        </w:rPr>
        <w:t>. 2. ed. Rio de Janeiro: Forense, 1968.</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BONAVIDES, Paulo. </w:t>
      </w:r>
      <w:r w:rsidRPr="005F54CC">
        <w:rPr>
          <w:rFonts w:ascii="Times New Roman" w:hAnsi="Times New Roman"/>
          <w:b/>
          <w:sz w:val="24"/>
          <w:szCs w:val="24"/>
        </w:rPr>
        <w:t>Curso de Direito Constitucional</w:t>
      </w:r>
      <w:r w:rsidRPr="005F54CC">
        <w:rPr>
          <w:rFonts w:ascii="Times New Roman" w:hAnsi="Times New Roman"/>
          <w:sz w:val="24"/>
          <w:szCs w:val="24"/>
        </w:rPr>
        <w:t>. 27. ed. São Paulo: Malheiros.</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BRANCO, Paulo Gustavo Gonet; MENDES, Gilmar Ferreira. </w:t>
      </w:r>
      <w:r w:rsidRPr="005F54CC">
        <w:rPr>
          <w:rFonts w:ascii="Times New Roman" w:hAnsi="Times New Roman"/>
          <w:b/>
          <w:sz w:val="24"/>
          <w:szCs w:val="24"/>
        </w:rPr>
        <w:t>Curso de Direito Constitucional</w:t>
      </w:r>
      <w:r w:rsidRPr="005F54CC">
        <w:rPr>
          <w:rFonts w:ascii="Times New Roman" w:hAnsi="Times New Roman"/>
          <w:sz w:val="24"/>
          <w:szCs w:val="24"/>
        </w:rPr>
        <w:t>. 9. ed. São Paulo: Saraiva,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BRANDÃO, Rodrigo. </w:t>
      </w:r>
      <w:r w:rsidRPr="005F54CC">
        <w:rPr>
          <w:rFonts w:ascii="Times New Roman" w:hAnsi="Times New Roman"/>
          <w:b/>
          <w:sz w:val="24"/>
          <w:szCs w:val="24"/>
        </w:rPr>
        <w:t>Supremacia Judicial versus Diálogos Constitucionais</w:t>
      </w:r>
      <w:r w:rsidRPr="005F54CC">
        <w:rPr>
          <w:rFonts w:ascii="Times New Roman" w:hAnsi="Times New Roman"/>
          <w:sz w:val="24"/>
          <w:szCs w:val="24"/>
        </w:rPr>
        <w:t>: a quem cabe a última palavra sobre o sentido da Constituição? Rio de Janeiro: Lumen Juris, 2012.</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BRASIL. Lei 3.396, de 2 de junho de 1958. Disponível em: http://www.planalto.gov.br/ccivil_03/LEIS/1950-1969/L3396.htm#art8. Acesso em: 10 out.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Constituição da República Federativa do Brasil de 1988. Disponível em: http://www.planalto.gov.br/ccivil_03/constituicao/constituicaocompilado.htm. Acesso em: 5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Emenda Constitucional nº 7, de 13 abril de 1977. Disponível em: https://www.planalto.gov.br/ccivil_03/Constituicao/Emendas/Emc_anterior1988/emc07-77.htm. Acesso em: 15 out.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Lei nº 5.869, de 11 de janeiro de 1973 - Código de Processo Civil.</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Lei nº 9.469, de 10 de julho de 1997.</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Lei 10.259, de 12 de julho de 2001. Disponível em: http://www.planalto.gov.br/ccivil_03/leis/leis_2001/l10259.htm. Acesso em: 13 out.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Lei 11.418, de 19 de dezembro de 2006. Disponível em: http://www.planalto.gov.br/ccivil_03/_ato2004-2006/2006/lei/l11418.htm. Acesso em: 2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Lei 13.105, de 16 de março de 2015 – Código de Processo Civil. Disponível em: http://www.planalto.gov.br/ccivil_03/_Ato2015-2018/2015/Lei/L13105.htm#art1046. Acesso em: 22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Lei nº 11.417, de 19 de dezembro de 2006. Disponível em: http://www.planalto.gov.br/ccivil_03/_ato2004-2006/2006/lei/l11417.htm. Acesso em: 1º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Lei 11.418, de 19 de dezembro de 2006. Disponível em: http://www.planalto.gov.br/ccivil_03/_ato2004-2006/2006/lei/l11418.htm. Acesso em: 1º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Lei 13.105, de 16 de março de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Planalto. Panteão dos Clássicos. Disponível em: http://www.planalto.gov.br/ccivil_03/revista/Rev_68/panteao/panteao.htm. Acesso em: 15 out.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Superior Tribunal de Justiça. </w:t>
      </w:r>
      <w:r w:rsidRPr="0014370F">
        <w:rPr>
          <w:rFonts w:ascii="Times New Roman" w:hAnsi="Times New Roman"/>
          <w:sz w:val="24"/>
          <w:szCs w:val="24"/>
        </w:rPr>
        <w:t xml:space="preserve">AgRg no Ag 1.074.826/SP. Rel. </w:t>
      </w:r>
      <w:r w:rsidRPr="005F54CC">
        <w:rPr>
          <w:rFonts w:ascii="Times New Roman" w:hAnsi="Times New Roman"/>
          <w:sz w:val="24"/>
          <w:szCs w:val="24"/>
        </w:rPr>
        <w:t>Min. Luiz Fux. DJ: 15.12.2008. Disponível em: https://ww2.stj.jus.br/processo/revista/inteiroteor/?num_registro=200801736431&amp;dt_publicacao=15/12/2008. Acesso em: 21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Superior Tribunal de Justiça. </w:t>
      </w:r>
      <w:r w:rsidRPr="0014370F">
        <w:rPr>
          <w:rFonts w:ascii="Times New Roman" w:hAnsi="Times New Roman"/>
          <w:sz w:val="24"/>
          <w:szCs w:val="24"/>
        </w:rPr>
        <w:t xml:space="preserve">AgRg no Ag 1.113.494/SP. Rel. </w:t>
      </w:r>
      <w:r w:rsidRPr="005F54CC">
        <w:rPr>
          <w:rFonts w:ascii="Times New Roman" w:hAnsi="Times New Roman"/>
          <w:sz w:val="24"/>
          <w:szCs w:val="24"/>
        </w:rPr>
        <w:t>Min. Castro Meira. DJe: 29.05.2009. Disponível em: https://ww2.stj.jus.br/processo/revista/inteiroteor/?num_registro=200802302980&amp;dt_publicacao=29/05/2009. Acesso em: 30 de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Superior Tribunal de Justiça. AgRg no REsp 1.034.913/MA. Rel. Min. Marco Buzzi. DJe: 03.12.2013. Disponível em: http://redir.stf.jus.br/paginadorpub/paginador.jsp?docTP=TP&amp;docID=4864417. Acesso em: 25 mar. 2015.</w:t>
      </w:r>
    </w:p>
    <w:p w:rsidR="00D549BC" w:rsidRPr="005F54CC" w:rsidRDefault="00D549BC" w:rsidP="004E5EC4">
      <w:pPr>
        <w:pStyle w:val="FootnoteText"/>
        <w:spacing w:line="360" w:lineRule="auto"/>
        <w:ind w:left="284" w:hanging="284"/>
        <w:rPr>
          <w:rFonts w:ascii="Times New Roman" w:hAnsi="Times New Roman"/>
          <w:sz w:val="24"/>
          <w:szCs w:val="24"/>
        </w:rPr>
      </w:pPr>
      <w:r>
        <w:rPr>
          <w:rFonts w:ascii="Times New Roman" w:hAnsi="Times New Roman"/>
          <w:sz w:val="24"/>
          <w:szCs w:val="24"/>
        </w:rPr>
        <w:t xml:space="preserve">_____. </w:t>
      </w:r>
      <w:r w:rsidRPr="005F54CC">
        <w:rPr>
          <w:rFonts w:ascii="Times New Roman" w:hAnsi="Times New Roman"/>
          <w:sz w:val="24"/>
          <w:szCs w:val="24"/>
        </w:rPr>
        <w:t>Superior Tribunal de Justiça. AgRg no AREsp 137.141/SE. Rel. Min. Antônio Carlos Ferreira. DJe: 15.10.2012. Disponível em: https://ww2.stj.jus.br/processo/revista/inteiroteor/?num_registro=201200126420&amp;dt_publicacao=15/10/2012. Acesso em: 22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Superior Tribunal de Justiça. </w:t>
      </w:r>
      <w:r w:rsidRPr="0014370F">
        <w:rPr>
          <w:rFonts w:ascii="Times New Roman" w:hAnsi="Times New Roman"/>
          <w:sz w:val="24"/>
          <w:szCs w:val="24"/>
        </w:rPr>
        <w:t xml:space="preserve">AgRg no AREsp 418.395/RS. Rel. </w:t>
      </w:r>
      <w:r w:rsidRPr="00817DF9">
        <w:rPr>
          <w:rFonts w:ascii="Times New Roman" w:hAnsi="Times New Roman"/>
          <w:sz w:val="24"/>
          <w:szCs w:val="24"/>
        </w:rPr>
        <w:t xml:space="preserve">Min. Maria Isabel Gallotti. </w:t>
      </w:r>
      <w:r w:rsidRPr="005F54CC">
        <w:rPr>
          <w:rFonts w:ascii="Times New Roman" w:hAnsi="Times New Roman"/>
          <w:sz w:val="24"/>
          <w:szCs w:val="24"/>
        </w:rPr>
        <w:t>DJe: 10.12.2013. Disponível em:  https://ww2.stj.jus.br/processo/revista/inteiroteor/?num_registro=201303585444&amp;dt_publicacao=10/12/2013. Acesso em: 27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Superior Tribunal de Justiça. </w:t>
      </w:r>
      <w:r w:rsidRPr="0014370F">
        <w:rPr>
          <w:rFonts w:ascii="Times New Roman" w:hAnsi="Times New Roman"/>
          <w:sz w:val="24"/>
          <w:szCs w:val="24"/>
        </w:rPr>
        <w:t xml:space="preserve">REsp 678.889/AL. Rel. </w:t>
      </w:r>
      <w:r w:rsidRPr="00817DF9">
        <w:rPr>
          <w:rFonts w:ascii="Times New Roman" w:hAnsi="Times New Roman"/>
          <w:sz w:val="24"/>
          <w:szCs w:val="24"/>
        </w:rPr>
        <w:t xml:space="preserve">Min. Eliana Calmon. </w:t>
      </w:r>
      <w:r w:rsidRPr="0014370F">
        <w:rPr>
          <w:rFonts w:ascii="Times New Roman" w:hAnsi="Times New Roman"/>
          <w:sz w:val="24"/>
          <w:szCs w:val="24"/>
        </w:rPr>
        <w:t xml:space="preserve">DJ: 17.06.2009. </w:t>
      </w:r>
      <w:r w:rsidRPr="005F54CC">
        <w:rPr>
          <w:rFonts w:ascii="Times New Roman" w:hAnsi="Times New Roman"/>
          <w:sz w:val="24"/>
          <w:szCs w:val="24"/>
        </w:rPr>
        <w:t xml:space="preserve">Disponível em: https://ww2.stj.jus.br/processo/revista/inteiroteor/?num_registro=200401018066&amp;dt_publicacao=17/06/2009. Acesso em: 21 mar. 2015.  </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Superior Tribunal de Justiça. REsp 982.133/RS. Relator Ministro Aldir Passarinho Junior. DJe: 22.09.2008. Disponível em: https://ww2.stj.jus.br/processo/revista/inteiroteor/?num_registro=200701854901&amp;dt_publicacao=22/09/2008. Acesso em: 2 nov.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Acompanhamento Processual. Disponível em: http://www.stf.jus.br/portal/processo/verProcessoAndamento.asp?incidente=2565078. Acesso em: 20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Ag. Rg. AI 834.940/PE. Rel. Min. Carmen Lúcia. DJe: 09.02.2012. Disponível em: http://redir.stf.jus.br/paginadorpub/paginador.jsp?docTP=TP&amp;docID=1718055. Acesso em: 22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Supremo Tribunal Federal. AI 664.567 QO/RS. Rel. Min. Sepúlveda Pertence (Aposentado). DJe: 06.09.2007. Disponível em: http://redir.stf.jus.br/paginadorpub/paginador.jsp?docTP=AC&amp;docID=485554. Acesso em: 31 mar. 2015. </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AI 780.441 AgR. Rel. Min. Roberto Barroso. DJe: 20.11.2013. Disponível em: http://redir.stf.jus.br/paginadorpub/paginador.jsp?docTP=TP&amp;docID=4887257. Acesso em: 21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Supremo Tribunal Federal. ARE 644.840 AgR/DF. Rel. Min. Luiz Fux. DJe: 13.08.2013. Disponível em: http://redir.stf.jus.br/paginadorpub/paginador.jsp?docTP=TP&amp;docID=4313255. Acesso em: 30 mar. 2015.  </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Supremo Tribunal Federal. </w:t>
      </w:r>
      <w:r w:rsidRPr="0014370F">
        <w:rPr>
          <w:rFonts w:ascii="Times New Roman" w:hAnsi="Times New Roman"/>
          <w:sz w:val="24"/>
          <w:szCs w:val="24"/>
        </w:rPr>
        <w:t xml:space="preserve">ARE 663.637 AgR-QO/MG. </w:t>
      </w:r>
      <w:r w:rsidRPr="00817DF9">
        <w:rPr>
          <w:rFonts w:ascii="Times New Roman" w:hAnsi="Times New Roman"/>
          <w:sz w:val="24"/>
          <w:szCs w:val="24"/>
        </w:rPr>
        <w:t xml:space="preserve">Relator:  Min. Ayres Britto (Presidente). </w:t>
      </w:r>
      <w:r w:rsidRPr="005F54CC">
        <w:rPr>
          <w:rFonts w:ascii="Times New Roman" w:hAnsi="Times New Roman"/>
          <w:sz w:val="24"/>
          <w:szCs w:val="24"/>
        </w:rPr>
        <w:t>Julgamento: 12/09/2012. DJe: 06-05-2013. Disponível em: http://redir.stf.jus.br/paginadorpub/paginador.jsp?docTP=TP&amp;docID=3741427, p. 23. Acesso em: 2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ARE 769.536 AgR/RR. Rel. Min. Cármen Lúcia. DJe: 10.12.2013. Disponível em: http://redir.stf.jus.br/paginadorpub/paginador.jsp?docTP=TP&amp;docID=5004893. Acesso em: 27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ARE 773.889 AgR/SC. Rel. Min. Rosa Weber. DJe: 12.12.2013. Disponível em: http://redir.stf.jus.br/paginadorpub/paginador.jsp?docTP=TP&amp;docID=5017470. Acesso em: 25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Emb. Decl. no recurso extraordinário 571.572 – 8 Bahia. Disponível em: http://redir.stf.jus.br/paginadorpub/paginador.jsp?docTP=AC&amp;docID=606378. Acesso em: 13 out.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Emenda Regimental nº 49, de 3 de junho de 2014. DJe: 05/06/2014. Disponível em: http://www.stf.jus.br/portal/atoNormativo/verAtoNormativo.asp?documento=2329. Acesso em: 22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Notícias STF. Disponível em: http://www.stf.jus.br/portal/cms/verNoticiaDetalhe.asp?idConteudo=274844&amp;caixaBusca=N. Acesso em: 21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Supremo Tribunal Federal. Portaria nº 138, de 23 de julho de 2009. Disponível em: http://www.stf.jus.br/ARQUIVO/NORMA/PORTARIAPR138-2009.PDF. Acesso em: 2 abr. 2015. </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 562.581 RG/SP - REPERCUSSÃO GERAL NO RECURSO EXTRAORDINÁRIO. Relatora:  Min. Cármen Lúcia. Julgamento: 08/02/2008. DJe: 22-02-2008. Disponível em: http://redir.stf.jus.br/paginadorpub/paginador.jsp?docTP=AC&amp;docID=510965. Acesso em: 1º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 563.965/RN Repercussão Geral no Recurso Extraordinário. Relatora:  Min. Cármen Lúcia. Julgamento: 20/03/2008. DJe: 18-04-2008. Disponível em: http://redir.stf.jus.br/paginadorpub/paginador.jsp?docTP=AC&amp;docID=521921</w:t>
      </w:r>
      <w:r w:rsidRPr="005F54CC">
        <w:rPr>
          <w:rStyle w:val="Hyperlink"/>
          <w:rFonts w:ascii="Times New Roman" w:hAnsi="Times New Roman"/>
          <w:sz w:val="24"/>
          <w:szCs w:val="24"/>
        </w:rPr>
        <w:t>.</w:t>
      </w:r>
      <w:r w:rsidRPr="005F54CC">
        <w:rPr>
          <w:rFonts w:ascii="Times New Roman" w:hAnsi="Times New Roman"/>
          <w:sz w:val="24"/>
          <w:szCs w:val="24"/>
        </w:rPr>
        <w:t xml:space="preserve"> Acesso em: 1º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 565.714/SP - Relatora:  Min. Cármen Lúcia. Julgamento:  30/04/2008. Órgão Julgador: Tribunal Pleno. DJe: 07-11-2008. p. 1199-1200. Disponível em http://redir.stf.jus.br/paginadorpub/paginador.jsp?docTP=AC&amp;docID=560067. Acesso em: 1º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 571.184 RG/SP – REPERCUSSÃO GERAL NO RECURSO EXTRAORDINÁRIO. Relatora:  Min. Cármen Lúcia. Julgamento: 16/10/2008. DJe: 31-10-2008. Disponível em: http://redir.stf.jus.br/paginadorpub/paginador.jsp?docTP=AC&amp;docID=558919. Acesso em: 1º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 599.362/RJ Relator:  Min. Dias Toffoli. Julgamento: 06/11/2014           Órgão Julgador: Tribunal Pleno. DJe: 10-02-2015. Disponível em: http://redir.stf.jus.br/paginadorpub/paginador.jsp?docTP=TP&amp;docID=7709680. Acesso em: 2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 602.938 AgR/CE. Rel. Min. Roberto Barroso. DJe: 12.11.2013. Disponível em: http://redir.stf.jus.br/paginadorpub/paginador.jsp?docTP=TP&amp;docID=5032953. Acesso em: 24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 611.743 AgR/PR. Rel. Min. Luiz Fux. DJe: 07.11.2012. Disponível em: http://redir.stf.jus.br/paginadorpub/paginador.jsp?docTP=TP&amp;docID=3058921. Acesso em: 22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Supremo Tribunal Federal. RE 626.358 AgR/MG. Rel. Min. Cezar Peluso. DJe: 23.08.2012. Disponível em: http://redir.stf.jus.br/paginadorpub/paginador.jsp?docTP=TP&amp;docID=2613070. Acesso em: 22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Emenda Regimental nº 3, de 12 de junho de 1975. Disponível em:                         http://www.stf.jus.br/portal/cms/verTexto.asp?servico=bibliotecaConsultaProdutoBibliotecaRI&amp;pagina=1970Emenda3. Acesso em: 10 out.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Regimento Interno de 1891.</w:t>
      </w:r>
      <w:r w:rsidRPr="005F54CC">
        <w:rPr>
          <w:rFonts w:ascii="Times New Roman" w:hAnsi="Times New Roman"/>
          <w:b/>
          <w:sz w:val="24"/>
          <w:szCs w:val="24"/>
        </w:rPr>
        <w:t xml:space="preserve"> </w:t>
      </w:r>
      <w:r w:rsidRPr="005F54CC">
        <w:rPr>
          <w:rFonts w:ascii="Times New Roman" w:hAnsi="Times New Roman"/>
          <w:sz w:val="24"/>
          <w:szCs w:val="24"/>
        </w:rPr>
        <w:t>Disponível em: http://www.stf.jus.br/arquivo/biblioteca/RegimentoInterno/RI1891/1891.pdf. Acesso em: 16 jul. 2015.</w:t>
      </w:r>
    </w:p>
    <w:p w:rsidR="00D549BC" w:rsidRPr="005F54CC" w:rsidRDefault="00D549BC" w:rsidP="004E5EC4">
      <w:pPr>
        <w:pStyle w:val="FootnoteText"/>
        <w:spacing w:line="360" w:lineRule="auto"/>
        <w:ind w:left="284" w:hanging="284"/>
        <w:rPr>
          <w:rStyle w:val="Hyperlink"/>
          <w:rFonts w:ascii="Times New Roman" w:hAnsi="Times New Roman"/>
          <w:color w:val="000000"/>
          <w:sz w:val="24"/>
          <w:szCs w:val="24"/>
        </w:rPr>
      </w:pPr>
      <w:r w:rsidRPr="005F54CC">
        <w:rPr>
          <w:rFonts w:ascii="Times New Roman" w:hAnsi="Times New Roman"/>
          <w:sz w:val="24"/>
          <w:szCs w:val="24"/>
        </w:rPr>
        <w:t>_____. Supremo Tribunal Federal. Regimento Interno de 1940. Disponível em: http://www.stf.jus.br/portal/cms/verTexto.asp?servico=bibliotecaConsultaProdutoBibliotecaRI&amp;pagina=regimentointerno1940principal</w:t>
      </w:r>
      <w:r w:rsidRPr="005F54CC">
        <w:rPr>
          <w:rStyle w:val="Hyperlink"/>
          <w:rFonts w:ascii="Times New Roman" w:hAnsi="Times New Roman"/>
          <w:color w:val="000000"/>
          <w:sz w:val="24"/>
          <w:szCs w:val="24"/>
          <w:u w:val="none"/>
        </w:rPr>
        <w:t>. Acesso em: 17 jul. 2015.</w:t>
      </w:r>
    </w:p>
    <w:p w:rsidR="00D549BC" w:rsidRPr="005F54CC" w:rsidRDefault="00D549BC" w:rsidP="004E5EC4">
      <w:pPr>
        <w:pStyle w:val="FootnoteText"/>
        <w:spacing w:line="360" w:lineRule="auto"/>
        <w:ind w:left="284" w:hanging="284"/>
        <w:rPr>
          <w:rFonts w:ascii="Times New Roman" w:hAnsi="Times New Roman"/>
          <w:sz w:val="24"/>
          <w:szCs w:val="24"/>
        </w:rPr>
      </w:pPr>
      <w:r>
        <w:rPr>
          <w:rStyle w:val="Hyperlink"/>
          <w:rFonts w:ascii="Times New Roman" w:hAnsi="Times New Roman"/>
          <w:color w:val="000000"/>
          <w:sz w:val="24"/>
          <w:szCs w:val="24"/>
          <w:u w:val="none"/>
        </w:rPr>
        <w:t xml:space="preserve">_____. </w:t>
      </w:r>
      <w:r w:rsidRPr="007F70ED">
        <w:rPr>
          <w:rFonts w:ascii="Times New Roman" w:hAnsi="Times New Roman"/>
          <w:sz w:val="24"/>
          <w:szCs w:val="24"/>
        </w:rPr>
        <w:t>Supremo</w:t>
      </w:r>
      <w:r w:rsidRPr="005F54CC">
        <w:rPr>
          <w:rFonts w:ascii="Times New Roman" w:hAnsi="Times New Roman"/>
          <w:sz w:val="24"/>
          <w:szCs w:val="24"/>
        </w:rPr>
        <w:t xml:space="preserve"> Tribunal Federal. Regimento Interno de 1970. Disponível em: http://www.stf.jus.br/portal/cms/verTexto.asp?servico=bibliotecaConsultaProdutoBibliotecaRI&amp;pagina=1970. Acesso em: 10 out. 2014. </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Regimento Interno de 27 de outubro de 1980. Disponível em: http://www.stf.jus.br/arquivo/cms/legislacaoRegimentoInterno/anexo/REGIMENTOINTERNO19801.pdf. Acesso em: 11 out. 2014.</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Regimento Interno atualizado até janeiro de 2015. Disponível em: http://www.stf.jus.br/arquivo/cms/legislacaoRegimentoInterno/anexo/RISTF_Janeiro_2015_versao_eletronica.pdf. Acesso em: 1 abr.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_____. Supremo Tribunal Federal. </w:t>
      </w:r>
      <w:r w:rsidRPr="005F54CC">
        <w:rPr>
          <w:rFonts w:ascii="Times New Roman" w:hAnsi="Times New Roman"/>
          <w:b/>
          <w:sz w:val="24"/>
          <w:szCs w:val="24"/>
        </w:rPr>
        <w:t>RE, AI e ARE - %</w:t>
      </w:r>
      <w:r w:rsidRPr="005F54CC">
        <w:rPr>
          <w:rFonts w:ascii="Times New Roman" w:hAnsi="Times New Roman"/>
          <w:sz w:val="24"/>
          <w:szCs w:val="24"/>
        </w:rPr>
        <w:t xml:space="preserve"> Distribuição. Disponível em: http://www.stf.jus.br/portal/cms/verTexto.asp?servico=estatistica&amp;pagina=REAIProcessoDistribuidoAnosAnteriores. Acesso em: 26 mar.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_____. Supremo Tribunal Federal. Resolução nº 536, de 16 de outubro de 2014. Disponível em: http://www.stf.jus.br/portal/atoNormativo/verAtoNormativo.asp?documento=2385. Acesso em: 2 maio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BULOS, Uadi Lammêgo. </w:t>
      </w:r>
      <w:r w:rsidRPr="005F54CC">
        <w:rPr>
          <w:rFonts w:ascii="Times New Roman" w:hAnsi="Times New Roman"/>
          <w:b/>
          <w:sz w:val="24"/>
          <w:szCs w:val="24"/>
        </w:rPr>
        <w:t>Curso de Direito Constitucional</w:t>
      </w:r>
      <w:r w:rsidRPr="005F54CC">
        <w:rPr>
          <w:rFonts w:ascii="Times New Roman" w:hAnsi="Times New Roman"/>
          <w:sz w:val="24"/>
          <w:szCs w:val="24"/>
        </w:rPr>
        <w:t xml:space="preserve">. 8. ed. São Paulo: Saraiva, 2014.  </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BUZAID, Alfredo. </w:t>
      </w:r>
      <w:r w:rsidRPr="005F54CC">
        <w:rPr>
          <w:rFonts w:ascii="Times New Roman" w:hAnsi="Times New Roman"/>
          <w:b/>
          <w:sz w:val="24"/>
          <w:szCs w:val="24"/>
        </w:rPr>
        <w:t>Estudos de Direito</w:t>
      </w:r>
      <w:r w:rsidRPr="005F54CC">
        <w:rPr>
          <w:rFonts w:ascii="Times New Roman" w:hAnsi="Times New Roman"/>
          <w:sz w:val="24"/>
          <w:szCs w:val="24"/>
        </w:rPr>
        <w:t>. São Paulo: Saraiva, 1972. v. 1.</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CARNEIRO, Levi. Ainda a crise do Supremo Tribunal Federal. </w:t>
      </w:r>
      <w:r w:rsidRPr="005F54CC">
        <w:rPr>
          <w:rFonts w:ascii="Times New Roman" w:hAnsi="Times New Roman"/>
          <w:b/>
          <w:sz w:val="24"/>
          <w:szCs w:val="24"/>
        </w:rPr>
        <w:t>Revista Arquivos do Ministério da Justiça</w:t>
      </w:r>
      <w:r w:rsidRPr="005F54CC">
        <w:rPr>
          <w:rFonts w:ascii="Times New Roman" w:hAnsi="Times New Roman"/>
          <w:sz w:val="24"/>
          <w:szCs w:val="24"/>
        </w:rPr>
        <w:t>, v. 2, 1943.</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CERDEIRA, Pablo; FALCÃO, Joaquim. A inflação de recurso do Executivo no Supremo. </w:t>
      </w:r>
      <w:r w:rsidRPr="005F54CC">
        <w:rPr>
          <w:rFonts w:ascii="Times New Roman" w:hAnsi="Times New Roman"/>
          <w:b/>
          <w:sz w:val="24"/>
          <w:szCs w:val="24"/>
        </w:rPr>
        <w:t>Revista Conjuntura Econômica,</w:t>
      </w:r>
      <w:r w:rsidRPr="005F54CC">
        <w:rPr>
          <w:rFonts w:ascii="Times New Roman" w:hAnsi="Times New Roman"/>
          <w:sz w:val="24"/>
          <w:szCs w:val="24"/>
        </w:rPr>
        <w:t xml:space="preserve"> v. 65, n. 4 (2011), p. 60. Disponível em: http://bibliotecadigital.fgv.br/ojs/index.php/rce/issue/view/1386. Acesso em: 5 jun. 2015.</w:t>
      </w:r>
    </w:p>
    <w:p w:rsidR="00D549BC" w:rsidRPr="005F54CC" w:rsidRDefault="00D549BC" w:rsidP="004E5EC4">
      <w:pPr>
        <w:pStyle w:val="FootnoteText"/>
        <w:spacing w:line="360" w:lineRule="auto"/>
        <w:ind w:left="284" w:hanging="284"/>
        <w:rPr>
          <w:rFonts w:ascii="Times New Roman" w:hAnsi="Times New Roman"/>
          <w:sz w:val="24"/>
          <w:szCs w:val="24"/>
        </w:rPr>
      </w:pPr>
      <w:r w:rsidRPr="005F54CC">
        <w:rPr>
          <w:rFonts w:ascii="Times New Roman" w:hAnsi="Times New Roman"/>
          <w:sz w:val="24"/>
          <w:szCs w:val="24"/>
        </w:rPr>
        <w:t xml:space="preserve">COELHO, Damares Medina. </w:t>
      </w:r>
      <w:r w:rsidRPr="005F54CC">
        <w:rPr>
          <w:rFonts w:ascii="Times New Roman" w:hAnsi="Times New Roman"/>
          <w:b/>
          <w:sz w:val="24"/>
          <w:szCs w:val="24"/>
        </w:rPr>
        <w:t>A Repercussão Geral no Supremo Tribunal Federal</w:t>
      </w:r>
      <w:r w:rsidRPr="005F54CC">
        <w:rPr>
          <w:rFonts w:ascii="Times New Roman" w:hAnsi="Times New Roman"/>
          <w:sz w:val="24"/>
          <w:szCs w:val="24"/>
        </w:rPr>
        <w:t>. São Paulo, 4 de agosto de 2014. 246 p. Tese (Doutorado em Direito Político e Econômico) – Universidade Presbiteriana Mackenzie.</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CORWIN, Edward Samuel. </w:t>
      </w:r>
      <w:r w:rsidRPr="005F54CC">
        <w:rPr>
          <w:rFonts w:ascii="Times New Roman" w:hAnsi="Times New Roman"/>
          <w:b/>
          <w:sz w:val="24"/>
          <w:szCs w:val="24"/>
        </w:rPr>
        <w:t>A Constituição norte-americana e seu significado atual</w:t>
      </w:r>
      <w:r w:rsidRPr="005F54CC">
        <w:rPr>
          <w:rFonts w:ascii="Times New Roman" w:hAnsi="Times New Roman"/>
          <w:sz w:val="24"/>
          <w:szCs w:val="24"/>
        </w:rPr>
        <w:t>. Prefácio, tradução e notas de Lêda Boechat Rodrigues. Rio de Janeiro: Zahar Editores.</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DANTAS, Bruno. </w:t>
      </w:r>
      <w:r w:rsidRPr="005F54CC">
        <w:rPr>
          <w:rFonts w:ascii="Times New Roman" w:hAnsi="Times New Roman"/>
          <w:b/>
          <w:sz w:val="24"/>
          <w:szCs w:val="24"/>
        </w:rPr>
        <w:t>Repercussão geral</w:t>
      </w:r>
      <w:r w:rsidRPr="005F54CC">
        <w:rPr>
          <w:rFonts w:ascii="Times New Roman" w:hAnsi="Times New Roman"/>
          <w:sz w:val="24"/>
          <w:szCs w:val="24"/>
        </w:rPr>
        <w:t>: perspectivas histórica, dogmática e de direito comparado – questões processuais. 2. ed. São Paulo: Revista dos Tribunais, 2010.</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DINAMARCO, Cândido Rangel. </w:t>
      </w:r>
      <w:r w:rsidRPr="005F54CC">
        <w:rPr>
          <w:rFonts w:ascii="Times New Roman" w:hAnsi="Times New Roman"/>
          <w:b/>
          <w:sz w:val="24"/>
          <w:szCs w:val="24"/>
        </w:rPr>
        <w:t>Fundamentos do processo civil moderno</w:t>
      </w:r>
      <w:r w:rsidRPr="005F54CC">
        <w:rPr>
          <w:rFonts w:ascii="Times New Roman" w:hAnsi="Times New Roman"/>
          <w:sz w:val="24"/>
          <w:szCs w:val="24"/>
        </w:rPr>
        <w:t>. 6. ed. São Paulo: Malheiros, 2010, v. II.</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FALCÃO, Djaci. O Poder Judiciário e a nova Carta Constitucional. </w:t>
      </w:r>
      <w:r w:rsidRPr="005F54CC">
        <w:rPr>
          <w:rFonts w:ascii="Times New Roman" w:hAnsi="Times New Roman"/>
          <w:b/>
          <w:sz w:val="24"/>
          <w:szCs w:val="24"/>
        </w:rPr>
        <w:t>Revista de Processo</w:t>
      </w:r>
      <w:r w:rsidRPr="005F54CC">
        <w:rPr>
          <w:rFonts w:ascii="Times New Roman" w:hAnsi="Times New Roman"/>
          <w:sz w:val="24"/>
          <w:szCs w:val="24"/>
        </w:rPr>
        <w:t>, nº 53, 1989.</w:t>
      </w:r>
    </w:p>
    <w:p w:rsidR="00D549B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FREIRE, Alexandre Reis Siqueira; CASTRO, Marcello Soares. O Juízo de Admissibilidade do Recurso Extraordinário no Projeto do Novo Código de Processo Civil Brasileiro. </w:t>
      </w:r>
      <w:r w:rsidRPr="005F54CC">
        <w:rPr>
          <w:rFonts w:ascii="Times New Roman" w:hAnsi="Times New Roman"/>
          <w:b/>
          <w:sz w:val="24"/>
          <w:szCs w:val="24"/>
        </w:rPr>
        <w:t>Revista Jurídica UNIGRAN</w:t>
      </w:r>
      <w:r w:rsidRPr="005F54CC">
        <w:rPr>
          <w:rFonts w:ascii="Times New Roman" w:hAnsi="Times New Roman"/>
          <w:sz w:val="24"/>
          <w:szCs w:val="24"/>
        </w:rPr>
        <w:t>, v. 15, n. 29, jun. 2013.</w:t>
      </w:r>
    </w:p>
    <w:p w:rsidR="00D549BC" w:rsidRDefault="00D549BC" w:rsidP="003C43C9">
      <w:pPr>
        <w:ind w:left="284" w:hanging="284"/>
        <w:rPr>
          <w:rFonts w:ascii="Times New Roman" w:hAnsi="Times New Roman"/>
          <w:sz w:val="24"/>
          <w:szCs w:val="24"/>
        </w:rPr>
      </w:pPr>
      <w:r w:rsidRPr="00147439">
        <w:rPr>
          <w:rFonts w:ascii="Times New Roman" w:hAnsi="Times New Roman"/>
          <w:sz w:val="24"/>
          <w:szCs w:val="24"/>
        </w:rPr>
        <w:t xml:space="preserve">KELSEN, Hans. </w:t>
      </w:r>
      <w:r w:rsidRPr="00147439">
        <w:rPr>
          <w:rFonts w:ascii="Times New Roman" w:hAnsi="Times New Roman"/>
          <w:b/>
          <w:sz w:val="24"/>
          <w:szCs w:val="24"/>
        </w:rPr>
        <w:t>Jurisdição Constitucional</w:t>
      </w:r>
      <w:r w:rsidRPr="00147439">
        <w:rPr>
          <w:rFonts w:ascii="Times New Roman" w:hAnsi="Times New Roman"/>
          <w:sz w:val="24"/>
          <w:szCs w:val="24"/>
        </w:rPr>
        <w:t>. São Paulo: Martins Fontes, 2003.</w:t>
      </w:r>
      <w:r>
        <w:rPr>
          <w:rFonts w:ascii="Times New Roman" w:hAnsi="Times New Roman"/>
          <w:sz w:val="24"/>
          <w:szCs w:val="24"/>
        </w:rPr>
        <w:t xml:space="preserve"> </w:t>
      </w:r>
    </w:p>
    <w:p w:rsidR="00D549BC" w:rsidRPr="005F54CC" w:rsidRDefault="00D549BC" w:rsidP="003C43C9">
      <w:pPr>
        <w:ind w:left="284" w:hanging="284"/>
        <w:rPr>
          <w:rFonts w:ascii="Times New Roman" w:hAnsi="Times New Roman"/>
          <w:sz w:val="24"/>
          <w:szCs w:val="24"/>
        </w:rPr>
      </w:pPr>
      <w:r>
        <w:rPr>
          <w:rFonts w:ascii="Times New Roman" w:hAnsi="Times New Roman"/>
          <w:sz w:val="24"/>
          <w:szCs w:val="24"/>
        </w:rPr>
        <w:t xml:space="preserve">MACEDO, Marco Antonio Ferreira; FERREIRA, Siddartha Legale. A “Corte” Moreira Alves: a judicatura de um civilista no STF e o controle de constitucionalidade. </w:t>
      </w:r>
      <w:r w:rsidRPr="0063451B">
        <w:rPr>
          <w:rFonts w:ascii="Times New Roman" w:hAnsi="Times New Roman"/>
          <w:b/>
          <w:sz w:val="24"/>
          <w:szCs w:val="24"/>
        </w:rPr>
        <w:t>Observatório da Jurisdição Constitucional</w:t>
      </w:r>
      <w:r>
        <w:rPr>
          <w:rFonts w:ascii="Times New Roman" w:hAnsi="Times New Roman"/>
          <w:sz w:val="24"/>
          <w:szCs w:val="24"/>
        </w:rPr>
        <w:t xml:space="preserve">, </w:t>
      </w:r>
      <w:r w:rsidRPr="0063451B">
        <w:rPr>
          <w:rFonts w:ascii="Times New Roman" w:hAnsi="Times New Roman"/>
          <w:sz w:val="24"/>
          <w:szCs w:val="24"/>
        </w:rPr>
        <w:t>Ano 5, vol. 2, ago./dez. 2012</w:t>
      </w:r>
      <w:r>
        <w:rPr>
          <w:rFonts w:ascii="Times New Roman" w:hAnsi="Times New Roman"/>
          <w:sz w:val="24"/>
          <w:szCs w:val="24"/>
        </w:rPr>
        <w:t xml:space="preserve">. Disponível em: http://ojs.idp.edu.br/index.php/observatorio/article/viewFile/745/538. Acesso em 20 set. 2014. </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MAGALHÃES, Hugo de Carvalho Ramos. O recurso extraordinário no cível, seus pressupostos, condições e juízo de admissibilidade. In: </w:t>
      </w:r>
      <w:r w:rsidRPr="005F54CC">
        <w:rPr>
          <w:rFonts w:ascii="Times New Roman" w:hAnsi="Times New Roman"/>
          <w:b/>
          <w:sz w:val="24"/>
          <w:szCs w:val="24"/>
        </w:rPr>
        <w:t>RePro 49</w:t>
      </w:r>
      <w:r w:rsidRPr="005F54CC">
        <w:rPr>
          <w:rFonts w:ascii="Times New Roman" w:hAnsi="Times New Roman"/>
          <w:sz w:val="24"/>
          <w:szCs w:val="24"/>
        </w:rPr>
        <w:t>, São Paulo, 1988.</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MANCUSO, Rodolfo de Camargo. </w:t>
      </w:r>
      <w:r w:rsidRPr="005F54CC">
        <w:rPr>
          <w:rFonts w:ascii="Times New Roman" w:hAnsi="Times New Roman"/>
          <w:b/>
          <w:sz w:val="24"/>
          <w:szCs w:val="24"/>
        </w:rPr>
        <w:t>Recurso Extraordinário e Recurso Especial</w:t>
      </w:r>
      <w:r w:rsidRPr="005F54CC">
        <w:rPr>
          <w:rFonts w:ascii="Times New Roman" w:hAnsi="Times New Roman"/>
          <w:sz w:val="24"/>
          <w:szCs w:val="24"/>
        </w:rPr>
        <w:t>. 7. ed. São Paulo: Revista dos Tribunais, 2001.</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MARTINS, Pedro Batista. </w:t>
      </w:r>
      <w:r w:rsidRPr="005F54CC">
        <w:rPr>
          <w:rFonts w:ascii="Times New Roman" w:hAnsi="Times New Roman"/>
          <w:b/>
          <w:sz w:val="24"/>
          <w:szCs w:val="24"/>
        </w:rPr>
        <w:t>Recursos e Processos da Competência Originária dos Tribunais</w:t>
      </w:r>
      <w:r w:rsidRPr="005F54CC">
        <w:rPr>
          <w:rFonts w:ascii="Times New Roman" w:hAnsi="Times New Roman"/>
          <w:sz w:val="24"/>
          <w:szCs w:val="24"/>
        </w:rPr>
        <w:t>. Rio de Janeiro: Forense, 1957.</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MATOS PEIXOTO, José Carlos de. </w:t>
      </w:r>
      <w:r w:rsidRPr="005F54CC">
        <w:rPr>
          <w:rFonts w:ascii="Times New Roman" w:hAnsi="Times New Roman"/>
          <w:b/>
          <w:sz w:val="24"/>
          <w:szCs w:val="24"/>
        </w:rPr>
        <w:t>Recurso Extraordinario</w:t>
      </w:r>
      <w:r w:rsidRPr="005F54CC">
        <w:rPr>
          <w:rFonts w:ascii="Times New Roman" w:hAnsi="Times New Roman"/>
          <w:sz w:val="24"/>
          <w:szCs w:val="24"/>
        </w:rPr>
        <w:t>. Rio de Janeiro: Freitas Bastos, 1935.</w:t>
      </w:r>
    </w:p>
    <w:p w:rsidR="00D549BC" w:rsidRDefault="00D549BC" w:rsidP="004E5EC4">
      <w:pPr>
        <w:ind w:left="284" w:hanging="284"/>
        <w:rPr>
          <w:rFonts w:ascii="Times New Roman" w:hAnsi="Times New Roman"/>
          <w:sz w:val="24"/>
          <w:szCs w:val="24"/>
        </w:rPr>
      </w:pPr>
      <w:r w:rsidRPr="005F54CC">
        <w:rPr>
          <w:rFonts w:ascii="Times New Roman" w:hAnsi="Times New Roman"/>
          <w:sz w:val="24"/>
          <w:szCs w:val="24"/>
        </w:rPr>
        <w:t>MENDES, G. F.</w:t>
      </w:r>
      <w:r>
        <w:rPr>
          <w:rFonts w:ascii="Times New Roman" w:hAnsi="Times New Roman"/>
          <w:sz w:val="24"/>
          <w:szCs w:val="24"/>
        </w:rPr>
        <w:t xml:space="preserve"> </w:t>
      </w:r>
      <w:r w:rsidRPr="005F1F15">
        <w:rPr>
          <w:rFonts w:ascii="Times New Roman" w:hAnsi="Times New Roman"/>
          <w:b/>
          <w:sz w:val="24"/>
          <w:szCs w:val="24"/>
        </w:rPr>
        <w:t>Estado de Direito e Jurisdição Constitucional</w:t>
      </w:r>
      <w:r>
        <w:rPr>
          <w:rFonts w:ascii="Times New Roman" w:hAnsi="Times New Roman"/>
          <w:sz w:val="24"/>
          <w:szCs w:val="24"/>
        </w:rPr>
        <w:t xml:space="preserve">: 2002 - 2010. São Paulo: Saraiva, 2011. </w:t>
      </w:r>
      <w:r w:rsidRPr="005F54CC">
        <w:rPr>
          <w:rFonts w:ascii="Times New Roman" w:hAnsi="Times New Roman"/>
          <w:sz w:val="24"/>
          <w:szCs w:val="24"/>
        </w:rPr>
        <w:t xml:space="preserve"> </w:t>
      </w:r>
    </w:p>
    <w:p w:rsidR="00D549BC" w:rsidRPr="005F54CC" w:rsidRDefault="00D549BC" w:rsidP="004E5EC4">
      <w:pPr>
        <w:ind w:left="284" w:hanging="284"/>
        <w:rPr>
          <w:rFonts w:ascii="Times New Roman" w:hAnsi="Times New Roman"/>
          <w:sz w:val="24"/>
          <w:szCs w:val="24"/>
        </w:rPr>
      </w:pPr>
      <w:r>
        <w:rPr>
          <w:rFonts w:ascii="Times New Roman" w:hAnsi="Times New Roman"/>
          <w:sz w:val="24"/>
          <w:szCs w:val="24"/>
        </w:rPr>
        <w:t xml:space="preserve">_____. </w:t>
      </w:r>
      <w:r w:rsidRPr="005F54CC">
        <w:rPr>
          <w:rFonts w:ascii="Times New Roman" w:hAnsi="Times New Roman"/>
          <w:b/>
          <w:sz w:val="24"/>
          <w:szCs w:val="24"/>
        </w:rPr>
        <w:t>Jurisdição Constitucional</w:t>
      </w:r>
      <w:r w:rsidRPr="005F54CC">
        <w:rPr>
          <w:rFonts w:ascii="Times New Roman" w:hAnsi="Times New Roman"/>
          <w:sz w:val="24"/>
          <w:szCs w:val="24"/>
        </w:rPr>
        <w:t>. 6. ed. São Paulo: Saraiva, 2014.</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MONTEIRO, Samuel. </w:t>
      </w:r>
      <w:r w:rsidRPr="005F54CC">
        <w:rPr>
          <w:rFonts w:ascii="Times New Roman" w:hAnsi="Times New Roman"/>
          <w:b/>
          <w:sz w:val="24"/>
          <w:szCs w:val="24"/>
        </w:rPr>
        <w:t>Recurso Extraordinário e Arguição de Relevância</w:t>
      </w:r>
      <w:r w:rsidRPr="005F54CC">
        <w:rPr>
          <w:rFonts w:ascii="Times New Roman" w:hAnsi="Times New Roman"/>
          <w:sz w:val="24"/>
          <w:szCs w:val="24"/>
        </w:rPr>
        <w:t>. São Paulo: Hemus, 1987.</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MOREIRA ALVES, José Carlos. A missão constitucional do Supremo Tribunal Federal e a arguição de relevância de questão federal. </w:t>
      </w:r>
      <w:r w:rsidRPr="005F54CC">
        <w:rPr>
          <w:rFonts w:ascii="Times New Roman" w:hAnsi="Times New Roman"/>
          <w:b/>
          <w:sz w:val="24"/>
          <w:szCs w:val="24"/>
        </w:rPr>
        <w:t>Revista do Instituto dos Advogados Brasileiros</w:t>
      </w:r>
      <w:r w:rsidRPr="005F54CC">
        <w:rPr>
          <w:rFonts w:ascii="Times New Roman" w:hAnsi="Times New Roman"/>
          <w:sz w:val="24"/>
          <w:szCs w:val="24"/>
        </w:rPr>
        <w:t>, v. 16, n. 58/59, jan./dez., 1982.</w:t>
      </w:r>
    </w:p>
    <w:p w:rsidR="00D549B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MOREIRA, José Carlos Barbosa. </w:t>
      </w:r>
      <w:r w:rsidRPr="005F54CC">
        <w:rPr>
          <w:rFonts w:ascii="Times New Roman" w:hAnsi="Times New Roman"/>
          <w:b/>
          <w:sz w:val="24"/>
          <w:szCs w:val="24"/>
        </w:rPr>
        <w:t>Comentários ao Código de Processo Civil</w:t>
      </w:r>
      <w:r w:rsidRPr="005F54CC">
        <w:rPr>
          <w:rFonts w:ascii="Times New Roman" w:hAnsi="Times New Roman"/>
          <w:sz w:val="24"/>
          <w:szCs w:val="24"/>
        </w:rPr>
        <w:t>: Lei nº 5.869, de 11 de janeiro de 1973, v. V: arts. 476 a 565. Rio de Janeiro: Forense, 2011.</w:t>
      </w:r>
    </w:p>
    <w:p w:rsidR="00D549BC" w:rsidRPr="005F54CC" w:rsidRDefault="00D549BC" w:rsidP="00B54B15">
      <w:pPr>
        <w:ind w:left="284" w:hanging="284"/>
        <w:rPr>
          <w:rFonts w:ascii="Times New Roman" w:hAnsi="Times New Roman"/>
          <w:sz w:val="24"/>
          <w:szCs w:val="24"/>
        </w:rPr>
      </w:pPr>
      <w:r w:rsidRPr="00F30184">
        <w:rPr>
          <w:rFonts w:ascii="Times New Roman" w:hAnsi="Times New Roman"/>
          <w:sz w:val="24"/>
          <w:szCs w:val="24"/>
        </w:rPr>
        <w:t>NETO, Cláudio Pereira de S</w:t>
      </w:r>
      <w:r>
        <w:rPr>
          <w:rFonts w:ascii="Times New Roman" w:hAnsi="Times New Roman"/>
          <w:sz w:val="24"/>
          <w:szCs w:val="24"/>
        </w:rPr>
        <w:t xml:space="preserve">ouza; SARMENTO, Daniel. </w:t>
      </w:r>
      <w:r w:rsidRPr="00F30184">
        <w:rPr>
          <w:rFonts w:ascii="Times New Roman" w:hAnsi="Times New Roman"/>
          <w:b/>
          <w:sz w:val="24"/>
          <w:szCs w:val="24"/>
        </w:rPr>
        <w:t>Direito Constitucional</w:t>
      </w:r>
      <w:r w:rsidRPr="00F30184">
        <w:rPr>
          <w:rFonts w:ascii="Times New Roman" w:hAnsi="Times New Roman"/>
          <w:sz w:val="24"/>
          <w:szCs w:val="24"/>
        </w:rPr>
        <w:t>: Teoria, história e métodos de trabalho. Belo Horizonte: Fórum, 2012. 631</w:t>
      </w:r>
      <w:r>
        <w:rPr>
          <w:rFonts w:ascii="Times New Roman" w:hAnsi="Times New Roman"/>
          <w:sz w:val="24"/>
          <w:szCs w:val="24"/>
        </w:rPr>
        <w:t xml:space="preserve"> </w:t>
      </w:r>
      <w:r w:rsidRPr="00F30184">
        <w:rPr>
          <w:rFonts w:ascii="Times New Roman" w:hAnsi="Times New Roman"/>
          <w:sz w:val="24"/>
          <w:szCs w:val="24"/>
        </w:rPr>
        <w:t>p</w:t>
      </w:r>
      <w:r>
        <w:rPr>
          <w:rFonts w:ascii="Times New Roman" w:hAnsi="Times New Roman"/>
          <w:sz w:val="24"/>
          <w:szCs w:val="24"/>
        </w:rPr>
        <w:t xml:space="preserve">. </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NUNES LEAL, Victor.</w:t>
      </w:r>
      <w:r w:rsidRPr="005F54CC">
        <w:rPr>
          <w:rFonts w:ascii="Times New Roman" w:hAnsi="Times New Roman"/>
          <w:b/>
          <w:sz w:val="24"/>
          <w:szCs w:val="24"/>
        </w:rPr>
        <w:t xml:space="preserve"> </w:t>
      </w:r>
      <w:r w:rsidRPr="005F54CC">
        <w:rPr>
          <w:rFonts w:ascii="Times New Roman" w:hAnsi="Times New Roman"/>
          <w:sz w:val="24"/>
          <w:szCs w:val="24"/>
        </w:rPr>
        <w:t xml:space="preserve">Aspectos da Reforma Judiciária. </w:t>
      </w:r>
      <w:r w:rsidRPr="005F54CC">
        <w:rPr>
          <w:rFonts w:ascii="Times New Roman" w:hAnsi="Times New Roman"/>
          <w:b/>
          <w:sz w:val="24"/>
          <w:szCs w:val="24"/>
        </w:rPr>
        <w:t>Revista de Informação Legislativa</w:t>
      </w:r>
      <w:r w:rsidRPr="005F54CC">
        <w:rPr>
          <w:rFonts w:ascii="Times New Roman" w:hAnsi="Times New Roman"/>
          <w:sz w:val="24"/>
          <w:szCs w:val="24"/>
        </w:rPr>
        <w:t>, v. 2, n. 7, set. 1965.</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RECONDO, Felipe. “Gilmar Mendes defende adiamento do novo CPC”. </w:t>
      </w:r>
      <w:r w:rsidRPr="005F54CC">
        <w:rPr>
          <w:rFonts w:ascii="Times New Roman" w:hAnsi="Times New Roman"/>
          <w:b/>
          <w:sz w:val="24"/>
          <w:szCs w:val="24"/>
        </w:rPr>
        <w:t xml:space="preserve">Jota. </w:t>
      </w:r>
      <w:r w:rsidRPr="005F54CC">
        <w:rPr>
          <w:rFonts w:ascii="Times New Roman" w:hAnsi="Times New Roman"/>
          <w:sz w:val="24"/>
          <w:szCs w:val="24"/>
        </w:rPr>
        <w:t>Disponível em: http://jota.info/gilmar-mendes-defende-adiamento-do-novo-cpc. Acesso em: 23 jun. 2015.</w:t>
      </w:r>
    </w:p>
    <w:p w:rsidR="00D549BC" w:rsidRPr="005F54C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OLIVEIRA, Francisco de Paula de. </w:t>
      </w:r>
      <w:r w:rsidRPr="005F54CC">
        <w:rPr>
          <w:rFonts w:ascii="Times New Roman" w:hAnsi="Times New Roman"/>
          <w:b/>
          <w:sz w:val="24"/>
          <w:szCs w:val="24"/>
        </w:rPr>
        <w:t>Regimento Interno do Supremo Tribunal Federal</w:t>
      </w:r>
      <w:r w:rsidRPr="005F54CC">
        <w:rPr>
          <w:rFonts w:ascii="Times New Roman" w:hAnsi="Times New Roman"/>
          <w:sz w:val="24"/>
          <w:szCs w:val="24"/>
        </w:rPr>
        <w:t>. Rio de Janeiro: Livraria Editora C. de Oliveira, 1921.</w:t>
      </w:r>
    </w:p>
    <w:p w:rsidR="00D549B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SILVA, José Afonso da. </w:t>
      </w:r>
      <w:r w:rsidRPr="005F54CC">
        <w:rPr>
          <w:rFonts w:ascii="Times New Roman" w:hAnsi="Times New Roman"/>
          <w:b/>
          <w:sz w:val="24"/>
          <w:szCs w:val="24"/>
        </w:rPr>
        <w:t>Do Recurso Extraordinário no Direito Processual Brasileiro</w:t>
      </w:r>
      <w:r w:rsidRPr="005F54CC">
        <w:rPr>
          <w:rFonts w:ascii="Times New Roman" w:hAnsi="Times New Roman"/>
          <w:sz w:val="24"/>
          <w:szCs w:val="24"/>
        </w:rPr>
        <w:t>. São Paulo: Revista dos Tribunais, 1963.</w:t>
      </w:r>
      <w:r>
        <w:rPr>
          <w:rFonts w:ascii="Times New Roman" w:hAnsi="Times New Roman"/>
          <w:sz w:val="24"/>
          <w:szCs w:val="24"/>
        </w:rPr>
        <w:t xml:space="preserve"> </w:t>
      </w:r>
    </w:p>
    <w:p w:rsidR="00D549BC" w:rsidRPr="005F54CC" w:rsidRDefault="00D549BC" w:rsidP="004E5EC4">
      <w:pPr>
        <w:ind w:left="284" w:hanging="284"/>
        <w:rPr>
          <w:rFonts w:ascii="Times New Roman" w:hAnsi="Times New Roman"/>
          <w:sz w:val="24"/>
          <w:szCs w:val="24"/>
        </w:rPr>
      </w:pPr>
      <w:r>
        <w:rPr>
          <w:rFonts w:ascii="Times New Roman" w:hAnsi="Times New Roman"/>
          <w:sz w:val="24"/>
          <w:szCs w:val="24"/>
        </w:rPr>
        <w:t xml:space="preserve">_____. </w:t>
      </w:r>
      <w:r w:rsidRPr="00B54B15">
        <w:rPr>
          <w:rFonts w:ascii="Times New Roman" w:hAnsi="Times New Roman"/>
          <w:b/>
          <w:sz w:val="24"/>
          <w:szCs w:val="24"/>
        </w:rPr>
        <w:t>Curso de Direito Constitucional Positivo</w:t>
      </w:r>
      <w:r>
        <w:rPr>
          <w:rFonts w:ascii="Times New Roman" w:hAnsi="Times New Roman"/>
          <w:sz w:val="24"/>
          <w:szCs w:val="24"/>
        </w:rPr>
        <w:t>. 31. ed., revista e atualizada até a Emenda Constitucional n. 56, de 20.12.2007. São Paulo: Malheiros, 2008.</w:t>
      </w:r>
    </w:p>
    <w:p w:rsidR="00D549B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STRECK, Lenio Luiz. </w:t>
      </w:r>
      <w:r w:rsidRPr="005F54CC">
        <w:rPr>
          <w:rFonts w:ascii="Times New Roman" w:hAnsi="Times New Roman"/>
          <w:b/>
          <w:sz w:val="24"/>
          <w:szCs w:val="24"/>
        </w:rPr>
        <w:t>A PEC nº 3/2011 e o ex-desconhecido Supremo Tribunal Federal</w:t>
      </w:r>
      <w:r w:rsidRPr="005F54CC">
        <w:rPr>
          <w:rFonts w:ascii="Times New Roman" w:hAnsi="Times New Roman"/>
          <w:sz w:val="24"/>
          <w:szCs w:val="24"/>
        </w:rPr>
        <w:t>. Disponível em: http://www.osconstitucionalistas.com.br/a-pec-no-32011-e-o-ex-desconhecido-supremo-tribunal-federal. Acesso em: 20 mar. 2015.</w:t>
      </w:r>
    </w:p>
    <w:p w:rsidR="00D549BC" w:rsidRDefault="00D549BC" w:rsidP="006D73BA">
      <w:pPr>
        <w:ind w:left="284" w:hanging="284"/>
        <w:rPr>
          <w:rFonts w:ascii="Times New Roman" w:hAnsi="Times New Roman"/>
          <w:sz w:val="24"/>
          <w:szCs w:val="24"/>
        </w:rPr>
      </w:pPr>
      <w:r w:rsidRPr="00C907C7">
        <w:rPr>
          <w:rFonts w:ascii="Times New Roman" w:hAnsi="Times New Roman"/>
          <w:sz w:val="24"/>
          <w:szCs w:val="24"/>
        </w:rPr>
        <w:t xml:space="preserve">_____. </w:t>
      </w:r>
      <w:r w:rsidRPr="00C907C7">
        <w:rPr>
          <w:rFonts w:ascii="Times New Roman" w:hAnsi="Times New Roman"/>
          <w:b/>
          <w:sz w:val="24"/>
          <w:szCs w:val="24"/>
        </w:rPr>
        <w:t>Verdade e Consenso</w:t>
      </w:r>
      <w:r w:rsidRPr="00C907C7">
        <w:rPr>
          <w:rFonts w:ascii="Times New Roman" w:hAnsi="Times New Roman"/>
          <w:sz w:val="24"/>
          <w:szCs w:val="24"/>
        </w:rPr>
        <w:t>: Constituição, Hermen</w:t>
      </w:r>
      <w:r>
        <w:rPr>
          <w:rFonts w:ascii="Times New Roman" w:hAnsi="Times New Roman"/>
          <w:sz w:val="24"/>
          <w:szCs w:val="24"/>
        </w:rPr>
        <w:t>êutica e Teorias Discursivas. 4. ed.</w:t>
      </w:r>
      <w:r w:rsidRPr="00C907C7">
        <w:rPr>
          <w:rFonts w:ascii="Times New Roman" w:hAnsi="Times New Roman"/>
          <w:sz w:val="24"/>
          <w:szCs w:val="24"/>
        </w:rPr>
        <w:t xml:space="preserve"> São Paulo: Saraiva, 2012</w:t>
      </w:r>
      <w:r>
        <w:rPr>
          <w:rFonts w:ascii="Times New Roman" w:hAnsi="Times New Roman"/>
          <w:sz w:val="24"/>
          <w:szCs w:val="24"/>
        </w:rPr>
        <w:t xml:space="preserve">. </w:t>
      </w:r>
    </w:p>
    <w:p w:rsidR="00D549BC" w:rsidRDefault="00D549BC" w:rsidP="004E5EC4">
      <w:pPr>
        <w:ind w:left="284" w:hanging="284"/>
        <w:rPr>
          <w:rFonts w:ascii="Times New Roman" w:hAnsi="Times New Roman"/>
          <w:sz w:val="24"/>
          <w:szCs w:val="24"/>
        </w:rPr>
      </w:pPr>
      <w:r w:rsidRPr="005F54CC">
        <w:rPr>
          <w:rFonts w:ascii="Times New Roman" w:hAnsi="Times New Roman"/>
          <w:sz w:val="24"/>
          <w:szCs w:val="24"/>
        </w:rPr>
        <w:t xml:space="preserve">_____. Entrevista. </w:t>
      </w:r>
      <w:r w:rsidRPr="005F54CC">
        <w:rPr>
          <w:rFonts w:ascii="Times New Roman" w:hAnsi="Times New Roman"/>
          <w:b/>
          <w:sz w:val="24"/>
          <w:szCs w:val="24"/>
        </w:rPr>
        <w:t>Associação dos Magistrados do Estado de Pernambuco</w:t>
      </w:r>
      <w:r w:rsidRPr="005F54CC">
        <w:rPr>
          <w:rFonts w:ascii="Times New Roman" w:hAnsi="Times New Roman"/>
          <w:sz w:val="24"/>
          <w:szCs w:val="24"/>
        </w:rPr>
        <w:t>. Disponível em: http://www.amepe.com.br/_mostranoticia_nv.php?cod=1246. Acesso em: 9 set. 2014.</w:t>
      </w:r>
    </w:p>
    <w:p w:rsidR="00D549BC" w:rsidRPr="005F54CC" w:rsidRDefault="00D549BC" w:rsidP="006D73BA">
      <w:pPr>
        <w:ind w:left="284" w:hanging="284"/>
        <w:rPr>
          <w:rFonts w:ascii="Times New Roman" w:hAnsi="Times New Roman"/>
          <w:sz w:val="24"/>
          <w:szCs w:val="24"/>
        </w:rPr>
      </w:pPr>
      <w:r w:rsidRPr="00105BFA">
        <w:rPr>
          <w:rFonts w:ascii="Times New Roman" w:hAnsi="Times New Roman"/>
          <w:sz w:val="24"/>
          <w:szCs w:val="24"/>
        </w:rPr>
        <w:t xml:space="preserve">ZAVASCKI, Teori Albino. </w:t>
      </w:r>
      <w:r w:rsidRPr="00105BFA">
        <w:rPr>
          <w:rFonts w:ascii="Times New Roman" w:hAnsi="Times New Roman"/>
          <w:b/>
          <w:sz w:val="24"/>
          <w:szCs w:val="24"/>
        </w:rPr>
        <w:t>Eficácia das Sentenças na Jurisdição Constitucional</w:t>
      </w:r>
      <w:r>
        <w:rPr>
          <w:rFonts w:ascii="Times New Roman" w:hAnsi="Times New Roman"/>
          <w:sz w:val="24"/>
          <w:szCs w:val="24"/>
        </w:rPr>
        <w:t>. 2. ed., revista, atualizada e ampliada.</w:t>
      </w:r>
      <w:r w:rsidRPr="00105BFA">
        <w:rPr>
          <w:rFonts w:ascii="Times New Roman" w:hAnsi="Times New Roman"/>
          <w:sz w:val="24"/>
          <w:szCs w:val="24"/>
        </w:rPr>
        <w:t xml:space="preserve"> São Paulo: Revista dos Tribunais, 2012. 204 p.</w:t>
      </w:r>
      <w:r>
        <w:rPr>
          <w:rFonts w:ascii="Times New Roman" w:hAnsi="Times New Roman"/>
          <w:sz w:val="24"/>
          <w:szCs w:val="24"/>
        </w:rPr>
        <w:t xml:space="preserve"> </w:t>
      </w:r>
    </w:p>
    <w:p w:rsidR="00D549BC" w:rsidRPr="005F54CC" w:rsidRDefault="00D549BC" w:rsidP="004E5EC4">
      <w:pPr>
        <w:ind w:left="284" w:hanging="284"/>
        <w:rPr>
          <w:rFonts w:ascii="Times New Roman" w:hAnsi="Times New Roman"/>
          <w:sz w:val="24"/>
          <w:szCs w:val="24"/>
        </w:rPr>
      </w:pPr>
    </w:p>
    <w:p w:rsidR="00D549BC" w:rsidRPr="003D6AE9" w:rsidRDefault="00D549BC" w:rsidP="003D6AE9">
      <w:pPr>
        <w:ind w:firstLine="0"/>
        <w:rPr>
          <w:lang w:eastAsia="pt-BR"/>
        </w:rPr>
      </w:pPr>
    </w:p>
    <w:p w:rsidR="00D549BC" w:rsidRDefault="00D549BC">
      <w:pPr>
        <w:rPr>
          <w:lang w:eastAsia="pt-BR"/>
        </w:rPr>
        <w:sectPr w:rsidR="00D549BC" w:rsidSect="009A39A8">
          <w:footnotePr>
            <w:numRestart w:val="eachSect"/>
          </w:footnotePr>
          <w:pgSz w:w="11906" w:h="16838" w:code="9"/>
          <w:pgMar w:top="1701" w:right="1134" w:bottom="1134" w:left="1701" w:header="709" w:footer="709" w:gutter="0"/>
          <w:cols w:space="708"/>
          <w:titlePg/>
          <w:docGrid w:linePitch="360"/>
        </w:sectPr>
      </w:pPr>
      <w:r>
        <w:rPr>
          <w:lang w:eastAsia="pt-BR"/>
        </w:rPr>
        <w:br w:type="page"/>
      </w:r>
    </w:p>
    <w:p w:rsidR="00D549BC" w:rsidRPr="009878AD" w:rsidRDefault="00D549BC" w:rsidP="009878AD">
      <w:pPr>
        <w:rPr>
          <w:rFonts w:ascii="Times New Roman" w:hAnsi="Times New Roman"/>
          <w:b/>
          <w:sz w:val="24"/>
          <w:szCs w:val="24"/>
          <w:lang w:eastAsia="pt-BR"/>
        </w:rPr>
      </w:pPr>
      <w:r>
        <w:rPr>
          <w:rFonts w:ascii="Times New Roman" w:hAnsi="Times New Roman"/>
          <w:b/>
          <w:sz w:val="24"/>
          <w:szCs w:val="24"/>
          <w:lang w:eastAsia="pt-BR"/>
        </w:rPr>
        <w:t>7</w:t>
      </w:r>
      <w:r w:rsidRPr="009878AD">
        <w:rPr>
          <w:rFonts w:ascii="Times New Roman" w:hAnsi="Times New Roman"/>
          <w:b/>
          <w:sz w:val="24"/>
          <w:szCs w:val="24"/>
          <w:lang w:eastAsia="pt-BR"/>
        </w:rPr>
        <w:t xml:space="preserve"> ANEXOS</w:t>
      </w:r>
    </w:p>
    <w:p w:rsidR="00D549BC" w:rsidRDefault="00D549BC" w:rsidP="00BA7CAE">
      <w:pPr>
        <w:ind w:firstLine="0"/>
        <w:rPr>
          <w:rFonts w:ascii="Times New Roman" w:hAnsi="Times New Roman"/>
          <w:sz w:val="24"/>
        </w:rPr>
      </w:pPr>
    </w:p>
    <w:p w:rsidR="00D549BC" w:rsidRDefault="00D549BC" w:rsidP="009878AD">
      <w:pPr>
        <w:ind w:firstLine="0"/>
        <w:jc w:val="center"/>
        <w:rPr>
          <w:rFonts w:ascii="Times New Roman" w:hAnsi="Times New Roman"/>
          <w:sz w:val="24"/>
        </w:rPr>
      </w:pPr>
      <w:r>
        <w:rPr>
          <w:rFonts w:ascii="Times New Roman" w:hAnsi="Times New Roman"/>
          <w:sz w:val="24"/>
        </w:rPr>
        <w:t>Anexo 1: Processos por Corte no Supremo</w:t>
      </w:r>
    </w:p>
    <w:p w:rsidR="00D549BC" w:rsidRDefault="00D549BC" w:rsidP="00BA7CAE">
      <w:pPr>
        <w:ind w:firstLine="0"/>
        <w:rPr>
          <w:rFonts w:ascii="Times New Roman" w:hAnsi="Times New Roman"/>
          <w:sz w:val="24"/>
        </w:rPr>
      </w:pPr>
      <w:r w:rsidRPr="002739CC">
        <w:rPr>
          <w:rFonts w:ascii="Times New Roman" w:hAnsi="Times New Roman"/>
          <w:noProof/>
          <w:lang w:eastAsia="pt-BR"/>
        </w:rPr>
        <w:pict>
          <v:shape id="Imagem 2" o:spid="_x0000_i1026" type="#_x0000_t75" style="width:384.75pt;height:204.75pt;visibility:visible" o:bordertopcolor="black" o:borderleftcolor="black" o:borderbottomcolor="black" o:borderrightcolor="black">
            <v:imagedata r:id="rId14" o:title=""/>
            <w10:bordertop type="single" width="12"/>
            <w10:borderleft type="single" width="12"/>
            <w10:borderbottom type="single" width="12"/>
            <w10:borderright type="single" width="12"/>
          </v:shape>
        </w:pict>
      </w:r>
    </w:p>
    <w:p w:rsidR="00D549BC" w:rsidRDefault="00D549BC" w:rsidP="001202C2">
      <w:pPr>
        <w:spacing w:line="240" w:lineRule="auto"/>
        <w:ind w:firstLine="0"/>
        <w:rPr>
          <w:rFonts w:ascii="Times New Roman" w:hAnsi="Times New Roman"/>
          <w:sz w:val="20"/>
          <w:szCs w:val="20"/>
        </w:rPr>
      </w:pPr>
      <w:r w:rsidRPr="001202C2">
        <w:rPr>
          <w:rFonts w:ascii="Times New Roman" w:hAnsi="Times New Roman"/>
          <w:sz w:val="20"/>
          <w:szCs w:val="20"/>
        </w:rPr>
        <w:t xml:space="preserve">Fonte: ARGUELHES, Diego Werneck; CERDEIRA, Pablo de Camargo; FALCÃO, Joaquim. </w:t>
      </w:r>
      <w:r w:rsidRPr="001202C2">
        <w:rPr>
          <w:rFonts w:ascii="Times New Roman" w:hAnsi="Times New Roman"/>
          <w:b/>
          <w:sz w:val="20"/>
          <w:szCs w:val="20"/>
        </w:rPr>
        <w:t>I Relatório Supremo em Números</w:t>
      </w:r>
      <w:r w:rsidRPr="001202C2">
        <w:rPr>
          <w:rFonts w:ascii="Times New Roman" w:hAnsi="Times New Roman"/>
          <w:sz w:val="20"/>
          <w:szCs w:val="20"/>
        </w:rPr>
        <w:t>: o Múltiplo Supremo. Rio de Janeiro: FGV-RIO, 2011. Disponível em: http://www.fgv.br/supremoemnumeros/publicacoes.html. Acesso em: 25 mar. 2015</w:t>
      </w:r>
      <w:r>
        <w:rPr>
          <w:rFonts w:ascii="Times New Roman" w:hAnsi="Times New Roman"/>
          <w:sz w:val="20"/>
          <w:szCs w:val="20"/>
        </w:rPr>
        <w:t>, p.21.</w:t>
      </w:r>
    </w:p>
    <w:p w:rsidR="00D549BC" w:rsidRDefault="00D549BC" w:rsidP="001202C2">
      <w:pPr>
        <w:spacing w:line="240" w:lineRule="auto"/>
        <w:ind w:firstLine="0"/>
        <w:rPr>
          <w:rFonts w:ascii="Times New Roman" w:hAnsi="Times New Roman"/>
          <w:sz w:val="20"/>
          <w:szCs w:val="20"/>
        </w:rPr>
      </w:pPr>
    </w:p>
    <w:p w:rsidR="00D549BC" w:rsidRDefault="00D549BC" w:rsidP="001202C2">
      <w:pPr>
        <w:spacing w:line="240" w:lineRule="auto"/>
        <w:ind w:firstLine="0"/>
        <w:rPr>
          <w:rFonts w:ascii="Times New Roman" w:hAnsi="Times New Roman"/>
          <w:sz w:val="24"/>
          <w:szCs w:val="24"/>
        </w:rPr>
      </w:pPr>
    </w:p>
    <w:p w:rsidR="00D549BC" w:rsidRDefault="00D549BC" w:rsidP="001202C2">
      <w:pPr>
        <w:spacing w:line="240" w:lineRule="auto"/>
        <w:ind w:firstLine="0"/>
        <w:rPr>
          <w:rFonts w:ascii="Times New Roman" w:hAnsi="Times New Roman"/>
          <w:sz w:val="24"/>
          <w:szCs w:val="24"/>
        </w:rPr>
      </w:pPr>
    </w:p>
    <w:p w:rsidR="00D549BC" w:rsidRDefault="00D549BC" w:rsidP="001202C2">
      <w:pPr>
        <w:spacing w:line="240" w:lineRule="auto"/>
        <w:ind w:firstLine="0"/>
        <w:rPr>
          <w:rFonts w:ascii="Times New Roman" w:hAnsi="Times New Roman"/>
          <w:sz w:val="24"/>
          <w:szCs w:val="24"/>
        </w:rPr>
      </w:pPr>
    </w:p>
    <w:p w:rsidR="00D549BC" w:rsidRDefault="00D549BC" w:rsidP="00CB441B">
      <w:pPr>
        <w:spacing w:line="240" w:lineRule="auto"/>
        <w:ind w:firstLine="0"/>
        <w:jc w:val="center"/>
        <w:rPr>
          <w:rFonts w:ascii="Times New Roman" w:hAnsi="Times New Roman"/>
          <w:sz w:val="24"/>
          <w:szCs w:val="24"/>
        </w:rPr>
      </w:pPr>
      <w:r>
        <w:rPr>
          <w:rFonts w:ascii="Times New Roman" w:hAnsi="Times New Roman"/>
          <w:sz w:val="24"/>
          <w:szCs w:val="24"/>
        </w:rPr>
        <w:t>Anexo 2: Processos por Corte</w:t>
      </w:r>
    </w:p>
    <w:p w:rsidR="00D549BC" w:rsidRDefault="00D549BC" w:rsidP="001202C2">
      <w:pPr>
        <w:spacing w:line="240" w:lineRule="auto"/>
        <w:ind w:firstLine="0"/>
        <w:rPr>
          <w:rFonts w:ascii="Times New Roman" w:hAnsi="Times New Roman"/>
          <w:sz w:val="24"/>
          <w:szCs w:val="24"/>
        </w:rPr>
      </w:pPr>
    </w:p>
    <w:p w:rsidR="00D549BC" w:rsidRDefault="00D549BC" w:rsidP="001202C2">
      <w:pPr>
        <w:spacing w:line="240" w:lineRule="auto"/>
        <w:ind w:firstLine="0"/>
        <w:rPr>
          <w:rFonts w:ascii="Times New Roman" w:hAnsi="Times New Roman"/>
          <w:sz w:val="24"/>
          <w:szCs w:val="24"/>
        </w:rPr>
      </w:pPr>
      <w:r w:rsidRPr="002739CC">
        <w:rPr>
          <w:rFonts w:ascii="Times New Roman" w:hAnsi="Times New Roman"/>
          <w:noProof/>
          <w:lang w:eastAsia="pt-BR"/>
        </w:rPr>
        <w:pict>
          <v:shape id="Imagem 1" o:spid="_x0000_i1027" type="#_x0000_t75" style="width:450pt;height:110.25pt;visibility:visible" o:bordertopcolor="black" o:borderleftcolor="black" o:borderbottomcolor="black" o:borderrightcolor="black">
            <v:imagedata r:id="rId15" o:title=""/>
            <w10:bordertop type="single" width="12"/>
            <w10:borderleft type="single" width="12"/>
            <w10:borderbottom type="single" width="12"/>
            <w10:borderright type="single" width="12"/>
          </v:shape>
        </w:pict>
      </w:r>
    </w:p>
    <w:p w:rsidR="00D549BC" w:rsidRDefault="00D549BC" w:rsidP="001202C2">
      <w:pPr>
        <w:spacing w:line="240" w:lineRule="auto"/>
        <w:ind w:firstLine="0"/>
        <w:rPr>
          <w:rFonts w:ascii="Times New Roman" w:hAnsi="Times New Roman"/>
          <w:sz w:val="20"/>
          <w:szCs w:val="20"/>
        </w:rPr>
      </w:pPr>
      <w:r w:rsidRPr="00C15C72">
        <w:rPr>
          <w:rFonts w:ascii="Times New Roman" w:hAnsi="Times New Roman"/>
          <w:sz w:val="20"/>
          <w:szCs w:val="20"/>
        </w:rPr>
        <w:t>Fonte: Ibid.</w:t>
      </w:r>
    </w:p>
    <w:p w:rsidR="00D549BC" w:rsidRDefault="00D549BC" w:rsidP="001202C2">
      <w:pPr>
        <w:spacing w:line="240" w:lineRule="auto"/>
        <w:ind w:firstLine="0"/>
        <w:rPr>
          <w:rFonts w:ascii="Times New Roman" w:hAnsi="Times New Roman"/>
          <w:sz w:val="20"/>
          <w:szCs w:val="20"/>
        </w:rPr>
      </w:pPr>
    </w:p>
    <w:p w:rsidR="00D549BC" w:rsidRDefault="00D549BC">
      <w:pPr>
        <w:rPr>
          <w:rFonts w:ascii="Times New Roman" w:hAnsi="Times New Roman"/>
          <w:sz w:val="20"/>
          <w:szCs w:val="20"/>
        </w:rPr>
      </w:pPr>
      <w:r>
        <w:rPr>
          <w:rFonts w:ascii="Times New Roman" w:hAnsi="Times New Roman"/>
          <w:sz w:val="20"/>
          <w:szCs w:val="20"/>
        </w:rPr>
        <w:br w:type="page"/>
      </w:r>
    </w:p>
    <w:p w:rsidR="00D549BC" w:rsidRDefault="00D549BC" w:rsidP="00CB441B">
      <w:pPr>
        <w:spacing w:line="240" w:lineRule="auto"/>
        <w:ind w:firstLine="0"/>
        <w:jc w:val="center"/>
        <w:rPr>
          <w:rFonts w:ascii="Times New Roman" w:hAnsi="Times New Roman"/>
          <w:sz w:val="24"/>
          <w:szCs w:val="24"/>
        </w:rPr>
      </w:pPr>
      <w:r w:rsidRPr="00CB441B">
        <w:rPr>
          <w:rFonts w:ascii="Times New Roman" w:hAnsi="Times New Roman"/>
          <w:sz w:val="24"/>
          <w:szCs w:val="24"/>
        </w:rPr>
        <w:t>Anexo 3</w:t>
      </w:r>
      <w:r>
        <w:rPr>
          <w:rFonts w:ascii="Times New Roman" w:hAnsi="Times New Roman"/>
          <w:sz w:val="24"/>
          <w:szCs w:val="24"/>
        </w:rPr>
        <w:t>: Processos distribuídos de 1990 a 2014</w:t>
      </w:r>
    </w:p>
    <w:p w:rsidR="00D549BC" w:rsidRPr="00CB441B" w:rsidRDefault="00D549BC" w:rsidP="00CB441B">
      <w:pPr>
        <w:spacing w:line="240" w:lineRule="auto"/>
        <w:ind w:firstLine="0"/>
        <w:jc w:val="center"/>
        <w:rPr>
          <w:rFonts w:ascii="Times New Roman" w:hAnsi="Times New Roman"/>
          <w:sz w:val="24"/>
          <w:szCs w:val="24"/>
        </w:rPr>
      </w:pPr>
    </w:p>
    <w:p w:rsidR="00D549BC" w:rsidRDefault="00D549BC" w:rsidP="001202C2">
      <w:pPr>
        <w:spacing w:line="240" w:lineRule="auto"/>
        <w:ind w:firstLine="0"/>
        <w:rPr>
          <w:rFonts w:ascii="Times New Roman" w:hAnsi="Times New Roman"/>
          <w:sz w:val="20"/>
          <w:szCs w:val="20"/>
        </w:rPr>
      </w:pPr>
      <w:r w:rsidRPr="002739CC">
        <w:rPr>
          <w:rFonts w:ascii="Times New Roman" w:hAnsi="Times New Roman"/>
          <w:noProof/>
          <w:lang w:eastAsia="pt-BR"/>
        </w:rPr>
        <w:pict>
          <v:shape id="Imagem 8" o:spid="_x0000_i1028" type="#_x0000_t75" style="width:447.75pt;height:485.25pt;visibility:visible" o:bordertopcolor="black" o:borderleftcolor="black" o:borderbottomcolor="black" o:borderrightcolor="black">
            <v:imagedata r:id="rId16" o:title="" gain="109227f" blacklevel="-6554f"/>
            <w10:bordertop type="single" width="6"/>
            <w10:borderleft type="single" width="6"/>
            <w10:borderbottom type="single" width="6"/>
            <w10:borderright type="single" width="6"/>
          </v:shape>
        </w:pict>
      </w:r>
    </w:p>
    <w:p w:rsidR="00D549BC" w:rsidRPr="00622022" w:rsidRDefault="00D549BC" w:rsidP="001202C2">
      <w:pPr>
        <w:spacing w:line="240" w:lineRule="auto"/>
        <w:ind w:firstLine="0"/>
        <w:rPr>
          <w:rFonts w:ascii="Times New Roman" w:hAnsi="Times New Roman"/>
          <w:sz w:val="20"/>
          <w:szCs w:val="20"/>
        </w:rPr>
      </w:pPr>
      <w:r w:rsidRPr="00622022">
        <w:rPr>
          <w:rFonts w:ascii="Times New Roman" w:hAnsi="Times New Roman"/>
          <w:sz w:val="20"/>
          <w:szCs w:val="20"/>
        </w:rPr>
        <w:t>Fonte: BRASIL. Supremo Tribunal Federal. Estatísticas oficiais disponíveis em</w:t>
      </w:r>
      <w:r>
        <w:rPr>
          <w:rFonts w:ascii="Times New Roman" w:hAnsi="Times New Roman"/>
          <w:sz w:val="20"/>
          <w:szCs w:val="20"/>
        </w:rPr>
        <w:t>:</w:t>
      </w:r>
      <w:r w:rsidRPr="00622022">
        <w:rPr>
          <w:rFonts w:ascii="Times New Roman" w:hAnsi="Times New Roman"/>
          <w:sz w:val="20"/>
          <w:szCs w:val="20"/>
        </w:rPr>
        <w:t xml:space="preserve"> http://www.stf.jus.br/portal/cms/verTexto.asp?servico=estatistica&amp;pagina=REAIProcessoDistribuidoAnosAnteriores</w:t>
      </w:r>
      <w:r>
        <w:rPr>
          <w:rFonts w:ascii="Times New Roman" w:hAnsi="Times New Roman"/>
          <w:sz w:val="20"/>
          <w:szCs w:val="20"/>
        </w:rPr>
        <w:t>.</w:t>
      </w:r>
      <w:r w:rsidRPr="00622022">
        <w:rPr>
          <w:rFonts w:ascii="Times New Roman" w:hAnsi="Times New Roman"/>
          <w:sz w:val="20"/>
          <w:szCs w:val="20"/>
        </w:rPr>
        <w:t xml:space="preserve"> Acesso em</w:t>
      </w:r>
      <w:r>
        <w:rPr>
          <w:rFonts w:ascii="Times New Roman" w:hAnsi="Times New Roman"/>
          <w:sz w:val="20"/>
          <w:szCs w:val="20"/>
        </w:rPr>
        <w:t>:</w:t>
      </w:r>
      <w:r w:rsidRPr="00622022">
        <w:rPr>
          <w:rFonts w:ascii="Times New Roman" w:hAnsi="Times New Roman"/>
          <w:sz w:val="20"/>
          <w:szCs w:val="20"/>
        </w:rPr>
        <w:t xml:space="preserve"> 26 mar. 2015.</w:t>
      </w:r>
    </w:p>
    <w:sectPr w:rsidR="00D549BC" w:rsidRPr="00622022" w:rsidSect="009A39A8">
      <w:footnotePr>
        <w:numRestart w:val="eachSect"/>
      </w:footnotePr>
      <w:pgSz w:w="11906" w:h="16838" w:code="9"/>
      <w:pgMar w:top="1701"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49BC" w:rsidRDefault="00D549BC" w:rsidP="00CD4F5E">
      <w:pPr>
        <w:spacing w:line="240" w:lineRule="auto"/>
      </w:pPr>
      <w:r>
        <w:separator/>
      </w:r>
    </w:p>
  </w:endnote>
  <w:endnote w:type="continuationSeparator" w:id="0">
    <w:p w:rsidR="00D549BC" w:rsidRDefault="00D549BC" w:rsidP="00CD4F5E">
      <w:pPr>
        <w:spacing w:line="240" w:lineRule="auto"/>
      </w:pPr>
      <w:r>
        <w:continuationSeparator/>
      </w:r>
    </w:p>
  </w:endnote>
  <w:endnote w:type="continuationNotice" w:id="1">
    <w:p w:rsidR="00D549BC" w:rsidRDefault="00D549BC">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l?r ??fc"/>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9BC" w:rsidRDefault="00D549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49BC" w:rsidRDefault="00D549BC" w:rsidP="00CD4F5E">
      <w:pPr>
        <w:spacing w:line="240" w:lineRule="auto"/>
      </w:pPr>
      <w:r>
        <w:separator/>
      </w:r>
    </w:p>
  </w:footnote>
  <w:footnote w:type="continuationSeparator" w:id="0">
    <w:p w:rsidR="00D549BC" w:rsidRDefault="00D549BC" w:rsidP="00CD4F5E">
      <w:pPr>
        <w:spacing w:line="240" w:lineRule="auto"/>
      </w:pPr>
      <w:r>
        <w:continuationSeparator/>
      </w:r>
    </w:p>
  </w:footnote>
  <w:footnote w:type="continuationNotice" w:id="1">
    <w:p w:rsidR="00D549BC" w:rsidRDefault="00D549BC">
      <w:pPr>
        <w:spacing w:line="240" w:lineRule="auto"/>
      </w:pPr>
    </w:p>
  </w:footnote>
  <w:footnote w:id="2">
    <w:p w:rsidR="00D549BC" w:rsidRDefault="00D549BC" w:rsidP="007E25D5">
      <w:pPr>
        <w:pStyle w:val="FootnoteText"/>
        <w:ind w:firstLine="0"/>
      </w:pPr>
      <w:r w:rsidRPr="001373C8">
        <w:rPr>
          <w:rStyle w:val="FootnoteReference"/>
          <w:rFonts w:ascii="Times New Roman" w:hAnsi="Times New Roman"/>
        </w:rPr>
        <w:footnoteRef/>
      </w:r>
      <w:r w:rsidRPr="001373C8">
        <w:rPr>
          <w:rFonts w:ascii="Times New Roman" w:hAnsi="Times New Roman"/>
        </w:rPr>
        <w:t xml:space="preserve"> </w:t>
      </w:r>
      <w:r>
        <w:rPr>
          <w:rFonts w:ascii="Times New Roman" w:hAnsi="Times New Roman"/>
        </w:rPr>
        <w:t>Nesse sentido, cf. JOSÉ CARLOS MOREIRA ALVES</w:t>
      </w:r>
      <w:r w:rsidRPr="001373C8">
        <w:rPr>
          <w:rFonts w:ascii="Times New Roman" w:hAnsi="Times New Roman"/>
        </w:rPr>
        <w:t>: “A competência do STF como Tribunal</w:t>
      </w:r>
      <w:r>
        <w:rPr>
          <w:rFonts w:ascii="Times New Roman" w:hAnsi="Times New Roman"/>
        </w:rPr>
        <w:t xml:space="preserve"> </w:t>
      </w:r>
      <w:r w:rsidRPr="001373C8">
        <w:rPr>
          <w:rFonts w:ascii="Times New Roman" w:hAnsi="Times New Roman"/>
        </w:rPr>
        <w:t>da Federação, de certa forma, já vinha das Constituições Republicanas anteriores</w:t>
      </w:r>
      <w:r>
        <w:rPr>
          <w:rFonts w:ascii="Times New Roman" w:hAnsi="Times New Roman"/>
        </w:rPr>
        <w:t xml:space="preserve"> </w:t>
      </w:r>
      <w:r w:rsidRPr="001373C8">
        <w:rPr>
          <w:rFonts w:ascii="Times New Roman" w:hAnsi="Times New Roman"/>
        </w:rPr>
        <w:t>[à Emenda</w:t>
      </w:r>
      <w:r>
        <w:rPr>
          <w:rFonts w:ascii="Times New Roman" w:hAnsi="Times New Roman"/>
        </w:rPr>
        <w:t xml:space="preserve"> </w:t>
      </w:r>
      <w:r w:rsidRPr="001373C8">
        <w:rPr>
          <w:rFonts w:ascii="Times New Roman" w:hAnsi="Times New Roman"/>
        </w:rPr>
        <w:t>Constitucional nº 1, de 1969], e deu margem, a partir de 1926 com Herculano de Freitas, e, com</w:t>
      </w:r>
      <w:r>
        <w:rPr>
          <w:rFonts w:ascii="Times New Roman" w:hAnsi="Times New Roman"/>
        </w:rPr>
        <w:t xml:space="preserve"> </w:t>
      </w:r>
      <w:r w:rsidRPr="001373C8">
        <w:rPr>
          <w:rFonts w:ascii="Times New Roman" w:hAnsi="Times New Roman"/>
        </w:rPr>
        <w:t>crescente intensidade, pela voz de Filadelfo Azevedo e</w:t>
      </w:r>
      <w:r>
        <w:rPr>
          <w:rFonts w:ascii="Times New Roman" w:hAnsi="Times New Roman"/>
        </w:rPr>
        <w:t xml:space="preserve"> de</w:t>
      </w:r>
      <w:r w:rsidRPr="001373C8">
        <w:rPr>
          <w:rFonts w:ascii="Times New Roman" w:hAnsi="Times New Roman"/>
        </w:rPr>
        <w:t xml:space="preserve"> Levi Carneiro, a partir de 1943, sob o</w:t>
      </w:r>
      <w:r>
        <w:rPr>
          <w:rFonts w:ascii="Times New Roman" w:hAnsi="Times New Roman"/>
        </w:rPr>
        <w:t xml:space="preserve"> </w:t>
      </w:r>
      <w:r w:rsidRPr="001373C8">
        <w:rPr>
          <w:rFonts w:ascii="Times New Roman" w:hAnsi="Times New Roman"/>
        </w:rPr>
        <w:t xml:space="preserve">fundamento do acúmulo de processos, ao que veio denominar-se </w:t>
      </w:r>
      <w:r>
        <w:rPr>
          <w:rFonts w:ascii="Times New Roman" w:hAnsi="Times New Roman"/>
        </w:rPr>
        <w:t>‘</w:t>
      </w:r>
      <w:r w:rsidRPr="001373C8">
        <w:rPr>
          <w:rFonts w:ascii="Times New Roman" w:hAnsi="Times New Roman"/>
        </w:rPr>
        <w:t>crise do Supremo Tribunal</w:t>
      </w:r>
      <w:r>
        <w:rPr>
          <w:rFonts w:ascii="Times New Roman" w:hAnsi="Times New Roman"/>
        </w:rPr>
        <w:t xml:space="preserve"> Federal’</w:t>
      </w:r>
      <w:r w:rsidRPr="001373C8">
        <w:rPr>
          <w:rFonts w:ascii="Times New Roman" w:hAnsi="Times New Roman"/>
        </w:rPr>
        <w:t xml:space="preserve">, </w:t>
      </w:r>
      <w:r w:rsidRPr="007F14B7">
        <w:rPr>
          <w:rFonts w:ascii="Times New Roman" w:hAnsi="Times New Roman"/>
          <w:i/>
        </w:rPr>
        <w:t>o que melhor seria dizer-se</w:t>
      </w:r>
      <w:r w:rsidRPr="001373C8">
        <w:rPr>
          <w:rFonts w:ascii="Times New Roman" w:hAnsi="Times New Roman"/>
        </w:rPr>
        <w:t xml:space="preserve"> </w:t>
      </w:r>
      <w:r>
        <w:rPr>
          <w:rFonts w:ascii="Times New Roman" w:hAnsi="Times New Roman"/>
        </w:rPr>
        <w:t>‘</w:t>
      </w:r>
      <w:r w:rsidRPr="007F14B7">
        <w:rPr>
          <w:rFonts w:ascii="Times New Roman" w:hAnsi="Times New Roman"/>
          <w:i/>
        </w:rPr>
        <w:t>crise do recurso extraordinário</w:t>
      </w:r>
      <w:r>
        <w:rPr>
          <w:rFonts w:ascii="Times New Roman" w:hAnsi="Times New Roman"/>
        </w:rPr>
        <w:t>’</w:t>
      </w:r>
      <w:r w:rsidRPr="001373C8">
        <w:rPr>
          <w:rFonts w:ascii="Times New Roman" w:hAnsi="Times New Roman"/>
        </w:rPr>
        <w:t>, embora, de início, os números</w:t>
      </w:r>
      <w:r>
        <w:rPr>
          <w:rFonts w:ascii="Times New Roman" w:hAnsi="Times New Roman"/>
        </w:rPr>
        <w:t xml:space="preserve"> </w:t>
      </w:r>
      <w:r w:rsidRPr="001373C8">
        <w:rPr>
          <w:rFonts w:ascii="Times New Roman" w:hAnsi="Times New Roman"/>
        </w:rPr>
        <w:t>fossem diminutos diante do que ocorreria no futuro”</w:t>
      </w:r>
      <w:r>
        <w:rPr>
          <w:rFonts w:ascii="Times New Roman" w:hAnsi="Times New Roman"/>
        </w:rPr>
        <w:t xml:space="preserve"> (ALVES, José Carlos Moreira.</w:t>
      </w:r>
      <w:r>
        <w:rPr>
          <w:rFonts w:ascii="Times New Roman" w:hAnsi="Times New Roman"/>
          <w:b/>
        </w:rPr>
        <w:t xml:space="preserve"> </w:t>
      </w:r>
      <w:r w:rsidRPr="00965F6E">
        <w:rPr>
          <w:rFonts w:ascii="Times New Roman" w:hAnsi="Times New Roman"/>
        </w:rPr>
        <w:t>O STF no período de minha judicatura</w:t>
      </w:r>
      <w:r w:rsidRPr="001373C8">
        <w:rPr>
          <w:rFonts w:ascii="Times New Roman" w:hAnsi="Times New Roman"/>
        </w:rPr>
        <w:t>: 1975 a 2003.</w:t>
      </w:r>
      <w:r>
        <w:rPr>
          <w:rFonts w:ascii="Times New Roman" w:hAnsi="Times New Roman"/>
        </w:rPr>
        <w:t xml:space="preserve"> </w:t>
      </w:r>
      <w:r w:rsidRPr="00965F6E">
        <w:rPr>
          <w:rFonts w:ascii="Times New Roman" w:hAnsi="Times New Roman"/>
          <w:b/>
        </w:rPr>
        <w:t>Revista Forense</w:t>
      </w:r>
      <w:r>
        <w:rPr>
          <w:rFonts w:ascii="Times New Roman" w:hAnsi="Times New Roman"/>
        </w:rPr>
        <w:t>, v</w:t>
      </w:r>
      <w:r w:rsidRPr="001373C8">
        <w:rPr>
          <w:rFonts w:ascii="Times New Roman" w:hAnsi="Times New Roman"/>
        </w:rPr>
        <w:t>. 400, ano 104, nov./dez. 2008, p. 607</w:t>
      </w:r>
      <w:r>
        <w:rPr>
          <w:rFonts w:ascii="Times New Roman" w:hAnsi="Times New Roman"/>
        </w:rPr>
        <w:t xml:space="preserve"> – grifos nossos)</w:t>
      </w:r>
      <w:r w:rsidRPr="001373C8">
        <w:rPr>
          <w:rFonts w:ascii="Times New Roman" w:hAnsi="Times New Roman"/>
        </w:rPr>
        <w:t>.</w:t>
      </w:r>
      <w:r>
        <w:rPr>
          <w:rFonts w:ascii="Times New Roman" w:hAnsi="Times New Roman"/>
        </w:rPr>
        <w:t xml:space="preserve"> Assim como, JOSÉ AFONSO DA SILVA: “Há muito que se vem pondo em destaque a existência de profunda crise no mais alto Tribunal do país. Crise que se traduz no afluxo insuportável de serviços, no acúmulo de processos, naquela alta Côrte, a tal ponto de se proclamar um possível estrangulamento da Justiça nacional. E a gravidade disso se revela no fato de o S.T.F. ser o órgão de cúpula do nosso organismo judiciário e de, em face da elasticidade do Recurso Extraordinário, levar-se a êle parcela enorme das controvérsias judiciais, julgadas pelos demais órgãos da Justiça de todo o país” (SILVA, José Afonso da. </w:t>
      </w:r>
      <w:r w:rsidRPr="00FD4D6B">
        <w:rPr>
          <w:rFonts w:ascii="Times New Roman" w:hAnsi="Times New Roman"/>
          <w:b/>
        </w:rPr>
        <w:t>Do Recurso Extraordinário no Direito Processual Brasileiro</w:t>
      </w:r>
      <w:r>
        <w:rPr>
          <w:rFonts w:ascii="Times New Roman" w:hAnsi="Times New Roman"/>
        </w:rPr>
        <w:t xml:space="preserve">. </w:t>
      </w:r>
      <w:r w:rsidRPr="00FD4D6B">
        <w:rPr>
          <w:rFonts w:ascii="Times New Roman" w:hAnsi="Times New Roman"/>
        </w:rPr>
        <w:t xml:space="preserve">São Paulo: Revista dos Tribunais, 1963. </w:t>
      </w:r>
      <w:r>
        <w:rPr>
          <w:rFonts w:ascii="Times New Roman" w:hAnsi="Times New Roman"/>
        </w:rPr>
        <w:t xml:space="preserve">p. 446).  </w:t>
      </w:r>
    </w:p>
  </w:footnote>
  <w:footnote w:id="3">
    <w:p w:rsidR="00D549BC" w:rsidRDefault="00D549BC" w:rsidP="007E25D5">
      <w:pPr>
        <w:pStyle w:val="FootnoteText"/>
        <w:ind w:firstLine="0"/>
      </w:pPr>
      <w:r w:rsidRPr="009967A7">
        <w:rPr>
          <w:rStyle w:val="FootnoteReference"/>
          <w:rFonts w:ascii="Times New Roman" w:hAnsi="Times New Roman"/>
        </w:rPr>
        <w:footnoteRef/>
      </w:r>
      <w:r>
        <w:rPr>
          <w:rFonts w:ascii="Times New Roman" w:hAnsi="Times New Roman"/>
        </w:rPr>
        <w:t xml:space="preserve"> Entendemos por objeto de pesquisa a definição trazida por ÂNGELO DOMINGOS SALVADOR:</w:t>
      </w:r>
      <w:r w:rsidRPr="00710E76">
        <w:rPr>
          <w:rFonts w:ascii="Times New Roman" w:hAnsi="Times New Roman"/>
        </w:rPr>
        <w:t xml:space="preserve"> </w:t>
      </w:r>
      <w:r>
        <w:rPr>
          <w:rFonts w:ascii="Times New Roman" w:hAnsi="Times New Roman"/>
        </w:rPr>
        <w:t xml:space="preserve">“Antes de mais nada, é preciso distinguir o sujeito e o objeto de uma questão. O sujeito é a realidade a respeito da qual se deseja saber alguma coisa. É o universo de referência. Podem ser coisas, fatos ou pessoas a cujo propósito realiza-se um estudo com o objetivo de melhor conhecê-los ou agir sobre eles. </w:t>
      </w:r>
      <w:r w:rsidRPr="00710E76">
        <w:rPr>
          <w:rFonts w:ascii="Times New Roman" w:hAnsi="Times New Roman"/>
          <w:i/>
        </w:rPr>
        <w:t>O objeto de um assunto é o tema, propriamente dito. É o que se quer saber ou o que se quer fazer a respeito do sujeito. É o conteúdo que se focaliza, em torno do qual gira toda a discussão ou indagação</w:t>
      </w:r>
      <w:r>
        <w:rPr>
          <w:rFonts w:ascii="Times New Roman" w:hAnsi="Times New Roman"/>
        </w:rPr>
        <w:t xml:space="preserve">” (SALVADOR, Ângelo Domingos. </w:t>
      </w:r>
      <w:r w:rsidRPr="009967A7">
        <w:rPr>
          <w:rFonts w:ascii="Times New Roman" w:hAnsi="Times New Roman"/>
          <w:b/>
        </w:rPr>
        <w:t>Métodos e Técnicas de Pesquisa Bibliográfica</w:t>
      </w:r>
      <w:r>
        <w:rPr>
          <w:rFonts w:ascii="Times New Roman" w:hAnsi="Times New Roman"/>
        </w:rPr>
        <w:t xml:space="preserve">: elaboração de trabalhos científicos. 9. ed. Porto Alegre: Sulina, 1981. p. 46 – grifos nossos). </w:t>
      </w:r>
    </w:p>
  </w:footnote>
  <w:footnote w:id="4">
    <w:p w:rsidR="00D549BC" w:rsidRDefault="00D549BC" w:rsidP="007E25D5">
      <w:pPr>
        <w:pStyle w:val="FootnoteText"/>
        <w:ind w:firstLine="0"/>
      </w:pPr>
      <w:r w:rsidRPr="0008051F">
        <w:rPr>
          <w:rStyle w:val="FootnoteReference"/>
          <w:rFonts w:ascii="Times New Roman" w:hAnsi="Times New Roman"/>
        </w:rPr>
        <w:footnoteRef/>
      </w:r>
      <w:r w:rsidRPr="0008051F">
        <w:rPr>
          <w:rFonts w:ascii="Times New Roman" w:hAnsi="Times New Roman"/>
        </w:rPr>
        <w:t xml:space="preserve"> </w:t>
      </w:r>
      <w:r>
        <w:rPr>
          <w:rFonts w:ascii="Times New Roman" w:hAnsi="Times New Roman"/>
        </w:rPr>
        <w:t xml:space="preserve">Ibid., p. 56. </w:t>
      </w:r>
    </w:p>
  </w:footnote>
  <w:footnote w:id="5">
    <w:p w:rsidR="00D549BC" w:rsidRPr="00B41518" w:rsidRDefault="00D549BC" w:rsidP="00990636">
      <w:pPr>
        <w:pStyle w:val="FootnoteText"/>
        <w:ind w:firstLine="0"/>
        <w:rPr>
          <w:rFonts w:ascii="Times New Roman" w:hAnsi="Times New Roman"/>
        </w:rPr>
      </w:pPr>
      <w:r w:rsidRPr="00B41518">
        <w:rPr>
          <w:rStyle w:val="FootnoteReference"/>
          <w:rFonts w:ascii="Times New Roman" w:hAnsi="Times New Roman"/>
        </w:rPr>
        <w:footnoteRef/>
      </w:r>
      <w:r w:rsidRPr="00B41518">
        <w:rPr>
          <w:rFonts w:ascii="Times New Roman" w:hAnsi="Times New Roman"/>
        </w:rPr>
        <w:t xml:space="preserve"> </w:t>
      </w:r>
      <w:r>
        <w:rPr>
          <w:rFonts w:ascii="Times New Roman" w:hAnsi="Times New Roman"/>
        </w:rPr>
        <w:t>Conforme veremos ao longo do trabalho, o Ministro Luís Roberto Barroso tem o intuito de transformar o STF numa autêntica Corte Constitucional, mas, para tanto, de acordo com ele, é necessária uma mudança de comportamento no Tribunal, principalmente no que se refere ao julgamento dos recursos extraordinários. Segundo as palavras do próprio Ministro, ao responder indagação do site jurídico “Os Constitucionalistas” sobre a “bandeira” que ele defende: “</w:t>
      </w:r>
      <w:r w:rsidRPr="00611209">
        <w:rPr>
          <w:rFonts w:ascii="Times New Roman" w:hAnsi="Times New Roman"/>
        </w:rPr>
        <w:t>estou em campanha pela racionalização do trabalho do Supre</w:t>
      </w:r>
      <w:r>
        <w:rPr>
          <w:rFonts w:ascii="Times New Roman" w:hAnsi="Times New Roman"/>
        </w:rPr>
        <w:t>mo. Em campanha para criar uma C</w:t>
      </w:r>
      <w:r w:rsidRPr="00611209">
        <w:rPr>
          <w:rFonts w:ascii="Times New Roman" w:hAnsi="Times New Roman"/>
        </w:rPr>
        <w:t>orte verdadeiramente constitucional, que julgue dentro das suas limitações. Não tenho nenhum orgulho do volume de processos que o Supremo julga. A jurisdição constitucional não tem de ser de quantidade, tem de ser de qualidade. Essa é a minha cruzada atual</w:t>
      </w:r>
      <w:r>
        <w:rPr>
          <w:rFonts w:ascii="Times New Roman" w:hAnsi="Times New Roman"/>
        </w:rPr>
        <w:t xml:space="preserve">.” (BARROSO, Luís Roberto. </w:t>
      </w:r>
      <w:r>
        <w:rPr>
          <w:rFonts w:ascii="Times New Roman" w:hAnsi="Times New Roman"/>
          <w:b/>
        </w:rPr>
        <w:t xml:space="preserve">Entrevista. </w:t>
      </w:r>
      <w:r>
        <w:rPr>
          <w:rFonts w:ascii="Times New Roman" w:hAnsi="Times New Roman"/>
        </w:rPr>
        <w:t xml:space="preserve">Disponível em: </w:t>
      </w:r>
      <w:r w:rsidRPr="001B0744">
        <w:rPr>
          <w:rFonts w:ascii="Times New Roman" w:hAnsi="Times New Roman"/>
        </w:rPr>
        <w:t>http://www.osconstitucionalistas.com.br/entrevista-luis-roberto-barroso-nao-tenho-nenhum-orgulho-do-volume-de-processos-que-o-supremo-julga</w:t>
      </w:r>
      <w:r>
        <w:rPr>
          <w:rFonts w:ascii="Times New Roman" w:hAnsi="Times New Roman"/>
        </w:rPr>
        <w:t xml:space="preserve">. Acesso em: 23 de fev. 2015)  </w:t>
      </w:r>
    </w:p>
    <w:p w:rsidR="00D549BC" w:rsidRDefault="00D549BC" w:rsidP="00990636">
      <w:pPr>
        <w:pStyle w:val="FootnoteText"/>
        <w:ind w:firstLine="0"/>
      </w:pPr>
    </w:p>
  </w:footnote>
  <w:footnote w:id="6">
    <w:p w:rsidR="00D549BC" w:rsidRDefault="00D549BC" w:rsidP="00DF6112">
      <w:pPr>
        <w:pStyle w:val="FootnoteText"/>
        <w:ind w:firstLine="0"/>
      </w:pPr>
      <w:r w:rsidRPr="00DF6112">
        <w:rPr>
          <w:rStyle w:val="FootnoteReference"/>
          <w:rFonts w:ascii="Times New Roman" w:hAnsi="Times New Roman"/>
        </w:rPr>
        <w:footnoteRef/>
      </w:r>
      <w:r w:rsidRPr="00DF6112">
        <w:rPr>
          <w:rFonts w:ascii="Times New Roman" w:hAnsi="Times New Roman"/>
        </w:rPr>
        <w:t xml:space="preserve"> </w:t>
      </w:r>
      <w:r>
        <w:rPr>
          <w:rFonts w:ascii="Times New Roman" w:hAnsi="Times New Roman"/>
        </w:rPr>
        <w:t>Segundo o I Relatório Supremo em Números da FGV-Rio: “</w:t>
      </w:r>
      <w:r w:rsidRPr="00DF6112">
        <w:rPr>
          <w:rFonts w:ascii="Times New Roman" w:hAnsi="Times New Roman"/>
        </w:rPr>
        <w:t>A título de</w:t>
      </w:r>
      <w:r>
        <w:rPr>
          <w:rFonts w:ascii="Times New Roman" w:hAnsi="Times New Roman"/>
        </w:rPr>
        <w:t xml:space="preserve"> </w:t>
      </w:r>
      <w:r w:rsidRPr="00DF6112">
        <w:rPr>
          <w:rFonts w:ascii="Times New Roman" w:hAnsi="Times New Roman"/>
        </w:rPr>
        <w:t>comparação, a Suprema Corte norte-americana recebe cerca de 7 mil</w:t>
      </w:r>
      <w:r>
        <w:rPr>
          <w:rFonts w:ascii="Times New Roman" w:hAnsi="Times New Roman"/>
        </w:rPr>
        <w:t xml:space="preserve"> </w:t>
      </w:r>
      <w:r w:rsidRPr="00DF6112">
        <w:rPr>
          <w:rFonts w:ascii="Times New Roman" w:hAnsi="Times New Roman"/>
        </w:rPr>
        <w:t xml:space="preserve">processos ao ano e julga aproximadamente 100. </w:t>
      </w:r>
      <w:r w:rsidRPr="00DF6112">
        <w:rPr>
          <w:rFonts w:ascii="Times New Roman" w:hAnsi="Times New Roman"/>
          <w:b/>
          <w:i/>
        </w:rPr>
        <w:t>O Supremo Tribunal Federal, até 2007, estava recebendo e julgando mais de 100 mil</w:t>
      </w:r>
      <w:r w:rsidRPr="00DF6112">
        <w:rPr>
          <w:rFonts w:ascii="Times New Roman" w:hAnsi="Times New Roman"/>
        </w:rPr>
        <w:t>. Fica</w:t>
      </w:r>
      <w:r>
        <w:rPr>
          <w:rFonts w:ascii="Times New Roman" w:hAnsi="Times New Roman"/>
        </w:rPr>
        <w:t xml:space="preserve"> </w:t>
      </w:r>
      <w:r w:rsidRPr="00DF6112">
        <w:rPr>
          <w:rFonts w:ascii="Times New Roman" w:hAnsi="Times New Roman"/>
        </w:rPr>
        <w:t>claro que a agilidade decisória do Supremo não se resolve apenas imprimindo</w:t>
      </w:r>
      <w:r>
        <w:rPr>
          <w:rFonts w:ascii="Times New Roman" w:hAnsi="Times New Roman"/>
        </w:rPr>
        <w:t xml:space="preserve"> </w:t>
      </w:r>
      <w:r w:rsidRPr="00DF6112">
        <w:rPr>
          <w:rFonts w:ascii="Times New Roman" w:hAnsi="Times New Roman"/>
        </w:rPr>
        <w:t>maior velocidade dos processos, mas pressupõe, antes, maior</w:t>
      </w:r>
      <w:r>
        <w:rPr>
          <w:rFonts w:ascii="Times New Roman" w:hAnsi="Times New Roman"/>
        </w:rPr>
        <w:t xml:space="preserve"> </w:t>
      </w:r>
      <w:r w:rsidRPr="00DF6112">
        <w:rPr>
          <w:rFonts w:ascii="Times New Roman" w:hAnsi="Times New Roman"/>
        </w:rPr>
        <w:t>seleção dos casos que ali podem chegar</w:t>
      </w:r>
      <w:r>
        <w:rPr>
          <w:rFonts w:ascii="Times New Roman" w:hAnsi="Times New Roman"/>
        </w:rPr>
        <w:t>” (</w:t>
      </w:r>
      <w:r w:rsidRPr="004539AA">
        <w:rPr>
          <w:rFonts w:ascii="Times New Roman" w:hAnsi="Times New Roman"/>
        </w:rPr>
        <w:t xml:space="preserve">ARGUELHES, Diego Werneck; CERDEIRA, Pablo de Camargo; FALCÃO, Joaquim. </w:t>
      </w:r>
      <w:r w:rsidRPr="004539AA">
        <w:rPr>
          <w:rFonts w:ascii="Times New Roman" w:hAnsi="Times New Roman"/>
          <w:b/>
        </w:rPr>
        <w:t>I Relatório Supremo em Números</w:t>
      </w:r>
      <w:r w:rsidRPr="004539AA">
        <w:rPr>
          <w:rFonts w:ascii="Times New Roman" w:hAnsi="Times New Roman"/>
        </w:rPr>
        <w:t>: o Múltiplo Supremo. Rio de Janeiro: FGV-RIO, 2011.</w:t>
      </w:r>
      <w:r>
        <w:rPr>
          <w:rFonts w:ascii="Times New Roman" w:hAnsi="Times New Roman"/>
        </w:rPr>
        <w:t xml:space="preserve"> p. 58. Disponível em: </w:t>
      </w:r>
      <w:r w:rsidRPr="00B04B04">
        <w:rPr>
          <w:rFonts w:ascii="Times New Roman" w:hAnsi="Times New Roman"/>
        </w:rPr>
        <w:t>http://www.fgv.br/supremoemnumeros/publicacoes.html</w:t>
      </w:r>
      <w:r>
        <w:rPr>
          <w:rFonts w:ascii="Times New Roman" w:hAnsi="Times New Roman"/>
        </w:rPr>
        <w:t xml:space="preserve">. </w:t>
      </w:r>
      <w:r w:rsidRPr="004539AA">
        <w:rPr>
          <w:rFonts w:ascii="Times New Roman" w:hAnsi="Times New Roman"/>
        </w:rPr>
        <w:t>Acesso em</w:t>
      </w:r>
      <w:r>
        <w:rPr>
          <w:rFonts w:ascii="Times New Roman" w:hAnsi="Times New Roman"/>
        </w:rPr>
        <w:t xml:space="preserve">: 9 ago. 2014 – grifos nossos). </w:t>
      </w:r>
    </w:p>
  </w:footnote>
  <w:footnote w:id="7">
    <w:p w:rsidR="00D549BC" w:rsidRDefault="00D549BC" w:rsidP="00883D50">
      <w:pPr>
        <w:pStyle w:val="FootnoteText"/>
        <w:ind w:firstLine="0"/>
      </w:pPr>
      <w:r w:rsidRPr="003B69CA">
        <w:rPr>
          <w:rStyle w:val="FootnoteReference"/>
          <w:rFonts w:ascii="Times New Roman" w:hAnsi="Times New Roman"/>
        </w:rPr>
        <w:footnoteRef/>
      </w:r>
      <w:r>
        <w:rPr>
          <w:rFonts w:ascii="Times New Roman" w:hAnsi="Times New Roman"/>
        </w:rPr>
        <w:t xml:space="preserve"> BRASIL, Supremo Tribunal Federal. </w:t>
      </w:r>
      <w:r w:rsidRPr="006A3019">
        <w:rPr>
          <w:rFonts w:ascii="Times New Roman" w:hAnsi="Times New Roman"/>
          <w:b/>
        </w:rPr>
        <w:t>Porcentagem de RE, AI e ARE em relação aos processos distribuídos - 1990 a 2014</w:t>
      </w:r>
      <w:r>
        <w:rPr>
          <w:rFonts w:ascii="Times New Roman" w:hAnsi="Times New Roman"/>
        </w:rPr>
        <w:t xml:space="preserve">. Disponível em: </w:t>
      </w:r>
      <w:r w:rsidRPr="009C3062">
        <w:rPr>
          <w:rFonts w:ascii="Times New Roman" w:hAnsi="Times New Roman"/>
        </w:rPr>
        <w:t>http://www.stf.jus.br/portal/cms/verTexto.asp?servico=estatistica&amp;pagina=REAI</w:t>
      </w:r>
      <w:r>
        <w:rPr>
          <w:rFonts w:ascii="Times New Roman" w:hAnsi="Times New Roman"/>
        </w:rPr>
        <w:t xml:space="preserve"> </w:t>
      </w:r>
      <w:r w:rsidRPr="00A35D3A">
        <w:rPr>
          <w:rFonts w:ascii="Times New Roman" w:hAnsi="Times New Roman"/>
        </w:rPr>
        <w:t>ProcessoDistribuidoAnosAnteriores</w:t>
      </w:r>
      <w:r>
        <w:rPr>
          <w:rFonts w:ascii="Times New Roman" w:hAnsi="Times New Roman"/>
        </w:rPr>
        <w:t xml:space="preserve">. Acesso em: 9 ago. 2014.   </w:t>
      </w:r>
    </w:p>
  </w:footnote>
  <w:footnote w:id="8">
    <w:p w:rsidR="00D549BC" w:rsidRDefault="00D549BC" w:rsidP="00790B5F">
      <w:pPr>
        <w:pStyle w:val="FootnoteText"/>
        <w:ind w:firstLine="0"/>
      </w:pPr>
      <w:r w:rsidRPr="001963AA">
        <w:rPr>
          <w:rStyle w:val="FootnoteReference"/>
          <w:rFonts w:ascii="Times New Roman" w:hAnsi="Times New Roman"/>
        </w:rPr>
        <w:footnoteRef/>
      </w:r>
      <w:r>
        <w:rPr>
          <w:rFonts w:ascii="Times New Roman" w:hAnsi="Times New Roman"/>
        </w:rPr>
        <w:t xml:space="preserve"> Oportuno esclarecer, a título ilustrativo e confirmação da hipótese levantada, qual o modelo de controle da constitucionalidade adotado por alguns países. O Controle Concentrado, exercido exclusivamente por um Tribunal Constitucional ou Suprema Corte de Justiça, está presente nos seguintes ordenamentos jurídicos: (i) Alemanha; (ii) Áustria; (iii) Itália; (iv) Espanha; (v) Bélgica; (vi) Paraguai; e (vii) Uruguai. Quanto à adoção do Controle Difuso, no qual vários Juízes e Tribunais se manifestam sobre questões constitucionais, citemos alguns: (i) Estados Unidos; e (ii) Argentina. Finalmente, no que diz respeito ao Controle Misto, destacam-se os seguintes: (i) Brasil; (ii) Bolívia; (iii) Chile; e (iv) Portugal. Acerca do tema, vide: BARROSO, Luís Roberto.</w:t>
      </w:r>
      <w:r w:rsidRPr="00960BE0">
        <w:rPr>
          <w:rFonts w:ascii="Times New Roman" w:hAnsi="Times New Roman"/>
          <w:b/>
        </w:rPr>
        <w:t xml:space="preserve"> A Americanização do</w:t>
      </w:r>
      <w:r>
        <w:rPr>
          <w:rFonts w:ascii="Times New Roman" w:hAnsi="Times New Roman"/>
          <w:b/>
        </w:rPr>
        <w:t xml:space="preserve"> Direito Constitucional e seus p</w:t>
      </w:r>
      <w:r w:rsidRPr="00960BE0">
        <w:rPr>
          <w:rFonts w:ascii="Times New Roman" w:hAnsi="Times New Roman"/>
          <w:b/>
        </w:rPr>
        <w:t>aradoxos</w:t>
      </w:r>
      <w:r>
        <w:rPr>
          <w:rFonts w:ascii="Times New Roman" w:hAnsi="Times New Roman"/>
        </w:rPr>
        <w:t xml:space="preserve">: teoria e jurisprudência constitucional no mundo contemporâneo; e </w:t>
      </w:r>
    </w:p>
  </w:footnote>
  <w:footnote w:id="9">
    <w:p w:rsidR="00D549BC" w:rsidRDefault="00D549BC" w:rsidP="004B780B">
      <w:pPr>
        <w:pStyle w:val="FootnoteText"/>
        <w:ind w:firstLine="0"/>
        <w:rPr>
          <w:rFonts w:ascii="Times New Roman" w:hAnsi="Times New Roman"/>
        </w:rPr>
      </w:pPr>
      <w:r>
        <w:rPr>
          <w:rFonts w:ascii="Times New Roman" w:hAnsi="Times New Roman"/>
        </w:rPr>
        <w:t xml:space="preserve">BESTER BENITEZ, Gisela Maria. </w:t>
      </w:r>
      <w:r>
        <w:rPr>
          <w:rFonts w:ascii="Times New Roman" w:hAnsi="Times New Roman"/>
          <w:b/>
        </w:rPr>
        <w:t>O c</w:t>
      </w:r>
      <w:r w:rsidRPr="00960BE0">
        <w:rPr>
          <w:rFonts w:ascii="Times New Roman" w:hAnsi="Times New Roman"/>
          <w:b/>
        </w:rPr>
        <w:t xml:space="preserve">ontrole de </w:t>
      </w:r>
      <w:r>
        <w:rPr>
          <w:rFonts w:ascii="Times New Roman" w:hAnsi="Times New Roman"/>
          <w:b/>
        </w:rPr>
        <w:t>c</w:t>
      </w:r>
      <w:r w:rsidRPr="00960BE0">
        <w:rPr>
          <w:rFonts w:ascii="Times New Roman" w:hAnsi="Times New Roman"/>
          <w:b/>
        </w:rPr>
        <w:t xml:space="preserve">onstitucionalidade </w:t>
      </w:r>
      <w:r>
        <w:rPr>
          <w:rFonts w:ascii="Times New Roman" w:hAnsi="Times New Roman"/>
          <w:b/>
        </w:rPr>
        <w:t>j</w:t>
      </w:r>
      <w:r w:rsidRPr="00960BE0">
        <w:rPr>
          <w:rFonts w:ascii="Times New Roman" w:hAnsi="Times New Roman"/>
          <w:b/>
        </w:rPr>
        <w:t xml:space="preserve">urisdicional nos </w:t>
      </w:r>
      <w:r>
        <w:rPr>
          <w:rFonts w:ascii="Times New Roman" w:hAnsi="Times New Roman"/>
          <w:b/>
        </w:rPr>
        <w:t>p</w:t>
      </w:r>
      <w:r w:rsidRPr="00960BE0">
        <w:rPr>
          <w:rFonts w:ascii="Times New Roman" w:hAnsi="Times New Roman"/>
          <w:b/>
        </w:rPr>
        <w:t xml:space="preserve">aíses do Mercosul e </w:t>
      </w:r>
      <w:r>
        <w:rPr>
          <w:rFonts w:ascii="Times New Roman" w:hAnsi="Times New Roman"/>
          <w:b/>
        </w:rPr>
        <w:t>a</w:t>
      </w:r>
      <w:r w:rsidRPr="00960BE0">
        <w:rPr>
          <w:rFonts w:ascii="Times New Roman" w:hAnsi="Times New Roman"/>
          <w:b/>
        </w:rPr>
        <w:t xml:space="preserve"> </w:t>
      </w:r>
      <w:r>
        <w:rPr>
          <w:rFonts w:ascii="Times New Roman" w:hAnsi="Times New Roman"/>
          <w:b/>
        </w:rPr>
        <w:t>a</w:t>
      </w:r>
      <w:r w:rsidRPr="00960BE0">
        <w:rPr>
          <w:rFonts w:ascii="Times New Roman" w:hAnsi="Times New Roman"/>
          <w:b/>
        </w:rPr>
        <w:t xml:space="preserve">mplitude </w:t>
      </w:r>
      <w:r>
        <w:rPr>
          <w:rFonts w:ascii="Times New Roman" w:hAnsi="Times New Roman"/>
          <w:b/>
        </w:rPr>
        <w:t>d</w:t>
      </w:r>
      <w:r w:rsidRPr="00960BE0">
        <w:rPr>
          <w:rFonts w:ascii="Times New Roman" w:hAnsi="Times New Roman"/>
          <w:b/>
        </w:rPr>
        <w:t xml:space="preserve">emocrática do </w:t>
      </w:r>
      <w:r>
        <w:rPr>
          <w:rFonts w:ascii="Times New Roman" w:hAnsi="Times New Roman"/>
          <w:b/>
        </w:rPr>
        <w:t>a</w:t>
      </w:r>
      <w:r w:rsidRPr="00960BE0">
        <w:rPr>
          <w:rFonts w:ascii="Times New Roman" w:hAnsi="Times New Roman"/>
          <w:b/>
        </w:rPr>
        <w:t xml:space="preserve">cesso à </w:t>
      </w:r>
      <w:r>
        <w:rPr>
          <w:rFonts w:ascii="Times New Roman" w:hAnsi="Times New Roman"/>
          <w:b/>
        </w:rPr>
        <w:t>j</w:t>
      </w:r>
      <w:r w:rsidRPr="00960BE0">
        <w:rPr>
          <w:rFonts w:ascii="Times New Roman" w:hAnsi="Times New Roman"/>
          <w:b/>
        </w:rPr>
        <w:t xml:space="preserve">ustiça </w:t>
      </w:r>
      <w:r>
        <w:rPr>
          <w:rFonts w:ascii="Times New Roman" w:hAnsi="Times New Roman"/>
          <w:b/>
        </w:rPr>
        <w:t>c</w:t>
      </w:r>
      <w:r w:rsidRPr="00960BE0">
        <w:rPr>
          <w:rFonts w:ascii="Times New Roman" w:hAnsi="Times New Roman"/>
          <w:b/>
        </w:rPr>
        <w:t>onstitucional</w:t>
      </w:r>
      <w:r>
        <w:rPr>
          <w:rFonts w:ascii="Times New Roman" w:hAnsi="Times New Roman"/>
        </w:rPr>
        <w:t xml:space="preserve">: análise comparativa no âmbito do direito processual constitucional, 2003.     </w:t>
      </w:r>
    </w:p>
    <w:p w:rsidR="00D549BC" w:rsidRDefault="00D549BC" w:rsidP="004B780B">
      <w:pPr>
        <w:pStyle w:val="FootnoteText"/>
        <w:ind w:firstLine="0"/>
      </w:pPr>
      <w:r w:rsidRPr="004B780B">
        <w:rPr>
          <w:rStyle w:val="FootnoteReference"/>
          <w:rFonts w:ascii="Times New Roman" w:hAnsi="Times New Roman"/>
        </w:rPr>
        <w:footnoteRef/>
      </w:r>
      <w:r w:rsidRPr="004B780B">
        <w:rPr>
          <w:rFonts w:ascii="Times New Roman" w:hAnsi="Times New Roman"/>
        </w:rPr>
        <w:t xml:space="preserve"> </w:t>
      </w:r>
      <w:r w:rsidRPr="00207EDE">
        <w:rPr>
          <w:rFonts w:ascii="Times New Roman" w:hAnsi="Times New Roman"/>
        </w:rPr>
        <w:t xml:space="preserve">É cediço que, muito antes do famoso precedente norte-americano </w:t>
      </w:r>
      <w:r w:rsidRPr="00780083">
        <w:rPr>
          <w:rFonts w:ascii="Times New Roman" w:hAnsi="Times New Roman"/>
          <w:i/>
        </w:rPr>
        <w:t>Marbury vs. Madison</w:t>
      </w:r>
      <w:r w:rsidRPr="00207EDE">
        <w:rPr>
          <w:rFonts w:ascii="Times New Roman" w:hAnsi="Times New Roman"/>
        </w:rPr>
        <w:t xml:space="preserve">, já se exercia o controle de constitucionalidade de atos </w:t>
      </w:r>
      <w:r>
        <w:rPr>
          <w:rFonts w:ascii="Times New Roman" w:hAnsi="Times New Roman"/>
        </w:rPr>
        <w:t xml:space="preserve">normativos </w:t>
      </w:r>
      <w:r w:rsidRPr="00207EDE">
        <w:rPr>
          <w:rFonts w:ascii="Times New Roman" w:hAnsi="Times New Roman"/>
        </w:rPr>
        <w:t xml:space="preserve">emanados do Legislativo que se mostrassem incompatíveis com os princípios da </w:t>
      </w:r>
      <w:r w:rsidRPr="00780083">
        <w:rPr>
          <w:rFonts w:ascii="Times New Roman" w:hAnsi="Times New Roman"/>
          <w:i/>
        </w:rPr>
        <w:t>common law</w:t>
      </w:r>
      <w:r w:rsidRPr="00207EDE">
        <w:rPr>
          <w:rFonts w:ascii="Times New Roman" w:hAnsi="Times New Roman"/>
        </w:rPr>
        <w:t xml:space="preserve">, cabendo ao Judiciário declará-los nulos. Nesse sentido v. CORWIN, Edward Samuel. </w:t>
      </w:r>
      <w:r w:rsidRPr="00207EDE">
        <w:rPr>
          <w:rFonts w:ascii="Times New Roman" w:hAnsi="Times New Roman"/>
          <w:b/>
        </w:rPr>
        <w:t>A Constituição norte-americana e seu significado atual</w:t>
      </w:r>
      <w:r w:rsidRPr="00207EDE">
        <w:rPr>
          <w:rFonts w:ascii="Times New Roman" w:hAnsi="Times New Roman"/>
        </w:rPr>
        <w:t xml:space="preserve">. Prefácio, tradução e notas de Lêda Boechat Rodrigues. </w:t>
      </w:r>
      <w:r>
        <w:rPr>
          <w:rFonts w:ascii="Times New Roman" w:hAnsi="Times New Roman"/>
        </w:rPr>
        <w:t>Rio de Janeiro: Zahar Editores,</w:t>
      </w:r>
      <w:r w:rsidRPr="00207EDE">
        <w:rPr>
          <w:rFonts w:ascii="Times New Roman" w:hAnsi="Times New Roman"/>
        </w:rPr>
        <w:t xml:space="preserve"> p. 172-173.   </w:t>
      </w:r>
    </w:p>
  </w:footnote>
  <w:footnote w:id="10">
    <w:p w:rsidR="00D549BC" w:rsidRDefault="00D549BC" w:rsidP="005A0257">
      <w:pPr>
        <w:pStyle w:val="FootnoteText"/>
        <w:ind w:firstLine="0"/>
      </w:pPr>
      <w:r w:rsidRPr="005A0257">
        <w:rPr>
          <w:rStyle w:val="FootnoteReference"/>
          <w:rFonts w:ascii="Times New Roman" w:hAnsi="Times New Roman"/>
        </w:rPr>
        <w:footnoteRef/>
      </w:r>
      <w:r w:rsidRPr="005A0257">
        <w:rPr>
          <w:rFonts w:ascii="Times New Roman" w:hAnsi="Times New Roman"/>
        </w:rPr>
        <w:t xml:space="preserve"> </w:t>
      </w:r>
      <w:r>
        <w:rPr>
          <w:rFonts w:ascii="Times New Roman" w:hAnsi="Times New Roman"/>
        </w:rPr>
        <w:t xml:space="preserve">Segundo José Afonso da Silva: “Proclamada a República brasileira e instituída, entre nós, a forma de Estado Federal, houve necessidade de dar à União um meio de manter a autoridade do Direito federal ante possíveis erros das justiças estaduais (então instituídas) na aplicação daquele Direito. Recorreu-se, então, ao velho </w:t>
      </w:r>
      <w:r w:rsidRPr="0013508D">
        <w:rPr>
          <w:rFonts w:ascii="Times New Roman" w:hAnsi="Times New Roman"/>
          <w:i/>
        </w:rPr>
        <w:t>writ of error</w:t>
      </w:r>
      <w:r>
        <w:rPr>
          <w:rFonts w:ascii="Times New Roman" w:hAnsi="Times New Roman"/>
        </w:rPr>
        <w:t xml:space="preserve"> do Direito anglo-americano. Traduziu-se, quase literalmente, as disposições do </w:t>
      </w:r>
      <w:r w:rsidRPr="0013508D">
        <w:rPr>
          <w:rFonts w:ascii="Times New Roman" w:hAnsi="Times New Roman"/>
          <w:i/>
        </w:rPr>
        <w:t>Judiciary act</w:t>
      </w:r>
      <w:r>
        <w:rPr>
          <w:rFonts w:ascii="Times New Roman" w:hAnsi="Times New Roman"/>
        </w:rPr>
        <w:t xml:space="preserve"> e leis posteriores, que regulavam o instituto” (SILVA, José Afonso da. </w:t>
      </w:r>
      <w:r w:rsidRPr="00FD4D6B">
        <w:rPr>
          <w:rFonts w:ascii="Times New Roman" w:hAnsi="Times New Roman"/>
          <w:b/>
        </w:rPr>
        <w:t>Do Recurso Extraordinário no Direito Processual Brasileiro</w:t>
      </w:r>
      <w:r>
        <w:rPr>
          <w:rFonts w:ascii="Times New Roman" w:hAnsi="Times New Roman"/>
        </w:rPr>
        <w:t xml:space="preserve">. </w:t>
      </w:r>
      <w:r w:rsidRPr="00FD4D6B">
        <w:rPr>
          <w:rFonts w:ascii="Times New Roman" w:hAnsi="Times New Roman"/>
        </w:rPr>
        <w:t>São Paulo: Revista dos Tribunais, 1963</w:t>
      </w:r>
      <w:r>
        <w:rPr>
          <w:rFonts w:ascii="Times New Roman" w:hAnsi="Times New Roman"/>
        </w:rPr>
        <w:t>,</w:t>
      </w:r>
      <w:r w:rsidRPr="00FD4D6B">
        <w:rPr>
          <w:rFonts w:ascii="Times New Roman" w:hAnsi="Times New Roman"/>
        </w:rPr>
        <w:t xml:space="preserve"> </w:t>
      </w:r>
      <w:r>
        <w:rPr>
          <w:rFonts w:ascii="Times New Roman" w:hAnsi="Times New Roman"/>
        </w:rPr>
        <w:t>p. 29).</w:t>
      </w:r>
    </w:p>
  </w:footnote>
  <w:footnote w:id="11">
    <w:p w:rsidR="00D549BC" w:rsidRDefault="00D549BC" w:rsidP="001B29E9">
      <w:pPr>
        <w:pStyle w:val="FootnoteText"/>
        <w:ind w:firstLine="0"/>
      </w:pPr>
      <w:r w:rsidRPr="00ED4D9A">
        <w:rPr>
          <w:rStyle w:val="FootnoteReference"/>
          <w:rFonts w:ascii="Times New Roman" w:hAnsi="Times New Roman"/>
        </w:rPr>
        <w:footnoteRef/>
      </w:r>
      <w:r w:rsidRPr="00ED4D9A">
        <w:rPr>
          <w:rFonts w:ascii="Times New Roman" w:hAnsi="Times New Roman"/>
        </w:rPr>
        <w:t xml:space="preserve"> Art. 54. O Poder Judiciário da União terá por órgãos um Supremo Tribunal Fede</w:t>
      </w:r>
      <w:r>
        <w:rPr>
          <w:rFonts w:ascii="Times New Roman" w:hAnsi="Times New Roman"/>
        </w:rPr>
        <w:t>ral, com sede na capital da Repú</w:t>
      </w:r>
      <w:r w:rsidRPr="00ED4D9A">
        <w:rPr>
          <w:rFonts w:ascii="Times New Roman" w:hAnsi="Times New Roman"/>
        </w:rPr>
        <w:t>blica e tantos juízes e tribunais federais, distribuídos pelo País, quantos o Congresso criar.</w:t>
      </w:r>
    </w:p>
  </w:footnote>
  <w:footnote w:id="12">
    <w:p w:rsidR="00D549BC" w:rsidRPr="00ED4D9A" w:rsidRDefault="00D549BC" w:rsidP="004E270D">
      <w:pPr>
        <w:pStyle w:val="FootnoteText"/>
        <w:ind w:firstLine="0"/>
        <w:rPr>
          <w:rFonts w:ascii="Times New Roman" w:hAnsi="Times New Roman"/>
        </w:rPr>
      </w:pPr>
      <w:r w:rsidRPr="00ED4D9A">
        <w:rPr>
          <w:rStyle w:val="FootnoteReference"/>
          <w:rFonts w:ascii="Times New Roman" w:hAnsi="Times New Roman"/>
        </w:rPr>
        <w:footnoteRef/>
      </w:r>
      <w:r>
        <w:rPr>
          <w:rFonts w:ascii="Times New Roman" w:hAnsi="Times New Roman"/>
        </w:rPr>
        <w:t xml:space="preserve"> </w:t>
      </w:r>
      <w:r w:rsidRPr="00ED4D9A">
        <w:rPr>
          <w:rFonts w:ascii="Times New Roman" w:hAnsi="Times New Roman"/>
        </w:rPr>
        <w:t>Art. 55. O Supremo Tribunal Federal compor-se-á de quinze juízes, nomeados na forma do art. 47, n. 11, dentre os trinta juízes federais mais antigos e os cidadãos de notável saber e reputação, elegíveis para o Senado.</w:t>
      </w:r>
    </w:p>
    <w:p w:rsidR="00D549BC" w:rsidRDefault="00D549BC" w:rsidP="006F5AAA">
      <w:pPr>
        <w:pStyle w:val="FootnoteText"/>
        <w:ind w:firstLine="0"/>
      </w:pPr>
      <w:r w:rsidRPr="00ED4D9A">
        <w:rPr>
          <w:rFonts w:ascii="Times New Roman" w:hAnsi="Times New Roman"/>
        </w:rPr>
        <w:t>Art. 56. Os juízes federais são vitalícios, perdendo o cargo unicamente por sentença judicial.</w:t>
      </w:r>
    </w:p>
  </w:footnote>
  <w:footnote w:id="13">
    <w:p w:rsidR="00D549BC" w:rsidRDefault="00D549BC" w:rsidP="006F5AAA">
      <w:pPr>
        <w:pStyle w:val="FootnoteText"/>
        <w:ind w:firstLine="0"/>
      </w:pPr>
      <w:r w:rsidRPr="00ED4D9A">
        <w:rPr>
          <w:rStyle w:val="FootnoteReference"/>
          <w:rFonts w:ascii="Times New Roman" w:hAnsi="Times New Roman"/>
        </w:rPr>
        <w:footnoteRef/>
      </w:r>
      <w:r w:rsidRPr="00ED4D9A">
        <w:rPr>
          <w:rFonts w:ascii="Times New Roman" w:hAnsi="Times New Roman"/>
          <w:lang w:val="en-US"/>
        </w:rPr>
        <w:t xml:space="preserve"> Section 1 </w:t>
      </w:r>
      <w:r>
        <w:rPr>
          <w:rFonts w:ascii="Times New Roman" w:hAnsi="Times New Roman"/>
          <w:lang w:val="en-US"/>
        </w:rPr>
        <w:t>–</w:t>
      </w:r>
      <w:r w:rsidRPr="00ED4D9A">
        <w:rPr>
          <w:rFonts w:ascii="Times New Roman" w:hAnsi="Times New Roman"/>
          <w:lang w:val="en-US"/>
        </w:rPr>
        <w:t xml:space="preserve"> Judicial powers: The judicial Power of the United States, shall be vested in one supreme Court, and in such inferior Courts as the Congress may from time to time ordain and establish. </w:t>
      </w:r>
      <w:r w:rsidRPr="00321EA9">
        <w:rPr>
          <w:rFonts w:ascii="Times New Roman" w:hAnsi="Times New Roman"/>
          <w:i/>
          <w:lang w:val="en-US"/>
        </w:rPr>
        <w:t>The Judges, both of the supreme and inferior Courts, shall hold their Offices during good Behavior</w:t>
      </w:r>
      <w:r w:rsidRPr="00ED4D9A">
        <w:rPr>
          <w:rFonts w:ascii="Times New Roman" w:hAnsi="Times New Roman"/>
          <w:lang w:val="en-US"/>
        </w:rPr>
        <w:t>, and shall, at stated Times, receive for their Services a Compensation which shall not be diminished during their Continuance in Office (</w:t>
      </w:r>
      <w:r>
        <w:rPr>
          <w:rFonts w:ascii="Times New Roman" w:hAnsi="Times New Roman"/>
          <w:lang w:val="en-US"/>
        </w:rPr>
        <w:t>grifos nossos</w:t>
      </w:r>
      <w:r w:rsidRPr="00ED4D9A">
        <w:rPr>
          <w:rFonts w:ascii="Times New Roman" w:hAnsi="Times New Roman"/>
          <w:lang w:val="en-US"/>
        </w:rPr>
        <w:t>).</w:t>
      </w:r>
    </w:p>
  </w:footnote>
  <w:footnote w:id="14">
    <w:p w:rsidR="00D549BC" w:rsidRDefault="00D549BC" w:rsidP="006F5AAA">
      <w:pPr>
        <w:pStyle w:val="FootnoteText"/>
        <w:ind w:firstLine="0"/>
      </w:pPr>
      <w:r w:rsidRPr="00ED4D9A">
        <w:rPr>
          <w:rStyle w:val="FootnoteReference"/>
          <w:rFonts w:ascii="Times New Roman" w:hAnsi="Times New Roman"/>
        </w:rPr>
        <w:footnoteRef/>
      </w:r>
      <w:r w:rsidRPr="00ED4D9A">
        <w:rPr>
          <w:rFonts w:ascii="Times New Roman" w:hAnsi="Times New Roman"/>
        </w:rPr>
        <w:t xml:space="preserve"> BITTENCOURT, C. A. Lúcio. </w:t>
      </w:r>
      <w:r w:rsidRPr="00B84916">
        <w:rPr>
          <w:rFonts w:ascii="Times New Roman" w:hAnsi="Times New Roman"/>
          <w:b/>
        </w:rPr>
        <w:t>O controle jurisdicional de constitucionalidade das leis</w:t>
      </w:r>
      <w:r w:rsidRPr="00ED4D9A">
        <w:rPr>
          <w:rFonts w:ascii="Times New Roman" w:hAnsi="Times New Roman"/>
        </w:rPr>
        <w:t>. 2</w:t>
      </w:r>
      <w:r>
        <w:rPr>
          <w:rFonts w:ascii="Times New Roman" w:hAnsi="Times New Roman"/>
        </w:rPr>
        <w:t>.</w:t>
      </w:r>
      <w:r w:rsidRPr="00ED4D9A">
        <w:rPr>
          <w:rFonts w:ascii="Times New Roman" w:hAnsi="Times New Roman"/>
        </w:rPr>
        <w:t xml:space="preserve"> ed. Rio de Janeiro: Forense, 1968, p. 28-29. </w:t>
      </w:r>
    </w:p>
  </w:footnote>
  <w:footnote w:id="15">
    <w:p w:rsidR="00D549BC" w:rsidRDefault="00D549BC" w:rsidP="006F5AAA">
      <w:pPr>
        <w:spacing w:line="240" w:lineRule="auto"/>
        <w:ind w:firstLine="0"/>
      </w:pPr>
      <w:r w:rsidRPr="00886D3C">
        <w:rPr>
          <w:rStyle w:val="FootnoteReference"/>
          <w:rFonts w:ascii="Times New Roman" w:hAnsi="Times New Roman"/>
          <w:sz w:val="20"/>
        </w:rPr>
        <w:footnoteRef/>
      </w:r>
      <w:r w:rsidRPr="00886D3C">
        <w:rPr>
          <w:rFonts w:ascii="Times New Roman" w:hAnsi="Times New Roman"/>
          <w:sz w:val="20"/>
        </w:rPr>
        <w:t xml:space="preserve"> </w:t>
      </w:r>
      <w:r>
        <w:rPr>
          <w:rFonts w:ascii="Times New Roman" w:hAnsi="Times New Roman"/>
          <w:sz w:val="20"/>
          <w:szCs w:val="20"/>
        </w:rPr>
        <w:t>Art. 59.</w:t>
      </w:r>
      <w:r w:rsidRPr="00ED4D9A">
        <w:rPr>
          <w:rFonts w:ascii="Times New Roman" w:hAnsi="Times New Roman"/>
          <w:sz w:val="20"/>
          <w:szCs w:val="20"/>
        </w:rPr>
        <w:t xml:space="preserve"> Ao Supremo Tribunal Federal compete: </w:t>
      </w:r>
      <w:r w:rsidRPr="00ED4D9A">
        <w:rPr>
          <w:rFonts w:ascii="Times New Roman" w:hAnsi="Times New Roman"/>
          <w:i/>
          <w:sz w:val="20"/>
          <w:szCs w:val="20"/>
        </w:rPr>
        <w:t>§ 1º - Das sentenças das Justiças dos Estados, em última instância, haverá recurso para o Supremo Tribunal Federal</w:t>
      </w:r>
      <w:r w:rsidRPr="00ED4D9A">
        <w:rPr>
          <w:rFonts w:ascii="Times New Roman" w:hAnsi="Times New Roman"/>
          <w:sz w:val="20"/>
          <w:szCs w:val="20"/>
        </w:rPr>
        <w:t xml:space="preserve">: a) quando se questionar sobre a validade, ou a aplicação de tratados e leis federais, e a decisão do Tribunal do Estado for contra ela; </w:t>
      </w:r>
      <w:r w:rsidRPr="00ED4D9A">
        <w:rPr>
          <w:rFonts w:ascii="Times New Roman" w:hAnsi="Times New Roman"/>
          <w:b/>
          <w:i/>
          <w:sz w:val="20"/>
          <w:szCs w:val="20"/>
        </w:rPr>
        <w:t>b)</w:t>
      </w:r>
      <w:r w:rsidRPr="00ED4D9A">
        <w:rPr>
          <w:rFonts w:ascii="Times New Roman" w:hAnsi="Times New Roman"/>
          <w:sz w:val="20"/>
          <w:szCs w:val="20"/>
        </w:rPr>
        <w:t xml:space="preserve"> </w:t>
      </w:r>
      <w:r w:rsidRPr="00ED4D9A">
        <w:rPr>
          <w:rFonts w:ascii="Times New Roman" w:hAnsi="Times New Roman"/>
          <w:b/>
          <w:i/>
          <w:sz w:val="20"/>
          <w:szCs w:val="20"/>
        </w:rPr>
        <w:t xml:space="preserve">quando se contestar a validade de leis ou de atos dos Governos dos Estados em face da Constituição, ou das leis federais, e a decisão do Tribunal do Estado considerar válidos esses atos, ou essas leis impugnadas </w:t>
      </w:r>
      <w:r w:rsidRPr="00ED4D9A">
        <w:rPr>
          <w:rFonts w:ascii="Times New Roman" w:hAnsi="Times New Roman"/>
          <w:sz w:val="20"/>
          <w:szCs w:val="20"/>
        </w:rPr>
        <w:t>(</w:t>
      </w:r>
      <w:r>
        <w:rPr>
          <w:rFonts w:ascii="Times New Roman" w:hAnsi="Times New Roman"/>
          <w:sz w:val="20"/>
          <w:szCs w:val="20"/>
        </w:rPr>
        <w:t>grifos nossos</w:t>
      </w:r>
      <w:r w:rsidRPr="00ED4D9A">
        <w:rPr>
          <w:rFonts w:ascii="Times New Roman" w:hAnsi="Times New Roman"/>
          <w:sz w:val="20"/>
          <w:szCs w:val="20"/>
        </w:rPr>
        <w:t>).</w:t>
      </w:r>
    </w:p>
  </w:footnote>
  <w:footnote w:id="16">
    <w:p w:rsidR="00D549BC" w:rsidRDefault="00D549BC" w:rsidP="006F5AAA">
      <w:pPr>
        <w:pStyle w:val="FootnoteText"/>
        <w:ind w:firstLine="0"/>
      </w:pPr>
      <w:r w:rsidRPr="00ED4D9A">
        <w:rPr>
          <w:rStyle w:val="FootnoteReference"/>
          <w:rFonts w:ascii="Times New Roman" w:hAnsi="Times New Roman"/>
        </w:rPr>
        <w:footnoteRef/>
      </w:r>
      <w:r w:rsidRPr="00ED4D9A">
        <w:rPr>
          <w:rFonts w:ascii="Times New Roman" w:hAnsi="Times New Roman"/>
        </w:rPr>
        <w:t xml:space="preserve"> Art. 9º Compete ao Tribunal: Parágrafo único. Haverá também recurso para o Supremo Tribunal Federal das sentenças definitivas proferidas pelos Tribunais e juízes dos Estados: </w:t>
      </w:r>
      <w:r w:rsidRPr="00ED4D9A">
        <w:rPr>
          <w:rFonts w:ascii="Times New Roman" w:hAnsi="Times New Roman"/>
          <w:b/>
          <w:i/>
        </w:rPr>
        <w:t>b) quando a validade de uma lei ou ato de qualquer Estado seja posta em questão como contrário à Constituição, aos tratados e às leis federais e a decisão tenha sido em favor da validade da lei ou ato</w:t>
      </w:r>
      <w:r w:rsidRPr="00ED4D9A">
        <w:rPr>
          <w:rFonts w:ascii="Times New Roman" w:hAnsi="Times New Roman"/>
        </w:rPr>
        <w:t xml:space="preserve">; </w:t>
      </w:r>
      <w:r w:rsidRPr="00ED4D9A">
        <w:rPr>
          <w:rFonts w:ascii="Times New Roman" w:hAnsi="Times New Roman"/>
          <w:i/>
        </w:rPr>
        <w:t xml:space="preserve">c) quando a interpretação de um preceito constitucional ou de lei federal, ou da clausula de um tratado ou convenção, seja posta em questão, e a decisão final tenha sido contrária à validade do título, direito e privilegio ou isenção, derivado do preceito ou cláusula </w:t>
      </w:r>
      <w:r w:rsidRPr="00ED4D9A">
        <w:rPr>
          <w:rFonts w:ascii="Times New Roman" w:hAnsi="Times New Roman"/>
        </w:rPr>
        <w:t>(</w:t>
      </w:r>
      <w:r>
        <w:rPr>
          <w:rFonts w:ascii="Times New Roman" w:hAnsi="Times New Roman"/>
        </w:rPr>
        <w:t>grifos nossos</w:t>
      </w:r>
      <w:r w:rsidRPr="00ED4D9A">
        <w:rPr>
          <w:rFonts w:ascii="Times New Roman" w:hAnsi="Times New Roman"/>
        </w:rPr>
        <w:t xml:space="preserve">). </w:t>
      </w:r>
    </w:p>
  </w:footnote>
  <w:footnote w:id="17">
    <w:p w:rsidR="00D549BC" w:rsidRDefault="00D549BC" w:rsidP="00C22EBE">
      <w:pPr>
        <w:pStyle w:val="FootnoteText"/>
        <w:ind w:firstLine="0"/>
      </w:pPr>
      <w:r w:rsidRPr="00ED4D9A">
        <w:rPr>
          <w:rStyle w:val="FootnoteReference"/>
          <w:rFonts w:ascii="Times New Roman" w:hAnsi="Times New Roman"/>
        </w:rPr>
        <w:footnoteRef/>
      </w:r>
      <w:r w:rsidRPr="00ED4D9A">
        <w:rPr>
          <w:rFonts w:ascii="Times New Roman" w:hAnsi="Times New Roman"/>
        </w:rPr>
        <w:t xml:space="preserve"> Cf. </w:t>
      </w:r>
      <w:r w:rsidRPr="001B29E9">
        <w:rPr>
          <w:rFonts w:ascii="Times New Roman" w:hAnsi="Times New Roman"/>
          <w:b/>
        </w:rPr>
        <w:t>Título III, Capítulo VII do RISTF de 1891</w:t>
      </w:r>
      <w:r w:rsidRPr="00ED4D9A">
        <w:rPr>
          <w:rFonts w:ascii="Times New Roman" w:hAnsi="Times New Roman"/>
        </w:rPr>
        <w:t>- art. 99</w:t>
      </w:r>
      <w:r>
        <w:rPr>
          <w:rFonts w:ascii="Times New Roman" w:hAnsi="Times New Roman"/>
        </w:rPr>
        <w:t>.</w:t>
      </w:r>
      <w:r w:rsidRPr="00ED4D9A">
        <w:rPr>
          <w:rFonts w:ascii="Times New Roman" w:hAnsi="Times New Roman"/>
        </w:rPr>
        <w:t xml:space="preserve"> “Os recursos extraordinários interpostos das sentenças proferidas em última instância pelas justiças dos Estados ou do Distrito Federal nos casos expressos nos arts. 59, III, § 1º e 61 da Constituição, art. 9º, II letra </w:t>
      </w:r>
      <w:r w:rsidRPr="00ED4D9A">
        <w:rPr>
          <w:rFonts w:ascii="Times New Roman" w:hAnsi="Times New Roman"/>
          <w:i/>
        </w:rPr>
        <w:t>b</w:t>
      </w:r>
      <w:r w:rsidRPr="00ED4D9A">
        <w:rPr>
          <w:rFonts w:ascii="Times New Roman" w:hAnsi="Times New Roman"/>
        </w:rPr>
        <w:t xml:space="preserve"> e § único, IV e art. 16 do Dcr. n. 848 de 11 de outubro de 1890, serão julgados pelo modo atualmente prescrito no art. 221 do Dcr. n. 1030 de 14 de novembro de 1890 para as revistas manifestadas para o extinto Superior Tribunal de Justiça”. </w:t>
      </w:r>
      <w:r>
        <w:rPr>
          <w:rFonts w:ascii="Times New Roman" w:hAnsi="Times New Roman"/>
        </w:rPr>
        <w:t xml:space="preserve">(BRASIL. </w:t>
      </w:r>
      <w:r w:rsidRPr="00F81241">
        <w:rPr>
          <w:rFonts w:ascii="Times New Roman" w:hAnsi="Times New Roman"/>
        </w:rPr>
        <w:t>Regimento interno do Supremo Tribunal Federal.</w:t>
      </w:r>
      <w:r>
        <w:rPr>
          <w:rFonts w:ascii="Times New Roman" w:hAnsi="Times New Roman"/>
          <w:b/>
        </w:rPr>
        <w:t xml:space="preserve"> </w:t>
      </w:r>
      <w:r w:rsidRPr="00ED4D9A">
        <w:rPr>
          <w:rFonts w:ascii="Times New Roman" w:hAnsi="Times New Roman"/>
        </w:rPr>
        <w:t xml:space="preserve">Disponível em: </w:t>
      </w:r>
      <w:r w:rsidRPr="00BA5DFF">
        <w:rPr>
          <w:rFonts w:ascii="Times New Roman" w:hAnsi="Times New Roman"/>
        </w:rPr>
        <w:t>http://www.stf.jus.br/arquivo/biblioteca/RegimentoInterno/RI1891/1891.pdf</w:t>
      </w:r>
      <w:r>
        <w:rPr>
          <w:rFonts w:ascii="Times New Roman" w:hAnsi="Times New Roman"/>
        </w:rPr>
        <w:t>. Acesso em: 16 jul. 2015.)</w:t>
      </w:r>
    </w:p>
  </w:footnote>
  <w:footnote w:id="18">
    <w:p w:rsidR="00D549BC" w:rsidRDefault="00D549BC" w:rsidP="009157A2">
      <w:pPr>
        <w:spacing w:line="240" w:lineRule="auto"/>
        <w:ind w:firstLine="0"/>
      </w:pPr>
      <w:r w:rsidRPr="00ED4D9A">
        <w:rPr>
          <w:rStyle w:val="FootnoteReference"/>
          <w:rFonts w:ascii="Times New Roman" w:hAnsi="Times New Roman"/>
        </w:rPr>
        <w:footnoteRef/>
      </w:r>
      <w:r>
        <w:rPr>
          <w:rFonts w:ascii="Times New Roman" w:hAnsi="Times New Roman"/>
          <w:sz w:val="20"/>
          <w:szCs w:val="26"/>
        </w:rPr>
        <w:t xml:space="preserve"> </w:t>
      </w:r>
      <w:r w:rsidRPr="00ED4D9A">
        <w:rPr>
          <w:rFonts w:ascii="Times New Roman" w:hAnsi="Times New Roman"/>
          <w:sz w:val="20"/>
          <w:szCs w:val="26"/>
        </w:rPr>
        <w:t xml:space="preserve">Art. 24. O Supremo Tribunal Federal julgará os </w:t>
      </w:r>
      <w:r w:rsidRPr="00ED4D9A">
        <w:rPr>
          <w:rFonts w:ascii="Times New Roman" w:hAnsi="Times New Roman"/>
          <w:b/>
          <w:i/>
          <w:sz w:val="20"/>
          <w:szCs w:val="26"/>
        </w:rPr>
        <w:t>recursos extraordinários</w:t>
      </w:r>
      <w:r w:rsidRPr="00ED4D9A">
        <w:rPr>
          <w:rFonts w:ascii="Times New Roman" w:hAnsi="Times New Roman"/>
          <w:sz w:val="20"/>
          <w:szCs w:val="26"/>
        </w:rPr>
        <w:t xml:space="preserve"> das sentenças dos Tribunais dos Estados ou do Distrito Federal nos casos expressos nos arts. 59 § 1º e 61 da Constituição e no art. 9º parágrafo único, letra (c) do decreto nº 848 de 1890, pelo modo estabelecido nos arts. 99 a 102 do seu regimento interno, mas em todo caso a sentença do tribunal, quer confirme, quer reforme a decisão recorrida, será restrita à questão federal controvertida no recurso sem estender-se a qualquer outra, por ventura, compreendida no julgado (</w:t>
      </w:r>
      <w:r>
        <w:rPr>
          <w:rFonts w:ascii="Times New Roman" w:hAnsi="Times New Roman"/>
          <w:sz w:val="20"/>
          <w:szCs w:val="26"/>
        </w:rPr>
        <w:t>grifos nossos</w:t>
      </w:r>
      <w:r w:rsidRPr="00ED4D9A">
        <w:rPr>
          <w:rFonts w:ascii="Times New Roman" w:hAnsi="Times New Roman"/>
          <w:sz w:val="20"/>
          <w:szCs w:val="26"/>
        </w:rPr>
        <w:t>).</w:t>
      </w:r>
    </w:p>
  </w:footnote>
  <w:footnote w:id="19">
    <w:p w:rsidR="00D549BC" w:rsidRDefault="00D549BC" w:rsidP="00167C57">
      <w:pPr>
        <w:pStyle w:val="FootnoteText"/>
        <w:ind w:firstLine="0"/>
      </w:pPr>
      <w:r w:rsidRPr="00167C57">
        <w:rPr>
          <w:rStyle w:val="FootnoteReference"/>
          <w:rFonts w:ascii="Times New Roman" w:hAnsi="Times New Roman"/>
        </w:rPr>
        <w:footnoteRef/>
      </w:r>
      <w:r>
        <w:rPr>
          <w:rFonts w:ascii="Times New Roman" w:hAnsi="Times New Roman"/>
        </w:rPr>
        <w:t xml:space="preserve"> BARBOSA, Ruy. </w:t>
      </w:r>
      <w:r w:rsidRPr="00C550A6">
        <w:rPr>
          <w:rFonts w:ascii="Times New Roman" w:hAnsi="Times New Roman"/>
          <w:b/>
        </w:rPr>
        <w:t>Obras Completas de Rui Barbosa</w:t>
      </w:r>
      <w:r w:rsidRPr="00C550A6">
        <w:rPr>
          <w:rFonts w:ascii="Times New Roman" w:hAnsi="Times New Roman"/>
        </w:rPr>
        <w:t xml:space="preserve"> </w:t>
      </w:r>
      <w:r>
        <w:rPr>
          <w:rFonts w:ascii="Times New Roman" w:hAnsi="Times New Roman"/>
          <w:b/>
        </w:rPr>
        <w:t>–</w:t>
      </w:r>
      <w:r w:rsidRPr="000F251E">
        <w:rPr>
          <w:rFonts w:ascii="Times New Roman" w:hAnsi="Times New Roman"/>
        </w:rPr>
        <w:t xml:space="preserve"> OCRBdigital</w:t>
      </w:r>
      <w:r>
        <w:rPr>
          <w:rFonts w:ascii="Times New Roman" w:hAnsi="Times New Roman"/>
        </w:rPr>
        <w:t xml:space="preserve">. Volume XX, 1893, Tomo V, p. 69. Disponível em: </w:t>
      </w:r>
      <w:r w:rsidRPr="000F251E">
        <w:rPr>
          <w:rFonts w:ascii="Times New Roman" w:hAnsi="Times New Roman"/>
        </w:rPr>
        <w:t>http://www.casaruibarbosa.gov.br/rbonline/obrasCompletas.htm</w:t>
      </w:r>
      <w:r>
        <w:rPr>
          <w:rFonts w:ascii="Times New Roman" w:hAnsi="Times New Roman"/>
        </w:rPr>
        <w:t>. Acesso em: 31 ago. 2014.</w:t>
      </w:r>
    </w:p>
  </w:footnote>
  <w:footnote w:id="20">
    <w:p w:rsidR="00D549BC" w:rsidRDefault="00D549BC" w:rsidP="004B3FCB">
      <w:pPr>
        <w:pStyle w:val="FootnoteText"/>
        <w:ind w:firstLine="0"/>
      </w:pPr>
      <w:r w:rsidRPr="004B3FCB">
        <w:rPr>
          <w:rStyle w:val="FootnoteReference"/>
          <w:rFonts w:ascii="Times New Roman" w:hAnsi="Times New Roman"/>
        </w:rPr>
        <w:footnoteRef/>
      </w:r>
      <w:r w:rsidRPr="004B3FCB">
        <w:rPr>
          <w:rFonts w:ascii="Times New Roman" w:hAnsi="Times New Roman"/>
        </w:rPr>
        <w:t xml:space="preserve"> </w:t>
      </w:r>
      <w:r>
        <w:rPr>
          <w:rFonts w:ascii="Times New Roman" w:hAnsi="Times New Roman"/>
        </w:rPr>
        <w:t xml:space="preserve">Afirmava RUY BARBOSA: “Veio a República; e que fez? Trocando, na denominação desse tribunal, o predicativo </w:t>
      </w:r>
      <w:r w:rsidRPr="004B3FCB">
        <w:rPr>
          <w:rFonts w:ascii="Times New Roman" w:hAnsi="Times New Roman"/>
          <w:i/>
        </w:rPr>
        <w:t>de justiça</w:t>
      </w:r>
      <w:r>
        <w:rPr>
          <w:rFonts w:ascii="Times New Roman" w:hAnsi="Times New Roman"/>
        </w:rPr>
        <w:t xml:space="preserve"> pelo qualificativo </w:t>
      </w:r>
      <w:r w:rsidRPr="004B3FCB">
        <w:rPr>
          <w:rFonts w:ascii="Times New Roman" w:hAnsi="Times New Roman"/>
          <w:i/>
        </w:rPr>
        <w:t>de federal</w:t>
      </w:r>
      <w:r>
        <w:rPr>
          <w:rFonts w:ascii="Times New Roman" w:hAnsi="Times New Roman"/>
        </w:rPr>
        <w:t xml:space="preserve">, não lhe tirou o caráter de tribunal de justiça, inerente, sobre todos, à sua missão constitucional; senão que, pelo contrário, o ampliou constituindo nele o grande tribunal da Federação, para sentenciar nas causas suscitadas entre a União e os Estados, e em derradeira instância, nos pleitos debatidos entre os atos do governo, ou os atos legislativos, e a Constituição”. (BARBOSA, Ruy. </w:t>
      </w:r>
      <w:r w:rsidRPr="00C550A6">
        <w:rPr>
          <w:rFonts w:ascii="Times New Roman" w:hAnsi="Times New Roman"/>
          <w:b/>
        </w:rPr>
        <w:t>Obras Completas de Rui Barbosa</w:t>
      </w:r>
      <w:r w:rsidRPr="00C550A6">
        <w:rPr>
          <w:rFonts w:ascii="Times New Roman" w:hAnsi="Times New Roman"/>
        </w:rPr>
        <w:t xml:space="preserve"> </w:t>
      </w:r>
      <w:r>
        <w:rPr>
          <w:rFonts w:ascii="Times New Roman" w:hAnsi="Times New Roman"/>
          <w:b/>
        </w:rPr>
        <w:t>–</w:t>
      </w:r>
      <w:r w:rsidRPr="000F251E">
        <w:rPr>
          <w:rFonts w:ascii="Times New Roman" w:hAnsi="Times New Roman"/>
        </w:rPr>
        <w:t xml:space="preserve"> OCRBdigital</w:t>
      </w:r>
      <w:r>
        <w:rPr>
          <w:rFonts w:ascii="Times New Roman" w:hAnsi="Times New Roman"/>
        </w:rPr>
        <w:t xml:space="preserve">. Volume XLI, 1914, Tomo IV, p. 235.) Disponível em:      </w:t>
      </w:r>
      <w:r w:rsidRPr="00707D33">
        <w:rPr>
          <w:rFonts w:ascii="Times New Roman" w:hAnsi="Times New Roman"/>
        </w:rPr>
        <w:t>http://docvirt.com/docreader.net/docreader.aspx?bib=ObrasCompletasRuiBarbosa&amp;pesq=veiu%20a%20republica;%20e%20o%20que%20fez</w:t>
      </w:r>
      <w:r w:rsidRPr="00652F8D">
        <w:rPr>
          <w:rFonts w:ascii="Times New Roman" w:hAnsi="Times New Roman"/>
        </w:rPr>
        <w:t>?</w:t>
      </w:r>
      <w:r>
        <w:rPr>
          <w:rFonts w:ascii="Times New Roman" w:hAnsi="Times New Roman"/>
        </w:rPr>
        <w:t xml:space="preserve">. Acesso em: 25 set. 2014.  </w:t>
      </w:r>
    </w:p>
  </w:footnote>
  <w:footnote w:id="21">
    <w:p w:rsidR="00D549BC" w:rsidRDefault="00D549BC" w:rsidP="00E335EE">
      <w:pPr>
        <w:pStyle w:val="FootnoteText"/>
        <w:ind w:firstLine="0"/>
      </w:pPr>
      <w:r w:rsidRPr="00C777A4">
        <w:rPr>
          <w:rStyle w:val="FootnoteReference"/>
          <w:rFonts w:ascii="Times New Roman" w:hAnsi="Times New Roman"/>
        </w:rPr>
        <w:footnoteRef/>
      </w:r>
      <w:r w:rsidRPr="00C777A4">
        <w:rPr>
          <w:rFonts w:ascii="Times New Roman" w:hAnsi="Times New Roman"/>
        </w:rPr>
        <w:t xml:space="preserve"> </w:t>
      </w:r>
      <w:r>
        <w:rPr>
          <w:rFonts w:ascii="Times New Roman" w:hAnsi="Times New Roman"/>
        </w:rPr>
        <w:t>Segundo HERCULANO DE FREITAS (</w:t>
      </w:r>
      <w:r>
        <w:rPr>
          <w:rFonts w:ascii="Times New Roman" w:hAnsi="Times New Roman"/>
          <w:i/>
        </w:rPr>
        <w:t>a</w:t>
      </w:r>
      <w:r w:rsidRPr="00E335EE">
        <w:rPr>
          <w:rFonts w:ascii="Times New Roman" w:hAnsi="Times New Roman"/>
          <w:i/>
        </w:rPr>
        <w:t>pud</w:t>
      </w:r>
      <w:r>
        <w:rPr>
          <w:rFonts w:ascii="Times New Roman" w:hAnsi="Times New Roman"/>
        </w:rPr>
        <w:t xml:space="preserve"> MATOS PEIXOTO, José Carlos de. </w:t>
      </w:r>
      <w:r w:rsidRPr="00E335EE">
        <w:rPr>
          <w:rFonts w:ascii="Times New Roman" w:hAnsi="Times New Roman"/>
          <w:b/>
        </w:rPr>
        <w:t>Recurso Extraordinario</w:t>
      </w:r>
      <w:r>
        <w:rPr>
          <w:rFonts w:ascii="Times New Roman" w:hAnsi="Times New Roman"/>
        </w:rPr>
        <w:t>. Rio de Janeiro:</w:t>
      </w:r>
      <w:r w:rsidRPr="00E335EE">
        <w:rPr>
          <w:rFonts w:ascii="Times New Roman" w:hAnsi="Times New Roman"/>
        </w:rPr>
        <w:t xml:space="preserve"> Freitas Bastos,</w:t>
      </w:r>
      <w:r>
        <w:rPr>
          <w:rFonts w:ascii="Times New Roman" w:hAnsi="Times New Roman"/>
        </w:rPr>
        <w:t xml:space="preserve"> 1</w:t>
      </w:r>
      <w:r w:rsidRPr="00E335EE">
        <w:rPr>
          <w:rFonts w:ascii="Times New Roman" w:hAnsi="Times New Roman"/>
        </w:rPr>
        <w:t>935</w:t>
      </w:r>
      <w:r>
        <w:rPr>
          <w:rFonts w:ascii="Times New Roman" w:hAnsi="Times New Roman"/>
        </w:rPr>
        <w:t>, p. 161), relator da proposta de Emenda: “</w:t>
      </w:r>
      <w:r w:rsidRPr="00E335EE">
        <w:rPr>
          <w:rFonts w:ascii="Times New Roman" w:hAnsi="Times New Roman"/>
        </w:rPr>
        <w:t>O texto vigente da Constituição, contido</w:t>
      </w:r>
      <w:r>
        <w:rPr>
          <w:rFonts w:ascii="Times New Roman" w:hAnsi="Times New Roman"/>
        </w:rPr>
        <w:t xml:space="preserve"> </w:t>
      </w:r>
      <w:r w:rsidRPr="00E335EE">
        <w:rPr>
          <w:rFonts w:ascii="Times New Roman" w:hAnsi="Times New Roman"/>
        </w:rPr>
        <w:t xml:space="preserve">na letra </w:t>
      </w:r>
      <w:r w:rsidRPr="00E335EE">
        <w:rPr>
          <w:rFonts w:ascii="Times New Roman" w:hAnsi="Times New Roman"/>
          <w:i/>
        </w:rPr>
        <w:t>a</w:t>
      </w:r>
      <w:r w:rsidRPr="00E335EE">
        <w:rPr>
          <w:rFonts w:ascii="Times New Roman" w:hAnsi="Times New Roman"/>
        </w:rPr>
        <w:t xml:space="preserve"> do § 1º do art. 59, tem suscitado numerosas e notaveis controvérsias e facilitado por tal forma os</w:t>
      </w:r>
      <w:r>
        <w:rPr>
          <w:rFonts w:ascii="Times New Roman" w:hAnsi="Times New Roman"/>
        </w:rPr>
        <w:t xml:space="preserve"> </w:t>
      </w:r>
      <w:r w:rsidRPr="00E335EE">
        <w:rPr>
          <w:rFonts w:ascii="Times New Roman" w:hAnsi="Times New Roman"/>
        </w:rPr>
        <w:t>recursos das sentenças dos juizes dos Estados para o Supremo Tribunal Federal, que o accumulo de serviços</w:t>
      </w:r>
      <w:r>
        <w:rPr>
          <w:rFonts w:ascii="Times New Roman" w:hAnsi="Times New Roman"/>
        </w:rPr>
        <w:t xml:space="preserve"> </w:t>
      </w:r>
      <w:r w:rsidRPr="00E335EE">
        <w:rPr>
          <w:rFonts w:ascii="Times New Roman" w:hAnsi="Times New Roman"/>
        </w:rPr>
        <w:t>neste tem-lhe perturbado a regularidade das funcções. A emenda n. 51 procura evitar esse mal, tornando</w:t>
      </w:r>
      <w:r>
        <w:rPr>
          <w:rFonts w:ascii="Times New Roman" w:hAnsi="Times New Roman"/>
        </w:rPr>
        <w:t xml:space="preserve"> </w:t>
      </w:r>
      <w:r w:rsidRPr="00E335EE">
        <w:rPr>
          <w:rFonts w:ascii="Times New Roman" w:hAnsi="Times New Roman"/>
        </w:rPr>
        <w:t>positivo que, na hyphotese, só caberá recurso da decisão do tribunal do Estado para o Supremo Tribunal</w:t>
      </w:r>
      <w:r>
        <w:rPr>
          <w:rFonts w:ascii="Times New Roman" w:hAnsi="Times New Roman"/>
        </w:rPr>
        <w:t xml:space="preserve"> </w:t>
      </w:r>
      <w:r w:rsidRPr="00E335EE">
        <w:rPr>
          <w:rFonts w:ascii="Times New Roman" w:hAnsi="Times New Roman"/>
        </w:rPr>
        <w:t>Federal, quando se questionar sobre a vigencia ou a validade das leis federaes, em face da Constituição</w:t>
      </w:r>
      <w:r>
        <w:rPr>
          <w:rFonts w:ascii="Times New Roman" w:hAnsi="Times New Roman"/>
        </w:rPr>
        <w:t xml:space="preserve">”.   </w:t>
      </w:r>
    </w:p>
  </w:footnote>
  <w:footnote w:id="22">
    <w:p w:rsidR="00D549BC" w:rsidRDefault="00D549BC" w:rsidP="009157A2">
      <w:pPr>
        <w:pStyle w:val="FootnoteText"/>
        <w:ind w:firstLine="0"/>
      </w:pPr>
      <w:r w:rsidRPr="009157A2">
        <w:rPr>
          <w:rStyle w:val="FootnoteReference"/>
          <w:rFonts w:ascii="Times New Roman" w:hAnsi="Times New Roman"/>
        </w:rPr>
        <w:footnoteRef/>
      </w:r>
      <w:r>
        <w:t xml:space="preserve"> </w:t>
      </w:r>
      <w:r w:rsidRPr="009157A2">
        <w:rPr>
          <w:rFonts w:ascii="Times New Roman" w:hAnsi="Times New Roman"/>
        </w:rPr>
        <w:t xml:space="preserve">“Substituam-se os arts. 59 e 60 da Constituição [de 1891] pelo seguinte: </w:t>
      </w:r>
      <w:r>
        <w:rPr>
          <w:rFonts w:ascii="Times New Roman" w:hAnsi="Times New Roman"/>
        </w:rPr>
        <w:t>‘</w:t>
      </w:r>
      <w:r w:rsidRPr="009157A2">
        <w:rPr>
          <w:rFonts w:ascii="Times New Roman" w:hAnsi="Times New Roman"/>
        </w:rPr>
        <w:t xml:space="preserve">Art.  À Justiça Federal compete: </w:t>
      </w:r>
      <w:r w:rsidRPr="009157A2">
        <w:rPr>
          <w:rFonts w:ascii="Times New Roman" w:hAnsi="Times New Roman"/>
          <w:b/>
        </w:rPr>
        <w:t xml:space="preserve">§ 1º Das sentenças das justiças dos Estados em última instancia haverá recurso para o Supremo Tribunal Federal: </w:t>
      </w:r>
      <w:r w:rsidRPr="009157A2">
        <w:rPr>
          <w:rFonts w:ascii="Times New Roman" w:hAnsi="Times New Roman"/>
          <w:b/>
          <w:i/>
        </w:rPr>
        <w:t>a) quando se questionar sobre a vigência ou a validade das leis federais em face da Constituição e a decisão do Tribunal do Estado lhes negar aplicação</w:t>
      </w:r>
      <w:r w:rsidRPr="009157A2">
        <w:rPr>
          <w:rFonts w:ascii="Times New Roman" w:hAnsi="Times New Roman"/>
          <w:b/>
        </w:rPr>
        <w:t>; b) quando se contestar a validade de leis ou atos dos governos dos Estados em face da Constituição, ou das</w:t>
      </w:r>
      <w:r>
        <w:rPr>
          <w:rFonts w:ascii="Times New Roman" w:hAnsi="Times New Roman"/>
          <w:b/>
        </w:rPr>
        <w:t xml:space="preserve"> leis federais, e a decisão do T</w:t>
      </w:r>
      <w:r w:rsidRPr="009157A2">
        <w:rPr>
          <w:rFonts w:ascii="Times New Roman" w:hAnsi="Times New Roman"/>
          <w:b/>
        </w:rPr>
        <w:t>ribunal do Estado considerar válidos esses atos, ou essas leis impugnadas</w:t>
      </w:r>
      <w:r>
        <w:rPr>
          <w:rFonts w:ascii="Times New Roman" w:hAnsi="Times New Roman"/>
          <w:b/>
        </w:rPr>
        <w:t xml:space="preserve"> </w:t>
      </w:r>
      <w:r>
        <w:rPr>
          <w:rFonts w:ascii="Times New Roman" w:hAnsi="Times New Roman"/>
        </w:rPr>
        <w:t>(grifos nossos)</w:t>
      </w:r>
      <w:r w:rsidRPr="009157A2">
        <w:rPr>
          <w:rFonts w:ascii="Times New Roman" w:hAnsi="Times New Roman"/>
        </w:rPr>
        <w:t>;</w:t>
      </w:r>
      <w:r>
        <w:rPr>
          <w:rFonts w:ascii="Times New Roman" w:hAnsi="Times New Roman"/>
        </w:rPr>
        <w:t>’”</w:t>
      </w:r>
    </w:p>
  </w:footnote>
  <w:footnote w:id="23">
    <w:p w:rsidR="00D549BC" w:rsidRDefault="00D549BC" w:rsidP="00D27119">
      <w:pPr>
        <w:pStyle w:val="FootnoteText"/>
        <w:ind w:firstLine="0"/>
      </w:pPr>
      <w:r w:rsidRPr="005E2D75">
        <w:rPr>
          <w:rStyle w:val="FootnoteReference"/>
          <w:rFonts w:ascii="Times New Roman" w:hAnsi="Times New Roman"/>
        </w:rPr>
        <w:footnoteRef/>
      </w:r>
      <w:r w:rsidRPr="005E2D75">
        <w:rPr>
          <w:rFonts w:ascii="Times New Roman" w:hAnsi="Times New Roman"/>
        </w:rPr>
        <w:t xml:space="preserve"> </w:t>
      </w:r>
      <w:r w:rsidRPr="009157A2">
        <w:rPr>
          <w:rFonts w:ascii="Times New Roman" w:hAnsi="Times New Roman"/>
          <w:b/>
        </w:rPr>
        <w:t>§ 1º Das sentenças das justiças dos Estados em última instancia haverá recurso para o Supremo Tribunal Federal</w:t>
      </w:r>
      <w:r>
        <w:rPr>
          <w:rFonts w:ascii="Times New Roman" w:hAnsi="Times New Roman"/>
          <w:b/>
        </w:rPr>
        <w:t>: c) quando dois ou mais Tribunais locais interpretarem de modo dif</w:t>
      </w:r>
      <w:r w:rsidRPr="005E2D75">
        <w:rPr>
          <w:rFonts w:ascii="Times New Roman" w:hAnsi="Times New Roman"/>
          <w:b/>
        </w:rPr>
        <w:t xml:space="preserve">erente a mesma lei federal, podendo o recurso ser também interposto por qualquer dos </w:t>
      </w:r>
      <w:r>
        <w:rPr>
          <w:rFonts w:ascii="Times New Roman" w:hAnsi="Times New Roman"/>
          <w:b/>
        </w:rPr>
        <w:t>T</w:t>
      </w:r>
      <w:r w:rsidRPr="005E2D75">
        <w:rPr>
          <w:rFonts w:ascii="Times New Roman" w:hAnsi="Times New Roman"/>
          <w:b/>
        </w:rPr>
        <w:t>ribunais</w:t>
      </w:r>
      <w:r>
        <w:rPr>
          <w:rFonts w:ascii="Times New Roman" w:hAnsi="Times New Roman"/>
          <w:b/>
        </w:rPr>
        <w:t xml:space="preserve"> referidos ou pelo P</w:t>
      </w:r>
      <w:r w:rsidRPr="005E2D75">
        <w:rPr>
          <w:rFonts w:ascii="Times New Roman" w:hAnsi="Times New Roman"/>
          <w:b/>
        </w:rPr>
        <w:t xml:space="preserve">rocurador </w:t>
      </w:r>
      <w:r>
        <w:rPr>
          <w:rFonts w:ascii="Times New Roman" w:hAnsi="Times New Roman"/>
          <w:b/>
        </w:rPr>
        <w:t>Geral da Repú</w:t>
      </w:r>
      <w:r w:rsidRPr="005E2D75">
        <w:rPr>
          <w:rFonts w:ascii="Times New Roman" w:hAnsi="Times New Roman"/>
          <w:b/>
        </w:rPr>
        <w:t>blica</w:t>
      </w:r>
      <w:r>
        <w:rPr>
          <w:rFonts w:ascii="Times New Roman" w:hAnsi="Times New Roman"/>
          <w:b/>
        </w:rPr>
        <w:t xml:space="preserve"> </w:t>
      </w:r>
      <w:r>
        <w:rPr>
          <w:rFonts w:ascii="Times New Roman" w:hAnsi="Times New Roman"/>
        </w:rPr>
        <w:t>(grifos nossos)</w:t>
      </w:r>
      <w:r w:rsidRPr="005E2D75">
        <w:rPr>
          <w:rFonts w:ascii="Times New Roman" w:hAnsi="Times New Roman"/>
          <w:b/>
        </w:rPr>
        <w:t>;</w:t>
      </w:r>
    </w:p>
  </w:footnote>
  <w:footnote w:id="24">
    <w:p w:rsidR="00D549BC" w:rsidRDefault="00D549BC" w:rsidP="00951A14">
      <w:pPr>
        <w:pStyle w:val="FootnoteText"/>
        <w:ind w:firstLine="0"/>
      </w:pPr>
      <w:r w:rsidRPr="00951A14">
        <w:rPr>
          <w:rStyle w:val="FootnoteReference"/>
          <w:rFonts w:ascii="Times New Roman" w:hAnsi="Times New Roman"/>
        </w:rPr>
        <w:footnoteRef/>
      </w:r>
      <w:r w:rsidRPr="00951A14">
        <w:rPr>
          <w:rFonts w:ascii="Times New Roman" w:hAnsi="Times New Roman"/>
        </w:rPr>
        <w:t xml:space="preserve"> </w:t>
      </w:r>
      <w:r>
        <w:rPr>
          <w:rFonts w:ascii="Times New Roman" w:hAnsi="Times New Roman"/>
        </w:rPr>
        <w:t xml:space="preserve">MOREIRA, José Carlos Barbosa. </w:t>
      </w:r>
      <w:r w:rsidRPr="00951A14">
        <w:rPr>
          <w:rFonts w:ascii="Times New Roman" w:hAnsi="Times New Roman"/>
          <w:b/>
        </w:rPr>
        <w:t>Comentários ao Código de Processo Civil</w:t>
      </w:r>
      <w:r>
        <w:rPr>
          <w:rFonts w:ascii="Times New Roman" w:hAnsi="Times New Roman"/>
        </w:rPr>
        <w:t xml:space="preserve">: Lei nº 5.869, de 11 de janeiro de 1973, v. V: arts. 476 a 565. Rio de Janeiro: Forense, 2011, p. 580. </w:t>
      </w:r>
    </w:p>
  </w:footnote>
  <w:footnote w:id="25">
    <w:p w:rsidR="00D549BC" w:rsidRDefault="00D549BC" w:rsidP="000C4A00">
      <w:pPr>
        <w:pStyle w:val="FootnoteText"/>
        <w:ind w:firstLine="0"/>
      </w:pPr>
      <w:r w:rsidRPr="000C4A00">
        <w:rPr>
          <w:rStyle w:val="FootnoteReference"/>
          <w:rFonts w:ascii="Times New Roman" w:hAnsi="Times New Roman"/>
        </w:rPr>
        <w:footnoteRef/>
      </w:r>
      <w:r>
        <w:rPr>
          <w:rFonts w:ascii="Times New Roman" w:hAnsi="Times New Roman"/>
        </w:rPr>
        <w:t xml:space="preserve"> </w:t>
      </w:r>
      <w:r w:rsidRPr="00AB491C">
        <w:rPr>
          <w:rFonts w:ascii="Times New Roman" w:hAnsi="Times New Roman"/>
          <w:b/>
        </w:rPr>
        <w:t>Art 76</w:t>
      </w:r>
      <w:r>
        <w:rPr>
          <w:rFonts w:ascii="Times New Roman" w:hAnsi="Times New Roman"/>
        </w:rPr>
        <w:t>.</w:t>
      </w:r>
      <w:r w:rsidRPr="000C4A00">
        <w:rPr>
          <w:rFonts w:ascii="Times New Roman" w:hAnsi="Times New Roman"/>
        </w:rPr>
        <w:t xml:space="preserve"> </w:t>
      </w:r>
      <w:r>
        <w:rPr>
          <w:rFonts w:ascii="Times New Roman" w:hAnsi="Times New Roman"/>
        </w:rPr>
        <w:t>À</w:t>
      </w:r>
      <w:r w:rsidRPr="000C4A00">
        <w:rPr>
          <w:rFonts w:ascii="Times New Roman" w:hAnsi="Times New Roman"/>
        </w:rPr>
        <w:t xml:space="preserve"> Corte Suprema compete:</w:t>
      </w:r>
      <w:r>
        <w:rPr>
          <w:rFonts w:ascii="Times New Roman" w:hAnsi="Times New Roman"/>
        </w:rPr>
        <w:t xml:space="preserve"> </w:t>
      </w:r>
      <w:r w:rsidRPr="000C4A00">
        <w:rPr>
          <w:rFonts w:ascii="Times New Roman" w:hAnsi="Times New Roman"/>
        </w:rPr>
        <w:t xml:space="preserve">III - em </w:t>
      </w:r>
      <w:r w:rsidRPr="00AB491C">
        <w:rPr>
          <w:rFonts w:ascii="Times New Roman" w:hAnsi="Times New Roman"/>
          <w:b/>
        </w:rPr>
        <w:t>recurso extraordinário</w:t>
      </w:r>
      <w:r w:rsidRPr="000C4A00">
        <w:rPr>
          <w:rFonts w:ascii="Times New Roman" w:hAnsi="Times New Roman"/>
        </w:rPr>
        <w:t>, as causas decididas pelas Justiças locais em única ou última instância:</w:t>
      </w:r>
      <w:r w:rsidRPr="000C4A00">
        <w:t xml:space="preserve"> </w:t>
      </w:r>
      <w:r w:rsidRPr="000C4A00">
        <w:rPr>
          <w:rFonts w:ascii="Times New Roman" w:hAnsi="Times New Roman"/>
        </w:rPr>
        <w:t>a) quando a decisão for contra literal disposição de tratado ou lei federal, sobre cuja aplicação se haja questionado;</w:t>
      </w:r>
      <w:r>
        <w:rPr>
          <w:rFonts w:ascii="Times New Roman" w:hAnsi="Times New Roman"/>
        </w:rPr>
        <w:t xml:space="preserve"> </w:t>
      </w:r>
      <w:r w:rsidRPr="000C4A00">
        <w:rPr>
          <w:rFonts w:ascii="Times New Roman" w:hAnsi="Times New Roman"/>
        </w:rPr>
        <w:t>b) quando se questionar sobre a vigência ou validade de lei federal em face da Constituição, e a decisão do Tribunal local n</w:t>
      </w:r>
      <w:r>
        <w:rPr>
          <w:rFonts w:ascii="Times New Roman" w:hAnsi="Times New Roman"/>
        </w:rPr>
        <w:t xml:space="preserve">egar aplicação à lei impugnada; </w:t>
      </w:r>
      <w:r w:rsidRPr="000C4A00">
        <w:rPr>
          <w:rFonts w:ascii="Times New Roman" w:hAnsi="Times New Roman"/>
        </w:rPr>
        <w:t>c) quando se contestar a validade de lei ou ato dos Governos locais em face da Constituição, ou de lei federal, e a decisão do Tribunal local julgar válido o ato ou a lei impugnada;</w:t>
      </w:r>
      <w:r>
        <w:rPr>
          <w:rFonts w:ascii="Times New Roman" w:hAnsi="Times New Roman"/>
        </w:rPr>
        <w:t xml:space="preserve"> </w:t>
      </w:r>
      <w:r w:rsidRPr="000C4A00">
        <w:rPr>
          <w:rFonts w:ascii="Times New Roman" w:hAnsi="Times New Roman"/>
        </w:rPr>
        <w:t>d) quando ocorrer diversidade de interpretação definitiva da lei federal entre Cortes de Apelação de Estados diferentes, inclusive do Distrito Federal ou dos Territórios, ou entre um deste</w:t>
      </w:r>
      <w:r>
        <w:rPr>
          <w:rFonts w:ascii="Times New Roman" w:hAnsi="Times New Roman"/>
        </w:rPr>
        <w:t>s</w:t>
      </w:r>
      <w:r w:rsidRPr="000C4A00">
        <w:rPr>
          <w:rFonts w:ascii="Times New Roman" w:hAnsi="Times New Roman"/>
        </w:rPr>
        <w:t xml:space="preserve"> Tribunais e a Corte Sup</w:t>
      </w:r>
      <w:r>
        <w:rPr>
          <w:rFonts w:ascii="Times New Roman" w:hAnsi="Times New Roman"/>
        </w:rPr>
        <w:t xml:space="preserve">rema, ou outro Tribunal federal (grifos nossos). </w:t>
      </w:r>
    </w:p>
  </w:footnote>
  <w:footnote w:id="26">
    <w:p w:rsidR="00D549BC" w:rsidRDefault="00D549BC" w:rsidP="00B01802">
      <w:pPr>
        <w:pStyle w:val="FootnoteText"/>
        <w:ind w:firstLine="0"/>
      </w:pPr>
      <w:r w:rsidRPr="00B01802">
        <w:rPr>
          <w:rStyle w:val="FootnoteReference"/>
          <w:rFonts w:ascii="Times New Roman" w:hAnsi="Times New Roman"/>
        </w:rPr>
        <w:footnoteRef/>
      </w:r>
      <w:r>
        <w:rPr>
          <w:rFonts w:ascii="Times New Roman" w:hAnsi="Times New Roman"/>
        </w:rPr>
        <w:t xml:space="preserve"> BRANCO, Paulo Gustavo Gonet; MENDES, Gilmar Ferreira. </w:t>
      </w:r>
      <w:r w:rsidRPr="00DE5AD4">
        <w:rPr>
          <w:rFonts w:ascii="Times New Roman" w:hAnsi="Times New Roman"/>
          <w:b/>
        </w:rPr>
        <w:t>Curso de Direito Constitucional</w:t>
      </w:r>
      <w:r>
        <w:rPr>
          <w:rFonts w:ascii="Times New Roman" w:hAnsi="Times New Roman"/>
        </w:rPr>
        <w:t xml:space="preserve">. 9. ed. São Paulo: Saraiva, 2014, p. 1061-1062. </w:t>
      </w:r>
    </w:p>
  </w:footnote>
  <w:footnote w:id="27">
    <w:p w:rsidR="00D549BC" w:rsidRDefault="00D549BC" w:rsidP="00267E33">
      <w:pPr>
        <w:pStyle w:val="FootnoteText"/>
        <w:ind w:firstLine="0"/>
      </w:pPr>
      <w:r w:rsidRPr="00C73E0C">
        <w:rPr>
          <w:rStyle w:val="FootnoteReference"/>
          <w:rFonts w:ascii="Times New Roman" w:hAnsi="Times New Roman"/>
        </w:rPr>
        <w:footnoteRef/>
      </w:r>
      <w:r>
        <w:rPr>
          <w:rFonts w:ascii="Times New Roman" w:hAnsi="Times New Roman"/>
        </w:rPr>
        <w:t xml:space="preserve"> </w:t>
      </w:r>
      <w:r w:rsidRPr="00C73E0C">
        <w:rPr>
          <w:rFonts w:ascii="Times New Roman" w:hAnsi="Times New Roman"/>
        </w:rPr>
        <w:t>Art</w:t>
      </w:r>
      <w:r>
        <w:rPr>
          <w:rFonts w:ascii="Times New Roman" w:hAnsi="Times New Roman"/>
        </w:rPr>
        <w:t>. 91.</w:t>
      </w:r>
      <w:r w:rsidRPr="00C73E0C">
        <w:rPr>
          <w:rFonts w:ascii="Times New Roman" w:hAnsi="Times New Roman"/>
        </w:rPr>
        <w:t xml:space="preserve"> Compete ao Senado Federal: IV - suspender a execução, no todo ou em parte, de qualquer lei ou ato, deliberação ou regulamento, quando hajam sido declarados inconstitucionais pelo Poder Judiciário; </w:t>
      </w:r>
      <w:r w:rsidRPr="00714103">
        <w:rPr>
          <w:rFonts w:ascii="Times New Roman" w:hAnsi="Times New Roman"/>
        </w:rPr>
        <w:t>Art</w:t>
      </w:r>
      <w:r>
        <w:rPr>
          <w:rFonts w:ascii="Times New Roman" w:hAnsi="Times New Roman"/>
        </w:rPr>
        <w:t>. 96.</w:t>
      </w:r>
      <w:r w:rsidRPr="00714103">
        <w:rPr>
          <w:rFonts w:ascii="Times New Roman" w:hAnsi="Times New Roman"/>
        </w:rPr>
        <w:t xml:space="preserve"> Quando a Corte Suprema declarar inconstitucional qualquer dispositivo de lei ou ato governamental, o Procurado Geral da República comunicará a decisão ao Senado Federal para os fins do art. 91, nº IV, e bem assim à autoridade legislativa ou executiva, de que tenha emanado a lei ou o ato.</w:t>
      </w:r>
    </w:p>
  </w:footnote>
  <w:footnote w:id="28">
    <w:p w:rsidR="00D549BC" w:rsidRDefault="00D549BC" w:rsidP="009764AF">
      <w:pPr>
        <w:pStyle w:val="FootnoteText"/>
        <w:ind w:firstLine="0"/>
      </w:pPr>
      <w:r w:rsidRPr="009764AF">
        <w:rPr>
          <w:rStyle w:val="FootnoteReference"/>
          <w:rFonts w:ascii="Times New Roman" w:hAnsi="Times New Roman"/>
        </w:rPr>
        <w:footnoteRef/>
      </w:r>
      <w:r>
        <w:rPr>
          <w:rFonts w:ascii="Times New Roman" w:hAnsi="Times New Roman"/>
        </w:rPr>
        <w:t xml:space="preserve"> </w:t>
      </w:r>
      <w:r w:rsidRPr="009764AF">
        <w:rPr>
          <w:rFonts w:ascii="Times New Roman" w:hAnsi="Times New Roman"/>
        </w:rPr>
        <w:t>A</w:t>
      </w:r>
      <w:r>
        <w:rPr>
          <w:rFonts w:ascii="Times New Roman" w:hAnsi="Times New Roman"/>
        </w:rPr>
        <w:t>rt. 179.</w:t>
      </w:r>
      <w:r w:rsidRPr="009764AF">
        <w:rPr>
          <w:rFonts w:ascii="Times New Roman" w:hAnsi="Times New Roman"/>
        </w:rPr>
        <w:t xml:space="preserve"> Só por maioria absoluta de votos da totalidade dos seus Juízes, poderão os Tribunais dec</w:t>
      </w:r>
      <w:r>
        <w:rPr>
          <w:rFonts w:ascii="Times New Roman" w:hAnsi="Times New Roman"/>
        </w:rPr>
        <w:t>larar a inconstitucionalidade de</w:t>
      </w:r>
      <w:r w:rsidRPr="009764AF">
        <w:rPr>
          <w:rFonts w:ascii="Times New Roman" w:hAnsi="Times New Roman"/>
        </w:rPr>
        <w:t xml:space="preserve"> lei ou ato do Poder Público.</w:t>
      </w:r>
    </w:p>
  </w:footnote>
  <w:footnote w:id="29">
    <w:p w:rsidR="00D549BC" w:rsidRDefault="00D549BC" w:rsidP="004C0CBE">
      <w:pPr>
        <w:pStyle w:val="FootnoteText"/>
        <w:ind w:firstLine="0"/>
      </w:pPr>
      <w:r w:rsidRPr="004C0CBE">
        <w:rPr>
          <w:rStyle w:val="FootnoteReference"/>
          <w:rFonts w:ascii="Times New Roman" w:hAnsi="Times New Roman"/>
        </w:rPr>
        <w:footnoteRef/>
      </w:r>
      <w:r w:rsidRPr="004C0CBE">
        <w:rPr>
          <w:rFonts w:ascii="Times New Roman" w:hAnsi="Times New Roman"/>
        </w:rPr>
        <w:t xml:space="preserve"> </w:t>
      </w:r>
      <w:r>
        <w:rPr>
          <w:rFonts w:ascii="Times New Roman" w:hAnsi="Times New Roman"/>
        </w:rPr>
        <w:t xml:space="preserve">BULOS, Uadi Lammêgo. </w:t>
      </w:r>
      <w:r w:rsidRPr="005023C2">
        <w:rPr>
          <w:rFonts w:ascii="Times New Roman" w:hAnsi="Times New Roman"/>
          <w:b/>
        </w:rPr>
        <w:t>Curso de Direito Constitucional</w:t>
      </w:r>
      <w:r>
        <w:rPr>
          <w:rFonts w:ascii="Times New Roman" w:hAnsi="Times New Roman"/>
        </w:rPr>
        <w:t xml:space="preserve">. 8. ed. São Paulo: Saraiva, 2014, p. 202. </w:t>
      </w:r>
    </w:p>
  </w:footnote>
  <w:footnote w:id="30">
    <w:p w:rsidR="00D549BC" w:rsidRDefault="00D549BC" w:rsidP="004101FF">
      <w:pPr>
        <w:pStyle w:val="FootnoteText"/>
        <w:ind w:firstLine="0"/>
      </w:pPr>
      <w:r w:rsidRPr="004101FF">
        <w:rPr>
          <w:rStyle w:val="FootnoteReference"/>
          <w:rFonts w:ascii="Times New Roman" w:hAnsi="Times New Roman"/>
        </w:rPr>
        <w:footnoteRef/>
      </w:r>
      <w:r>
        <w:rPr>
          <w:rFonts w:ascii="Times New Roman" w:hAnsi="Times New Roman"/>
        </w:rPr>
        <w:t xml:space="preserve"> Art. 41, </w:t>
      </w:r>
      <w:r w:rsidRPr="004101FF">
        <w:rPr>
          <w:rFonts w:ascii="Times New Roman" w:hAnsi="Times New Roman"/>
        </w:rPr>
        <w:t xml:space="preserve">§ 3º - </w:t>
      </w:r>
      <w:r w:rsidRPr="004101FF">
        <w:rPr>
          <w:rFonts w:ascii="Times New Roman" w:hAnsi="Times New Roman"/>
          <w:b/>
        </w:rPr>
        <w:t>Compete exclusivamente ao Senado Federal a iniciativa das leis sobre a intervenção federal</w:t>
      </w:r>
      <w:r w:rsidRPr="004101FF">
        <w:rPr>
          <w:rFonts w:ascii="Times New Roman" w:hAnsi="Times New Roman"/>
        </w:rPr>
        <w:t>, e, em geral das que interessem determinadamente a um ou mais Estados</w:t>
      </w:r>
      <w:r>
        <w:rPr>
          <w:rFonts w:ascii="Times New Roman" w:hAnsi="Times New Roman"/>
        </w:rPr>
        <w:t xml:space="preserve"> (grifos nossos)</w:t>
      </w:r>
      <w:r w:rsidRPr="004101FF">
        <w:rPr>
          <w:rFonts w:ascii="Times New Roman" w:hAnsi="Times New Roman"/>
        </w:rPr>
        <w:t>.</w:t>
      </w:r>
    </w:p>
  </w:footnote>
  <w:footnote w:id="31">
    <w:p w:rsidR="00D549BC" w:rsidRDefault="00D549BC" w:rsidP="003720F4">
      <w:pPr>
        <w:pStyle w:val="FootnoteText"/>
        <w:ind w:firstLine="0"/>
        <w:rPr>
          <w:rFonts w:ascii="Times New Roman" w:hAnsi="Times New Roman"/>
        </w:rPr>
      </w:pPr>
      <w:r w:rsidRPr="003720F4">
        <w:rPr>
          <w:rStyle w:val="FootnoteReference"/>
          <w:rFonts w:ascii="Times New Roman" w:hAnsi="Times New Roman"/>
        </w:rPr>
        <w:footnoteRef/>
      </w:r>
      <w:r w:rsidRPr="003720F4">
        <w:rPr>
          <w:rFonts w:ascii="Times New Roman" w:hAnsi="Times New Roman"/>
        </w:rPr>
        <w:t xml:space="preserve"> Art</w:t>
      </w:r>
      <w:r>
        <w:rPr>
          <w:rFonts w:ascii="Times New Roman" w:hAnsi="Times New Roman"/>
        </w:rPr>
        <w:t>. 12.</w:t>
      </w:r>
      <w:r w:rsidRPr="003720F4">
        <w:rPr>
          <w:rFonts w:ascii="Times New Roman" w:hAnsi="Times New Roman"/>
        </w:rPr>
        <w:t xml:space="preserve"> A União não intervirá em negócios peculiares aos Estados, salvo:  V - para assegurar a observância dos princípios constitucionais especificados nas letras </w:t>
      </w:r>
      <w:r w:rsidRPr="003720F4">
        <w:rPr>
          <w:rFonts w:ascii="Times New Roman" w:hAnsi="Times New Roman"/>
          <w:i/>
        </w:rPr>
        <w:t>a</w:t>
      </w:r>
      <w:r w:rsidRPr="003720F4">
        <w:rPr>
          <w:rFonts w:ascii="Times New Roman" w:hAnsi="Times New Roman"/>
        </w:rPr>
        <w:t xml:space="preserve"> a </w:t>
      </w:r>
      <w:r w:rsidRPr="003720F4">
        <w:rPr>
          <w:rFonts w:ascii="Times New Roman" w:hAnsi="Times New Roman"/>
          <w:i/>
        </w:rPr>
        <w:t>h</w:t>
      </w:r>
      <w:r>
        <w:rPr>
          <w:rFonts w:ascii="Times New Roman" w:hAnsi="Times New Roman"/>
        </w:rPr>
        <w:t xml:space="preserve">, </w:t>
      </w:r>
      <w:r w:rsidRPr="003720F4">
        <w:rPr>
          <w:rFonts w:ascii="Times New Roman" w:hAnsi="Times New Roman"/>
        </w:rPr>
        <w:t>do art. 7º, nº I, e a execução das leis federais;</w:t>
      </w:r>
    </w:p>
    <w:p w:rsidR="00D549BC" w:rsidRDefault="00D549BC" w:rsidP="003720F4">
      <w:pPr>
        <w:pStyle w:val="FootnoteText"/>
        <w:ind w:firstLine="0"/>
      </w:pPr>
      <w:r w:rsidRPr="003720F4">
        <w:rPr>
          <w:rFonts w:ascii="Times New Roman" w:hAnsi="Times New Roman"/>
        </w:rPr>
        <w:t>§ 2º - Ocorrendo o primeiro caso do nº V, a intervenção só se efetuará depois que a Corte Suprema, mediante provocação do Procurador-Geral da República, tomar conhecimento da lei que a tenha decretado e lhe declarar a constitucionalidade.</w:t>
      </w:r>
      <w:r>
        <w:rPr>
          <w:rFonts w:ascii="Times New Roman" w:hAnsi="Times New Roman"/>
        </w:rPr>
        <w:t xml:space="preserve"> </w:t>
      </w:r>
    </w:p>
  </w:footnote>
  <w:footnote w:id="32">
    <w:p w:rsidR="00D549BC" w:rsidRDefault="00D549BC" w:rsidP="00572C0B">
      <w:pPr>
        <w:pStyle w:val="FootnoteText"/>
        <w:ind w:firstLine="0"/>
      </w:pPr>
      <w:r w:rsidRPr="00734595">
        <w:rPr>
          <w:rStyle w:val="FootnoteReference"/>
          <w:rFonts w:ascii="Times New Roman" w:hAnsi="Times New Roman"/>
        </w:rPr>
        <w:footnoteRef/>
      </w:r>
      <w:r w:rsidRPr="00734595">
        <w:rPr>
          <w:rFonts w:ascii="Times New Roman" w:hAnsi="Times New Roman"/>
        </w:rPr>
        <w:t xml:space="preserve"> </w:t>
      </w:r>
      <w:r>
        <w:rPr>
          <w:rFonts w:ascii="Times New Roman" w:hAnsi="Times New Roman"/>
        </w:rPr>
        <w:t xml:space="preserve">BANDEIRA </w:t>
      </w:r>
      <w:r>
        <w:rPr>
          <w:rFonts w:ascii="Times New Roman" w:hAnsi="Times New Roman"/>
          <w:i/>
        </w:rPr>
        <w:t>a</w:t>
      </w:r>
      <w:r w:rsidRPr="00572C0B">
        <w:rPr>
          <w:rFonts w:ascii="Times New Roman" w:hAnsi="Times New Roman"/>
          <w:i/>
        </w:rPr>
        <w:t>pud</w:t>
      </w:r>
      <w:r>
        <w:rPr>
          <w:rFonts w:ascii="Times New Roman" w:hAnsi="Times New Roman"/>
        </w:rPr>
        <w:t xml:space="preserve"> BRANCO, Paulo Gustavo Gonet; MENDES, Gilmar Ferreira. Op. cit., p. 1061. </w:t>
      </w:r>
    </w:p>
  </w:footnote>
  <w:footnote w:id="33">
    <w:p w:rsidR="00D549BC" w:rsidRDefault="00D549BC" w:rsidP="00296EEB">
      <w:pPr>
        <w:pStyle w:val="FootnoteText"/>
        <w:ind w:firstLine="0"/>
      </w:pPr>
      <w:r w:rsidRPr="00CA5030">
        <w:rPr>
          <w:rStyle w:val="FootnoteReference"/>
          <w:rFonts w:ascii="Times New Roman" w:hAnsi="Times New Roman"/>
        </w:rPr>
        <w:footnoteRef/>
      </w:r>
      <w:r w:rsidRPr="00CA5030">
        <w:rPr>
          <w:rFonts w:ascii="Times New Roman" w:hAnsi="Times New Roman"/>
        </w:rPr>
        <w:t xml:space="preserve"> </w:t>
      </w:r>
      <w:r>
        <w:rPr>
          <w:rFonts w:ascii="Times New Roman" w:hAnsi="Times New Roman"/>
        </w:rPr>
        <w:t xml:space="preserve">BONAVIDES, Paulo. </w:t>
      </w:r>
      <w:r w:rsidRPr="008A659E">
        <w:rPr>
          <w:rFonts w:ascii="Times New Roman" w:hAnsi="Times New Roman"/>
          <w:b/>
        </w:rPr>
        <w:t>Curso de Direito Constitucional</w:t>
      </w:r>
      <w:r>
        <w:rPr>
          <w:rFonts w:ascii="Times New Roman" w:hAnsi="Times New Roman"/>
        </w:rPr>
        <w:t>. 27. ed. São Paulo: Malheiros, 2012, p. 339-340.</w:t>
      </w:r>
    </w:p>
  </w:footnote>
  <w:footnote w:id="34">
    <w:p w:rsidR="00D549BC" w:rsidRDefault="00D549BC" w:rsidP="008023D0">
      <w:pPr>
        <w:pStyle w:val="FootnoteText"/>
        <w:ind w:firstLine="0"/>
      </w:pPr>
      <w:r w:rsidRPr="00A318A6">
        <w:rPr>
          <w:rStyle w:val="FootnoteReference"/>
          <w:rFonts w:ascii="Times New Roman" w:hAnsi="Times New Roman"/>
        </w:rPr>
        <w:footnoteRef/>
      </w:r>
      <w:r>
        <w:rPr>
          <w:rFonts w:ascii="Times New Roman" w:hAnsi="Times New Roman"/>
        </w:rPr>
        <w:t xml:space="preserve"> </w:t>
      </w:r>
      <w:r w:rsidRPr="00613A06">
        <w:rPr>
          <w:rFonts w:ascii="Times New Roman" w:hAnsi="Times New Roman"/>
        </w:rPr>
        <w:t>Mensagem presente no sítio eletrônico do STF referente ao RISTF de 1909: “O texto consolidado e as alterações estão em fase de levantamento”. Disponível em: http://www.stf.jus.br/portal/cms/verTexto.asp?servico=bibliotecaConsultaProdutoBibliotecaRI&amp;pagina=regimentointerno1909principal. Acesso em: 17 jul. 2015.</w:t>
      </w:r>
    </w:p>
  </w:footnote>
  <w:footnote w:id="35">
    <w:p w:rsidR="00D549BC" w:rsidRDefault="00D549BC" w:rsidP="008023D0">
      <w:pPr>
        <w:pStyle w:val="FootnoteText"/>
        <w:ind w:firstLine="0"/>
      </w:pPr>
      <w:r w:rsidRPr="00C32AF1">
        <w:rPr>
          <w:rStyle w:val="FootnoteReference"/>
          <w:rFonts w:ascii="Times New Roman" w:hAnsi="Times New Roman"/>
        </w:rPr>
        <w:footnoteRef/>
      </w:r>
      <w:r w:rsidRPr="00C32AF1">
        <w:rPr>
          <w:rFonts w:ascii="Times New Roman" w:hAnsi="Times New Roman"/>
        </w:rPr>
        <w:t xml:space="preserve"> </w:t>
      </w:r>
      <w:r>
        <w:rPr>
          <w:rFonts w:ascii="Times New Roman" w:hAnsi="Times New Roman"/>
        </w:rPr>
        <w:t xml:space="preserve">O texto integral do RISTF de 1909 encontra-se disponível para consulta no site oficial do STF, pelo link presente na nota de rodapé anterior.  </w:t>
      </w:r>
    </w:p>
  </w:footnote>
  <w:footnote w:id="36">
    <w:p w:rsidR="00D549BC" w:rsidRDefault="00D549BC" w:rsidP="00CB70CF">
      <w:pPr>
        <w:pStyle w:val="FootnoteText"/>
        <w:ind w:firstLine="0"/>
      </w:pPr>
      <w:r w:rsidRPr="00253735">
        <w:rPr>
          <w:rStyle w:val="FootnoteReference"/>
          <w:rFonts w:ascii="Times New Roman" w:hAnsi="Times New Roman"/>
        </w:rPr>
        <w:footnoteRef/>
      </w:r>
      <w:r w:rsidRPr="007104B9">
        <w:rPr>
          <w:rFonts w:ascii="Times New Roman" w:hAnsi="Times New Roman"/>
        </w:rPr>
        <w:t xml:space="preserve"> </w:t>
      </w:r>
      <w:r>
        <w:rPr>
          <w:rFonts w:ascii="Times New Roman" w:hAnsi="Times New Roman"/>
        </w:rPr>
        <w:t xml:space="preserve">BRANCO, Paulo G. Gonet; MENDES, G. Ferreira. </w:t>
      </w:r>
      <w:r w:rsidRPr="006A021D">
        <w:rPr>
          <w:rFonts w:ascii="Times New Roman" w:hAnsi="Times New Roman"/>
          <w:i/>
        </w:rPr>
        <w:t>Op. cit.</w:t>
      </w:r>
      <w:r>
        <w:rPr>
          <w:rFonts w:ascii="Times New Roman" w:hAnsi="Times New Roman"/>
        </w:rPr>
        <w:t>, p. 1062.</w:t>
      </w:r>
    </w:p>
  </w:footnote>
  <w:footnote w:id="37">
    <w:p w:rsidR="00D549BC" w:rsidRDefault="00D549BC" w:rsidP="00FD5454">
      <w:pPr>
        <w:pStyle w:val="FootnoteText"/>
        <w:ind w:firstLine="0"/>
      </w:pPr>
      <w:r w:rsidRPr="00FD5454">
        <w:rPr>
          <w:rStyle w:val="FootnoteReference"/>
          <w:rFonts w:ascii="Times New Roman" w:hAnsi="Times New Roman"/>
        </w:rPr>
        <w:footnoteRef/>
      </w:r>
      <w:r>
        <w:rPr>
          <w:rFonts w:ascii="Times New Roman" w:hAnsi="Times New Roman"/>
        </w:rPr>
        <w:t xml:space="preserve"> </w:t>
      </w:r>
      <w:r w:rsidRPr="00FD5454">
        <w:rPr>
          <w:rFonts w:ascii="Times New Roman" w:hAnsi="Times New Roman"/>
        </w:rPr>
        <w:t>Art</w:t>
      </w:r>
      <w:r>
        <w:rPr>
          <w:rFonts w:ascii="Times New Roman" w:hAnsi="Times New Roman"/>
        </w:rPr>
        <w:t>.</w:t>
      </w:r>
      <w:r w:rsidRPr="00FD5454">
        <w:rPr>
          <w:rFonts w:ascii="Times New Roman" w:hAnsi="Times New Roman"/>
        </w:rPr>
        <w:t xml:space="preserve"> 101 - Ao Supremo Tribunal Federal compete:</w:t>
      </w:r>
      <w:r>
        <w:rPr>
          <w:rFonts w:ascii="Times New Roman" w:hAnsi="Times New Roman"/>
        </w:rPr>
        <w:t xml:space="preserve"> </w:t>
      </w:r>
      <w:r w:rsidRPr="00FD5454">
        <w:rPr>
          <w:rFonts w:ascii="Times New Roman" w:hAnsi="Times New Roman"/>
        </w:rPr>
        <w:t xml:space="preserve">III - julgar, em </w:t>
      </w:r>
      <w:r w:rsidRPr="00FD5454">
        <w:rPr>
          <w:rFonts w:ascii="Times New Roman" w:hAnsi="Times New Roman"/>
          <w:i/>
        </w:rPr>
        <w:t>recurso extraordinário</w:t>
      </w:r>
      <w:r w:rsidRPr="00FD5454">
        <w:rPr>
          <w:rFonts w:ascii="Times New Roman" w:hAnsi="Times New Roman"/>
        </w:rPr>
        <w:t>, as causas decididas pelas Justiças locais</w:t>
      </w:r>
      <w:r>
        <w:rPr>
          <w:rFonts w:ascii="Times New Roman" w:hAnsi="Times New Roman"/>
        </w:rPr>
        <w:t xml:space="preserve"> em única ou última instâncias:</w:t>
      </w:r>
      <w:r w:rsidRPr="00FD5454">
        <w:rPr>
          <w:rFonts w:ascii="Times New Roman" w:hAnsi="Times New Roman"/>
        </w:rPr>
        <w:t xml:space="preserve"> a) quando a decisão for contra a letra de tratado ou lei federal, sobre cuja aplicação se haja questionado;</w:t>
      </w:r>
      <w:r>
        <w:rPr>
          <w:rFonts w:ascii="Times New Roman" w:hAnsi="Times New Roman"/>
        </w:rPr>
        <w:t xml:space="preserve"> </w:t>
      </w:r>
      <w:r w:rsidRPr="00FD5454">
        <w:rPr>
          <w:rFonts w:ascii="Times New Roman" w:hAnsi="Times New Roman"/>
        </w:rPr>
        <w:t>b) quando se questionar sobre a vigência ou validade da lei federal em face da Constituição, e a decisão do Tribunal local negar aplicação à lei impugnada;</w:t>
      </w:r>
      <w:r>
        <w:rPr>
          <w:rFonts w:ascii="Times New Roman" w:hAnsi="Times New Roman"/>
        </w:rPr>
        <w:t xml:space="preserve"> </w:t>
      </w:r>
      <w:r w:rsidRPr="00FD5454">
        <w:rPr>
          <w:rFonts w:ascii="Times New Roman" w:hAnsi="Times New Roman"/>
        </w:rPr>
        <w:t>c) quando se contestar a validade de lei ou ato dos Governos locais em face da Constituição, ou de lei federal, e a decisão do Tribunal local julgar válida a lei ou o ato impugnado;</w:t>
      </w:r>
      <w:r>
        <w:rPr>
          <w:rFonts w:ascii="Times New Roman" w:hAnsi="Times New Roman"/>
        </w:rPr>
        <w:t xml:space="preserve"> </w:t>
      </w:r>
      <w:r w:rsidRPr="00FD5454">
        <w:rPr>
          <w:rFonts w:ascii="Times New Roman" w:hAnsi="Times New Roman"/>
        </w:rPr>
        <w:t>d) quando decisões definitivas dos Tribunais de Apelação de Estados diferentes, inclusive do Distrito Federal ou dos Territórios, ou decisões definitivas de um destes Tribunais e do Supremo Tribunal Federal derem à mesma lei federal inteligência diversa.</w:t>
      </w:r>
    </w:p>
  </w:footnote>
  <w:footnote w:id="38">
    <w:p w:rsidR="00D549BC" w:rsidRDefault="00D549BC" w:rsidP="00BD46B5">
      <w:pPr>
        <w:pStyle w:val="FootnoteText"/>
        <w:ind w:firstLine="0"/>
      </w:pPr>
      <w:r w:rsidRPr="00BD46B5">
        <w:rPr>
          <w:rStyle w:val="FootnoteReference"/>
          <w:rFonts w:ascii="Times New Roman" w:hAnsi="Times New Roman"/>
        </w:rPr>
        <w:footnoteRef/>
      </w:r>
      <w:r w:rsidRPr="00BD46B5">
        <w:rPr>
          <w:rFonts w:ascii="Times New Roman" w:hAnsi="Times New Roman"/>
        </w:rPr>
        <w:t xml:space="preserve"> </w:t>
      </w:r>
      <w:r>
        <w:rPr>
          <w:rFonts w:ascii="Times New Roman" w:hAnsi="Times New Roman"/>
        </w:rPr>
        <w:t>Art. 96.</w:t>
      </w:r>
      <w:r w:rsidRPr="00B9732B">
        <w:rPr>
          <w:rFonts w:ascii="Times New Roman" w:hAnsi="Times New Roman"/>
        </w:rPr>
        <w:t xml:space="preserve"> Só por maioria absoluta de votos da totalidade dos seus Juízes poderão os Tribunais declarar a inconstitucionalidade de lei ou de ato do Presidente da República.</w:t>
      </w:r>
    </w:p>
  </w:footnote>
  <w:footnote w:id="39">
    <w:p w:rsidR="00D549BC" w:rsidRDefault="00D549BC" w:rsidP="004D7F70">
      <w:pPr>
        <w:pStyle w:val="FootnoteText"/>
        <w:ind w:firstLine="0"/>
      </w:pPr>
      <w:r w:rsidRPr="004D7F70">
        <w:rPr>
          <w:rStyle w:val="FootnoteReference"/>
          <w:rFonts w:ascii="Times New Roman" w:hAnsi="Times New Roman"/>
        </w:rPr>
        <w:footnoteRef/>
      </w:r>
      <w:r w:rsidRPr="004D7F70">
        <w:rPr>
          <w:rFonts w:ascii="Times New Roman" w:hAnsi="Times New Roman"/>
        </w:rPr>
        <w:t xml:space="preserve"> Art</w:t>
      </w:r>
      <w:r>
        <w:rPr>
          <w:rFonts w:ascii="Times New Roman" w:hAnsi="Times New Roman"/>
        </w:rPr>
        <w:t>.</w:t>
      </w:r>
      <w:r w:rsidRPr="004D7F70">
        <w:rPr>
          <w:rFonts w:ascii="Times New Roman" w:hAnsi="Times New Roman"/>
        </w:rPr>
        <w:t xml:space="preserve"> </w:t>
      </w:r>
      <w:r>
        <w:rPr>
          <w:rFonts w:ascii="Times New Roman" w:hAnsi="Times New Roman"/>
        </w:rPr>
        <w:t>96, Parágrafo único.</w:t>
      </w:r>
      <w:r w:rsidRPr="004D7F70">
        <w:rPr>
          <w:rFonts w:ascii="Times New Roman" w:hAnsi="Times New Roman"/>
        </w:rPr>
        <w:t xml:space="preserve"> </w:t>
      </w:r>
      <w:r w:rsidRPr="004D7F70">
        <w:rPr>
          <w:rFonts w:ascii="Times New Roman" w:hAnsi="Times New Roman"/>
          <w:i/>
        </w:rPr>
        <w:t>No caso de ser declarada a inconstitucionalidade de uma lei que, a juízo do Presidente da República, seja necessária ao bem-estar do povo, à promoção ou defesa de interesse nacional de alta monta, poderá o Presidente da República submetê-la novamente ao exame do Parlamento: se este a confirmar por dois terços de votos em cada uma das Câmaras, ficará sem efeito a decisão do Tribunal</w:t>
      </w:r>
      <w:r>
        <w:rPr>
          <w:rFonts w:ascii="Times New Roman" w:hAnsi="Times New Roman"/>
        </w:rPr>
        <w:t xml:space="preserve"> (grifos nossos)</w:t>
      </w:r>
      <w:r w:rsidRPr="004D7F70">
        <w:rPr>
          <w:rFonts w:ascii="Times New Roman" w:hAnsi="Times New Roman"/>
        </w:rPr>
        <w:t xml:space="preserve">.   </w:t>
      </w:r>
    </w:p>
  </w:footnote>
  <w:footnote w:id="40">
    <w:p w:rsidR="00D549BC" w:rsidRPr="000A360D" w:rsidRDefault="00D549BC" w:rsidP="00F171D0">
      <w:pPr>
        <w:spacing w:line="240" w:lineRule="auto"/>
        <w:ind w:firstLine="0"/>
        <w:contextualSpacing/>
        <w:rPr>
          <w:rFonts w:ascii="Times New Roman" w:hAnsi="Times New Roman"/>
          <w:sz w:val="20"/>
          <w:szCs w:val="20"/>
        </w:rPr>
      </w:pPr>
      <w:r w:rsidRPr="006D49D5">
        <w:rPr>
          <w:rStyle w:val="FootnoteReference"/>
          <w:rFonts w:ascii="Times New Roman" w:hAnsi="Times New Roman"/>
        </w:rPr>
        <w:footnoteRef/>
      </w:r>
      <w:r>
        <w:rPr>
          <w:rFonts w:ascii="Times New Roman" w:hAnsi="Times New Roman"/>
        </w:rPr>
        <w:t xml:space="preserve"> </w:t>
      </w:r>
      <w:r w:rsidRPr="000A360D">
        <w:rPr>
          <w:rFonts w:ascii="Times New Roman" w:hAnsi="Times New Roman"/>
          <w:sz w:val="20"/>
          <w:szCs w:val="20"/>
        </w:rPr>
        <w:t>Decreto-Lei nº 1.564, de 5 de Setembro de 1939</w:t>
      </w:r>
      <w:r>
        <w:rPr>
          <w:rFonts w:ascii="Times New Roman" w:hAnsi="Times New Roman"/>
          <w:sz w:val="20"/>
          <w:szCs w:val="20"/>
        </w:rPr>
        <w:t xml:space="preserve">. </w:t>
      </w:r>
      <w:r w:rsidRPr="000A360D">
        <w:rPr>
          <w:rFonts w:ascii="Times New Roman" w:hAnsi="Times New Roman"/>
          <w:sz w:val="20"/>
          <w:szCs w:val="20"/>
        </w:rPr>
        <w:t>Confirma os textos de Lei, decretados pela União, que sujeitaram ao imposto de renda os vencimentos pagos pelos cofres públicos estaduais e municipais.</w:t>
      </w:r>
    </w:p>
    <w:p w:rsidR="00D549BC" w:rsidRPr="000A360D" w:rsidRDefault="00D549BC" w:rsidP="00F171D0">
      <w:pPr>
        <w:spacing w:line="240" w:lineRule="auto"/>
        <w:ind w:firstLine="0"/>
        <w:contextualSpacing/>
        <w:rPr>
          <w:rFonts w:ascii="Times New Roman" w:hAnsi="Times New Roman"/>
          <w:sz w:val="20"/>
          <w:szCs w:val="20"/>
        </w:rPr>
      </w:pPr>
      <w:r w:rsidRPr="000A360D">
        <w:rPr>
          <w:rFonts w:ascii="Times New Roman" w:hAnsi="Times New Roman"/>
          <w:sz w:val="20"/>
          <w:szCs w:val="20"/>
        </w:rPr>
        <w:t>O PRESIDENTE DA REPÚBLICA, usando da atribuição que lhe confere o artigo 180 da Constituição, e para os</w:t>
      </w:r>
      <w:r>
        <w:rPr>
          <w:rFonts w:ascii="Times New Roman" w:hAnsi="Times New Roman"/>
          <w:sz w:val="20"/>
          <w:szCs w:val="20"/>
        </w:rPr>
        <w:t xml:space="preserve"> efeitos do artigo 96, § único</w:t>
      </w:r>
      <w:r w:rsidRPr="000A360D">
        <w:rPr>
          <w:rFonts w:ascii="Times New Roman" w:hAnsi="Times New Roman"/>
          <w:sz w:val="20"/>
          <w:szCs w:val="20"/>
        </w:rPr>
        <w:t>,</w:t>
      </w:r>
    </w:p>
    <w:p w:rsidR="00D549BC" w:rsidRPr="000A360D" w:rsidRDefault="00D549BC" w:rsidP="00F171D0">
      <w:pPr>
        <w:spacing w:line="240" w:lineRule="auto"/>
        <w:ind w:firstLine="0"/>
        <w:contextualSpacing/>
        <w:rPr>
          <w:rFonts w:ascii="Times New Roman" w:hAnsi="Times New Roman"/>
          <w:sz w:val="20"/>
          <w:szCs w:val="20"/>
        </w:rPr>
      </w:pPr>
      <w:r w:rsidRPr="000A360D">
        <w:rPr>
          <w:rFonts w:ascii="Times New Roman" w:hAnsi="Times New Roman"/>
          <w:sz w:val="20"/>
          <w:szCs w:val="20"/>
        </w:rPr>
        <w:t>CONSIDERANDO que o Supremo Tribunal Federal declarou a inconstitucionalidade da incidência do imposto de renda, decretado pela União no uso de sua competência privativa, sobre os vencimentos pagos pelos cofres públicos estaduais e municipais;</w:t>
      </w:r>
    </w:p>
    <w:p w:rsidR="00D549BC" w:rsidRPr="000A360D" w:rsidRDefault="00D549BC" w:rsidP="00F171D0">
      <w:pPr>
        <w:spacing w:line="240" w:lineRule="auto"/>
        <w:ind w:firstLine="0"/>
        <w:contextualSpacing/>
        <w:rPr>
          <w:rFonts w:ascii="Times New Roman" w:hAnsi="Times New Roman"/>
          <w:sz w:val="20"/>
          <w:szCs w:val="20"/>
        </w:rPr>
      </w:pPr>
      <w:r w:rsidRPr="000A360D">
        <w:rPr>
          <w:rFonts w:ascii="Times New Roman" w:hAnsi="Times New Roman"/>
          <w:sz w:val="20"/>
          <w:szCs w:val="20"/>
        </w:rPr>
        <w:t>CONSIDERANDO que essa decisão judiciária não consulta o interesse nacional e o princípio da divisão equitativa do ônus do imposto,</w:t>
      </w:r>
    </w:p>
    <w:p w:rsidR="00D549BC" w:rsidRDefault="00D549BC" w:rsidP="009E4106">
      <w:pPr>
        <w:pStyle w:val="FootnoteText"/>
        <w:ind w:firstLine="0"/>
      </w:pPr>
      <w:r w:rsidRPr="009E4106">
        <w:rPr>
          <w:rFonts w:ascii="Times New Roman" w:hAnsi="Times New Roman"/>
        </w:rPr>
        <w:t>DECRETA: Artigo único. São confirmados os textos de lei, decretados pela União, que sujeitaram ao imposto de renda os vencimentos pagos pelos cofres públicos estaduais e municipais; ficando sem efeito as decisões do Supremo Tribunal Federal e de quaisquer outros tribunais e juízes que tenham declarado a inconstitucionalidade desses mesmos textos. Disponível em: http://www2.camara.leg.br/legin/fed/declei/1930-1939/decreto-lei-1564-5-setembro-1939-411497-norma-pe.html. Acesso em: 17 jul. 2015.</w:t>
      </w:r>
    </w:p>
  </w:footnote>
  <w:footnote w:id="41">
    <w:p w:rsidR="00D549BC" w:rsidRDefault="00D549BC" w:rsidP="00513D1F">
      <w:pPr>
        <w:pStyle w:val="FootnoteText"/>
        <w:ind w:firstLine="0"/>
        <w:jc w:val="left"/>
      </w:pPr>
      <w:r w:rsidRPr="00CB22D9">
        <w:rPr>
          <w:rStyle w:val="FootnoteReference"/>
          <w:rFonts w:ascii="Times New Roman" w:hAnsi="Times New Roman"/>
        </w:rPr>
        <w:footnoteRef/>
      </w:r>
      <w:r>
        <w:rPr>
          <w:rFonts w:ascii="Times New Roman" w:hAnsi="Times New Roman"/>
        </w:rPr>
        <w:t xml:space="preserve"> </w:t>
      </w:r>
      <w:r w:rsidRPr="00F81241">
        <w:rPr>
          <w:rFonts w:ascii="Times New Roman" w:hAnsi="Times New Roman"/>
        </w:rPr>
        <w:t>BRASIL. RI do STF de 1940</w:t>
      </w:r>
      <w:r>
        <w:rPr>
          <w:rFonts w:ascii="Times New Roman" w:hAnsi="Times New Roman"/>
        </w:rPr>
        <w:t xml:space="preserve">. Disponível em: </w:t>
      </w:r>
      <w:r w:rsidRPr="008655F4">
        <w:rPr>
          <w:rFonts w:ascii="Times New Roman" w:hAnsi="Times New Roman"/>
        </w:rPr>
        <w:t>http://www.stf.jus.br/portal/cms/verTexto.asp?servico=bibliotecaConsultaProdutoBibliotecaRI&amp;pagina=regimentointerno1940principal</w:t>
      </w:r>
      <w:r>
        <w:rPr>
          <w:rStyle w:val="Hyperlink"/>
          <w:rFonts w:ascii="Times New Roman" w:hAnsi="Times New Roman"/>
          <w:color w:val="000000"/>
          <w:u w:val="none"/>
        </w:rPr>
        <w:t xml:space="preserve">. Acesso em: 17 jul. 2015. </w:t>
      </w:r>
      <w:r>
        <w:rPr>
          <w:rFonts w:ascii="Times New Roman" w:hAnsi="Times New Roman"/>
        </w:rPr>
        <w:t xml:space="preserve"> </w:t>
      </w:r>
    </w:p>
  </w:footnote>
  <w:footnote w:id="42">
    <w:p w:rsidR="00D549BC" w:rsidRDefault="00D549BC" w:rsidP="00616184">
      <w:pPr>
        <w:pStyle w:val="FootnoteText"/>
        <w:ind w:firstLine="0"/>
      </w:pPr>
      <w:r w:rsidRPr="003234FA">
        <w:rPr>
          <w:rStyle w:val="FootnoteReference"/>
          <w:rFonts w:ascii="Times New Roman" w:hAnsi="Times New Roman"/>
        </w:rPr>
        <w:footnoteRef/>
      </w:r>
      <w:r w:rsidRPr="003234FA">
        <w:rPr>
          <w:rFonts w:ascii="Times New Roman" w:hAnsi="Times New Roman"/>
        </w:rPr>
        <w:t xml:space="preserve"> </w:t>
      </w:r>
      <w:r w:rsidRPr="00DC620C">
        <w:rPr>
          <w:rFonts w:ascii="Times New Roman" w:hAnsi="Times New Roman"/>
        </w:rPr>
        <w:t>Art</w:t>
      </w:r>
      <w:r>
        <w:rPr>
          <w:rFonts w:ascii="Times New Roman" w:hAnsi="Times New Roman"/>
        </w:rPr>
        <w:t>. 101.</w:t>
      </w:r>
      <w:r w:rsidRPr="00DC620C">
        <w:rPr>
          <w:rFonts w:ascii="Times New Roman" w:hAnsi="Times New Roman"/>
        </w:rPr>
        <w:t xml:space="preserve"> Ao Supremo Tribunal Federal compete:</w:t>
      </w:r>
      <w:r>
        <w:rPr>
          <w:rFonts w:ascii="Times New Roman" w:hAnsi="Times New Roman"/>
        </w:rPr>
        <w:t xml:space="preserve"> </w:t>
      </w:r>
      <w:r w:rsidRPr="00DC620C">
        <w:rPr>
          <w:rFonts w:ascii="Times New Roman" w:hAnsi="Times New Roman"/>
        </w:rPr>
        <w:t>III - julgar em recurso extraordinário as causas decididas em única ou última instância por outros Tribunais ou Juízes:</w:t>
      </w:r>
      <w:r>
        <w:rPr>
          <w:rFonts w:ascii="Times New Roman" w:hAnsi="Times New Roman"/>
        </w:rPr>
        <w:t xml:space="preserve"> </w:t>
      </w:r>
      <w:r w:rsidRPr="00DC620C">
        <w:rPr>
          <w:rFonts w:ascii="Times New Roman" w:hAnsi="Times New Roman"/>
        </w:rPr>
        <w:t>a) quando a decisão for contrária a dispositivo desta Constituição ou à letra de tratado ou lei federal;</w:t>
      </w:r>
      <w:r>
        <w:rPr>
          <w:rFonts w:ascii="Times New Roman" w:hAnsi="Times New Roman"/>
        </w:rPr>
        <w:t xml:space="preserve"> </w:t>
      </w:r>
      <w:r w:rsidRPr="00DC620C">
        <w:rPr>
          <w:rFonts w:ascii="Times New Roman" w:hAnsi="Times New Roman"/>
        </w:rPr>
        <w:t>b) quando se questionar sobre a validade de lei federal em face desta Constituição, e a decisão recorrida negar aplicação à lei impugnada;</w:t>
      </w:r>
      <w:r>
        <w:rPr>
          <w:rFonts w:ascii="Times New Roman" w:hAnsi="Times New Roman"/>
        </w:rPr>
        <w:t xml:space="preserve"> </w:t>
      </w:r>
      <w:r w:rsidRPr="00DC620C">
        <w:rPr>
          <w:rFonts w:ascii="Times New Roman" w:hAnsi="Times New Roman"/>
        </w:rPr>
        <w:t>c) quando se contestar a validade de lei ou ato de governo local em face desta Constituição ou de lei federal, e a decisão recorrida julgar válida a lei ou o ato;</w:t>
      </w:r>
      <w:r>
        <w:rPr>
          <w:rFonts w:ascii="Times New Roman" w:hAnsi="Times New Roman"/>
        </w:rPr>
        <w:t xml:space="preserve"> </w:t>
      </w:r>
      <w:r w:rsidRPr="00DC620C">
        <w:rPr>
          <w:rFonts w:ascii="Times New Roman" w:hAnsi="Times New Roman"/>
        </w:rPr>
        <w:t>d) quando na decisão recorrida a interpretação da lei federal invocada for diversa da que lhe haja dado qualquer dos outros Tribunais ou o próprio Supremo Tribunal Federal.</w:t>
      </w:r>
    </w:p>
  </w:footnote>
  <w:footnote w:id="43">
    <w:p w:rsidR="00D549BC" w:rsidRDefault="00D549BC" w:rsidP="00AD6C5E">
      <w:pPr>
        <w:pStyle w:val="FootnoteText"/>
        <w:ind w:firstLine="0"/>
      </w:pPr>
      <w:r w:rsidRPr="00AD6C5E">
        <w:rPr>
          <w:rStyle w:val="FootnoteReference"/>
          <w:rFonts w:ascii="Times New Roman" w:hAnsi="Times New Roman"/>
        </w:rPr>
        <w:footnoteRef/>
      </w:r>
      <w:r>
        <w:rPr>
          <w:rFonts w:ascii="Times New Roman" w:hAnsi="Times New Roman"/>
        </w:rPr>
        <w:t xml:space="preserve"> A</w:t>
      </w:r>
      <w:r w:rsidRPr="00AD6C5E">
        <w:rPr>
          <w:rFonts w:ascii="Times New Roman" w:hAnsi="Times New Roman"/>
        </w:rPr>
        <w:t>rt</w:t>
      </w:r>
      <w:r>
        <w:rPr>
          <w:rFonts w:ascii="Times New Roman" w:hAnsi="Times New Roman"/>
        </w:rPr>
        <w:t>. 200.</w:t>
      </w:r>
      <w:r w:rsidRPr="00AD6C5E">
        <w:rPr>
          <w:rFonts w:ascii="Times New Roman" w:hAnsi="Times New Roman"/>
        </w:rPr>
        <w:t xml:space="preserve"> Só pelo voto da maioria absoluta dos seus membros poderão os Tribunais declarar a inconstitucionalidade de lei ou de ato do Poder Público.</w:t>
      </w:r>
    </w:p>
  </w:footnote>
  <w:footnote w:id="44">
    <w:p w:rsidR="00D549BC" w:rsidRDefault="00D549BC" w:rsidP="00740A10">
      <w:pPr>
        <w:pStyle w:val="FootnoteText"/>
        <w:ind w:firstLine="0"/>
      </w:pPr>
      <w:r w:rsidRPr="00740A10">
        <w:rPr>
          <w:rStyle w:val="FootnoteReference"/>
          <w:rFonts w:ascii="Times New Roman" w:hAnsi="Times New Roman"/>
        </w:rPr>
        <w:footnoteRef/>
      </w:r>
      <w:r w:rsidRPr="00740A10">
        <w:rPr>
          <w:rFonts w:ascii="Times New Roman" w:hAnsi="Times New Roman"/>
        </w:rPr>
        <w:t xml:space="preserve"> </w:t>
      </w:r>
      <w:r w:rsidRPr="00F11066">
        <w:rPr>
          <w:rFonts w:ascii="Times New Roman" w:hAnsi="Times New Roman"/>
        </w:rPr>
        <w:t>Art</w:t>
      </w:r>
      <w:r>
        <w:rPr>
          <w:rFonts w:ascii="Times New Roman" w:hAnsi="Times New Roman"/>
        </w:rPr>
        <w:t>. 64.</w:t>
      </w:r>
      <w:r w:rsidRPr="00F11066">
        <w:rPr>
          <w:rFonts w:ascii="Times New Roman" w:hAnsi="Times New Roman"/>
        </w:rPr>
        <w:t xml:space="preserve"> </w:t>
      </w:r>
      <w:r>
        <w:rPr>
          <w:rFonts w:ascii="Times New Roman" w:hAnsi="Times New Roman"/>
        </w:rPr>
        <w:t>I</w:t>
      </w:r>
      <w:r w:rsidRPr="00F11066">
        <w:rPr>
          <w:rFonts w:ascii="Times New Roman" w:hAnsi="Times New Roman"/>
        </w:rPr>
        <w:t>ncumbe ao Senado Federal suspender a execução, no todo ou em parte, de lei ou decreto declarados inconstitucionais por decisão definitiva do Supremo Tribunal Federal.</w:t>
      </w:r>
    </w:p>
  </w:footnote>
  <w:footnote w:id="45">
    <w:p w:rsidR="00D549BC" w:rsidRDefault="00D549BC" w:rsidP="00523971">
      <w:pPr>
        <w:pStyle w:val="FootnoteText"/>
        <w:ind w:firstLine="0"/>
        <w:rPr>
          <w:rFonts w:ascii="Times New Roman" w:hAnsi="Times New Roman"/>
        </w:rPr>
      </w:pPr>
      <w:r w:rsidRPr="0047483A">
        <w:rPr>
          <w:rStyle w:val="FootnoteReference"/>
          <w:rFonts w:ascii="Times New Roman" w:hAnsi="Times New Roman"/>
        </w:rPr>
        <w:footnoteRef/>
      </w:r>
      <w:r w:rsidRPr="0047483A">
        <w:rPr>
          <w:rFonts w:ascii="Times New Roman" w:hAnsi="Times New Roman"/>
        </w:rPr>
        <w:t xml:space="preserve"> </w:t>
      </w:r>
      <w:r w:rsidRPr="00523971">
        <w:rPr>
          <w:rFonts w:ascii="Times New Roman" w:hAnsi="Times New Roman"/>
        </w:rPr>
        <w:t>Art</w:t>
      </w:r>
      <w:r>
        <w:rPr>
          <w:rFonts w:ascii="Times New Roman" w:hAnsi="Times New Roman"/>
        </w:rPr>
        <w:t>. 7º.</w:t>
      </w:r>
      <w:r w:rsidRPr="00523971">
        <w:rPr>
          <w:rFonts w:ascii="Times New Roman" w:hAnsi="Times New Roman"/>
        </w:rPr>
        <w:t xml:space="preserve"> O Governo federal não intervirá nos Estados salvo para:  VII - assegurar a observância dos</w:t>
      </w:r>
      <w:r>
        <w:rPr>
          <w:rFonts w:ascii="Times New Roman" w:hAnsi="Times New Roman"/>
        </w:rPr>
        <w:t xml:space="preserve"> seguintes princípios: </w:t>
      </w:r>
      <w:r w:rsidRPr="00523971">
        <w:rPr>
          <w:rFonts w:ascii="Times New Roman" w:hAnsi="Times New Roman"/>
        </w:rPr>
        <w:t>a) fo</w:t>
      </w:r>
      <w:r>
        <w:rPr>
          <w:rFonts w:ascii="Times New Roman" w:hAnsi="Times New Roman"/>
        </w:rPr>
        <w:t xml:space="preserve">rma republicana representativa; </w:t>
      </w:r>
      <w:r w:rsidRPr="00523971">
        <w:rPr>
          <w:rFonts w:ascii="Times New Roman" w:hAnsi="Times New Roman"/>
        </w:rPr>
        <w:t>b) independên</w:t>
      </w:r>
      <w:r>
        <w:rPr>
          <w:rFonts w:ascii="Times New Roman" w:hAnsi="Times New Roman"/>
        </w:rPr>
        <w:t xml:space="preserve">cia e harmonia dos Poderes; </w:t>
      </w:r>
      <w:r w:rsidRPr="00523971">
        <w:rPr>
          <w:rFonts w:ascii="Times New Roman" w:hAnsi="Times New Roman"/>
        </w:rPr>
        <w:t>c) temporariedade das funções eletivas, limitada a duração destas à das funções federais co</w:t>
      </w:r>
      <w:r>
        <w:rPr>
          <w:rFonts w:ascii="Times New Roman" w:hAnsi="Times New Roman"/>
        </w:rPr>
        <w:t>rrespondentes;</w:t>
      </w:r>
      <w:r w:rsidRPr="00523971">
        <w:rPr>
          <w:rFonts w:ascii="Times New Roman" w:hAnsi="Times New Roman"/>
        </w:rPr>
        <w:t xml:space="preserve"> d) proibição da reeleição de Governadores e Prefe</w:t>
      </w:r>
      <w:r>
        <w:rPr>
          <w:rFonts w:ascii="Times New Roman" w:hAnsi="Times New Roman"/>
        </w:rPr>
        <w:t xml:space="preserve">itos, para o período imediato; e) autonomia municipal; </w:t>
      </w:r>
      <w:r w:rsidRPr="00523971">
        <w:rPr>
          <w:rFonts w:ascii="Times New Roman" w:hAnsi="Times New Roman"/>
        </w:rPr>
        <w:t>f) presta</w:t>
      </w:r>
      <w:r>
        <w:rPr>
          <w:rFonts w:ascii="Times New Roman" w:hAnsi="Times New Roman"/>
        </w:rPr>
        <w:t xml:space="preserve">ção de contas da Administração; </w:t>
      </w:r>
      <w:r w:rsidRPr="00523971">
        <w:rPr>
          <w:rFonts w:ascii="Times New Roman" w:hAnsi="Times New Roman"/>
        </w:rPr>
        <w:t>g) garantias do Poder Judiciário.</w:t>
      </w:r>
    </w:p>
    <w:p w:rsidR="00D549BC" w:rsidRDefault="00D549BC" w:rsidP="00523971">
      <w:pPr>
        <w:pStyle w:val="FootnoteText"/>
        <w:ind w:firstLine="0"/>
      </w:pPr>
      <w:r w:rsidRPr="00523971">
        <w:rPr>
          <w:rFonts w:ascii="Times New Roman" w:hAnsi="Times New Roman"/>
        </w:rPr>
        <w:t>Art</w:t>
      </w:r>
      <w:r>
        <w:rPr>
          <w:rFonts w:ascii="Times New Roman" w:hAnsi="Times New Roman"/>
        </w:rPr>
        <w:t>. 8º.</w:t>
      </w:r>
      <w:r w:rsidRPr="00523971">
        <w:rPr>
          <w:rFonts w:ascii="Times New Roman" w:hAnsi="Times New Roman"/>
        </w:rPr>
        <w:t xml:space="preserve"> </w:t>
      </w:r>
      <w:r w:rsidRPr="00523971">
        <w:rPr>
          <w:rFonts w:ascii="Times New Roman" w:hAnsi="Times New Roman"/>
          <w:i/>
        </w:rPr>
        <w:t>A intervenção será decretada por lei federal nos casos dos nº s VI e VII do artigo anterior</w:t>
      </w:r>
      <w:r>
        <w:rPr>
          <w:rFonts w:ascii="Times New Roman" w:hAnsi="Times New Roman"/>
        </w:rPr>
        <w:t>.</w:t>
      </w:r>
      <w:r w:rsidRPr="00523971">
        <w:rPr>
          <w:rFonts w:ascii="Times New Roman" w:hAnsi="Times New Roman"/>
        </w:rPr>
        <w:t xml:space="preserve"> Parágrafo único</w:t>
      </w:r>
      <w:r>
        <w:rPr>
          <w:rFonts w:ascii="Times New Roman" w:hAnsi="Times New Roman"/>
        </w:rPr>
        <w:t xml:space="preserve"> - </w:t>
      </w:r>
      <w:r w:rsidRPr="00CD2B89">
        <w:rPr>
          <w:rFonts w:ascii="Times New Roman" w:hAnsi="Times New Roman"/>
          <w:i/>
        </w:rPr>
        <w:t>No caso do nº VII, o ato arguido de inconstitucionalidade será submetido pelo Procurador-Geral da República ao exame do Supremo Tribunal Federal, e, se este a declarar, será decretada a intervenção</w:t>
      </w:r>
      <w:r>
        <w:rPr>
          <w:rFonts w:ascii="Times New Roman" w:hAnsi="Times New Roman"/>
        </w:rPr>
        <w:t xml:space="preserve"> (grifos nossos). </w:t>
      </w:r>
    </w:p>
  </w:footnote>
  <w:footnote w:id="46">
    <w:p w:rsidR="00D549BC" w:rsidRDefault="00D549BC" w:rsidP="00A85614">
      <w:pPr>
        <w:pStyle w:val="FootnoteText"/>
        <w:ind w:firstLine="0"/>
      </w:pPr>
      <w:r w:rsidRPr="00A85614">
        <w:rPr>
          <w:rStyle w:val="FootnoteReference"/>
          <w:rFonts w:ascii="Times New Roman" w:hAnsi="Times New Roman"/>
        </w:rPr>
        <w:footnoteRef/>
      </w:r>
      <w:r w:rsidRPr="00A85614">
        <w:rPr>
          <w:rFonts w:ascii="Times New Roman" w:hAnsi="Times New Roman"/>
        </w:rPr>
        <w:t xml:space="preserve"> Art. 1º Cabe ao Procurador Geral da República, toda vez que tiver conhecimento da existência de ato que infrinja algum dos preceitos assegurados no artigo 7º, inciso VII, da Constituição Federal, submeter o mesmo ao exam</w:t>
      </w:r>
      <w:r>
        <w:rPr>
          <w:rFonts w:ascii="Times New Roman" w:hAnsi="Times New Roman"/>
        </w:rPr>
        <w:t xml:space="preserve">e do Supremo Tribunal Federal. </w:t>
      </w:r>
      <w:r w:rsidRPr="00A85614">
        <w:rPr>
          <w:rFonts w:ascii="Times New Roman" w:hAnsi="Times New Roman"/>
          <w:b/>
        </w:rPr>
        <w:t>Parágrafo único.</w:t>
      </w:r>
      <w:r w:rsidRPr="00A85614">
        <w:rPr>
          <w:rFonts w:ascii="Times New Roman" w:hAnsi="Times New Roman"/>
        </w:rPr>
        <w:t xml:space="preserve"> </w:t>
      </w:r>
      <w:r w:rsidRPr="00A85614">
        <w:rPr>
          <w:rFonts w:ascii="Times New Roman" w:hAnsi="Times New Roman"/>
          <w:b/>
        </w:rPr>
        <w:t>Havendo representação de parte interessada, a qual deverá ser em 2 (duas) vias, o ato arguido de inconstitucionalidade será, submetido pelo Procurador Geral da República ao Supremo Tribunal Federal, dentro de 90 (noventa) dias, a partir do seu recebimento</w:t>
      </w:r>
      <w:r>
        <w:rPr>
          <w:rFonts w:ascii="Times New Roman" w:hAnsi="Times New Roman"/>
          <w:b/>
        </w:rPr>
        <w:t xml:space="preserve"> </w:t>
      </w:r>
      <w:r>
        <w:rPr>
          <w:rFonts w:ascii="Times New Roman" w:hAnsi="Times New Roman"/>
        </w:rPr>
        <w:t>(grifos nossos).</w:t>
      </w:r>
    </w:p>
  </w:footnote>
  <w:footnote w:id="47">
    <w:p w:rsidR="00D549BC" w:rsidRDefault="00D549BC" w:rsidP="002109A6">
      <w:pPr>
        <w:pStyle w:val="FootnoteText"/>
        <w:ind w:firstLine="0"/>
      </w:pPr>
      <w:r w:rsidRPr="002109A6">
        <w:rPr>
          <w:rStyle w:val="FootnoteReference"/>
          <w:rFonts w:ascii="Times New Roman" w:hAnsi="Times New Roman"/>
        </w:rPr>
        <w:footnoteRef/>
      </w:r>
      <w:r w:rsidRPr="002109A6">
        <w:rPr>
          <w:rFonts w:ascii="Times New Roman" w:hAnsi="Times New Roman"/>
        </w:rPr>
        <w:t xml:space="preserve"> </w:t>
      </w:r>
      <w:r>
        <w:rPr>
          <w:rFonts w:ascii="Times New Roman" w:hAnsi="Times New Roman"/>
        </w:rPr>
        <w:t xml:space="preserve">Segundo MENDES, G. F: “O elevado número de representações interventivas propostas entre 1946 e 1965 – mais de 500 representações – comprova o peculiar significado desse instituto menos como forma de composição de conflitos federativos do que como instrumento de controle de normas” (MENDES, G. F. </w:t>
      </w:r>
      <w:r w:rsidRPr="00C92726">
        <w:rPr>
          <w:rFonts w:ascii="Times New Roman" w:hAnsi="Times New Roman"/>
          <w:b/>
        </w:rPr>
        <w:t>Jurisdição Constitucional</w:t>
      </w:r>
      <w:r>
        <w:rPr>
          <w:rFonts w:ascii="Times New Roman" w:hAnsi="Times New Roman"/>
        </w:rPr>
        <w:t xml:space="preserve">. 6. ed. São Paulo: Saraiva, 2014, p. 91). </w:t>
      </w:r>
    </w:p>
  </w:footnote>
  <w:footnote w:id="48">
    <w:p w:rsidR="00D549BC" w:rsidRDefault="00D549BC" w:rsidP="006A2ACD">
      <w:pPr>
        <w:pStyle w:val="FootnoteText"/>
        <w:ind w:firstLine="0"/>
      </w:pPr>
      <w:r w:rsidRPr="006A2ACD">
        <w:rPr>
          <w:rStyle w:val="FootnoteReference"/>
          <w:rFonts w:ascii="Times New Roman" w:hAnsi="Times New Roman"/>
        </w:rPr>
        <w:footnoteRef/>
      </w:r>
      <w:r w:rsidRPr="006A2ACD">
        <w:rPr>
          <w:rFonts w:ascii="Times New Roman" w:hAnsi="Times New Roman"/>
        </w:rPr>
        <w:t xml:space="preserve"> Art</w:t>
      </w:r>
      <w:r>
        <w:rPr>
          <w:rFonts w:ascii="Times New Roman" w:hAnsi="Times New Roman"/>
        </w:rPr>
        <w:t>. 13.</w:t>
      </w:r>
      <w:r w:rsidRPr="006A2ACD">
        <w:rPr>
          <w:rFonts w:ascii="Times New Roman" w:hAnsi="Times New Roman"/>
        </w:rPr>
        <w:t xml:space="preserve"> </w:t>
      </w:r>
      <w:r w:rsidRPr="006A2ACD">
        <w:rPr>
          <w:rFonts w:ascii="Times New Roman" w:hAnsi="Times New Roman"/>
          <w:i/>
        </w:rPr>
        <w:t>Nos casos do art. 7º, nº VII, observado o disposto no art. 8º, parágrafo único, o Congresso Nacional se limitará a suspender a execução do ato arguido de inconstitucionalidade, se essa medida bastar para o restabelecimento da normalidade no Estado</w:t>
      </w:r>
      <w:r>
        <w:rPr>
          <w:rFonts w:ascii="Times New Roman" w:hAnsi="Times New Roman"/>
        </w:rPr>
        <w:t xml:space="preserve"> (grifos nossos)</w:t>
      </w:r>
      <w:r w:rsidRPr="006A2ACD">
        <w:rPr>
          <w:rFonts w:ascii="Times New Roman" w:hAnsi="Times New Roman"/>
        </w:rPr>
        <w:t>.</w:t>
      </w:r>
    </w:p>
  </w:footnote>
  <w:footnote w:id="49">
    <w:p w:rsidR="00D549BC" w:rsidRDefault="00D549BC" w:rsidP="003E41D4">
      <w:pPr>
        <w:pStyle w:val="FootnoteText"/>
        <w:ind w:firstLine="0"/>
      </w:pPr>
      <w:r w:rsidRPr="003E41D4">
        <w:rPr>
          <w:rStyle w:val="FootnoteReference"/>
          <w:rFonts w:ascii="Times New Roman" w:hAnsi="Times New Roman"/>
        </w:rPr>
        <w:footnoteRef/>
      </w:r>
      <w:r w:rsidRPr="003E41D4">
        <w:rPr>
          <w:rFonts w:ascii="Times New Roman" w:hAnsi="Times New Roman"/>
        </w:rPr>
        <w:t xml:space="preserve"> </w:t>
      </w:r>
      <w:r>
        <w:rPr>
          <w:rFonts w:ascii="Times New Roman" w:hAnsi="Times New Roman"/>
        </w:rPr>
        <w:t xml:space="preserve">BRANDÃO, Rodrigo. </w:t>
      </w:r>
      <w:r w:rsidRPr="004C21A7">
        <w:rPr>
          <w:rFonts w:ascii="Times New Roman" w:hAnsi="Times New Roman"/>
          <w:b/>
        </w:rPr>
        <w:t>Supremacia Judicial versus Diálogos Constitucionais</w:t>
      </w:r>
      <w:r>
        <w:rPr>
          <w:rFonts w:ascii="Times New Roman" w:hAnsi="Times New Roman"/>
        </w:rPr>
        <w:t xml:space="preserve">: a quem cabe a última palavra sobre o sentido da Constituição? Rio de Janeiro: Lumen Juris, 2012, p. 109. </w:t>
      </w:r>
    </w:p>
  </w:footnote>
  <w:footnote w:id="50">
    <w:p w:rsidR="00D549BC" w:rsidRDefault="00D549BC" w:rsidP="00CF44B5">
      <w:pPr>
        <w:pStyle w:val="FootnoteText"/>
        <w:ind w:firstLine="0"/>
      </w:pPr>
      <w:r w:rsidRPr="00CF44B5">
        <w:rPr>
          <w:rStyle w:val="FootnoteReference"/>
          <w:rFonts w:ascii="Times New Roman" w:hAnsi="Times New Roman"/>
        </w:rPr>
        <w:footnoteRef/>
      </w:r>
      <w:r w:rsidRPr="00CF44B5">
        <w:rPr>
          <w:rFonts w:ascii="Times New Roman" w:hAnsi="Times New Roman"/>
        </w:rPr>
        <w:t xml:space="preserve"> </w:t>
      </w:r>
      <w:r>
        <w:rPr>
          <w:rFonts w:ascii="Times New Roman" w:hAnsi="Times New Roman"/>
        </w:rPr>
        <w:t>O golpe militar foi formalizado juridicamente pelo Ato Institucional nº 1, de 9 de abril de 1964.</w:t>
      </w:r>
    </w:p>
  </w:footnote>
  <w:footnote w:id="51">
    <w:p w:rsidR="00D549BC" w:rsidRDefault="00D549BC" w:rsidP="00E14F06">
      <w:pPr>
        <w:pStyle w:val="FootnoteText"/>
        <w:ind w:firstLine="0"/>
      </w:pPr>
      <w:r w:rsidRPr="00E14F06">
        <w:rPr>
          <w:rStyle w:val="FootnoteReference"/>
          <w:rFonts w:ascii="Times New Roman" w:hAnsi="Times New Roman"/>
        </w:rPr>
        <w:footnoteRef/>
      </w:r>
      <w:r w:rsidRPr="00E14F06">
        <w:rPr>
          <w:rFonts w:ascii="Times New Roman" w:hAnsi="Times New Roman"/>
        </w:rPr>
        <w:t xml:space="preserve"> Art</w:t>
      </w:r>
      <w:r>
        <w:rPr>
          <w:rFonts w:ascii="Times New Roman" w:hAnsi="Times New Roman"/>
        </w:rPr>
        <w:t>.</w:t>
      </w:r>
      <w:r w:rsidRPr="00E14F06">
        <w:rPr>
          <w:rFonts w:ascii="Times New Roman" w:hAnsi="Times New Roman"/>
        </w:rPr>
        <w:t xml:space="preserve"> 101 - Ao Supremo Tribunal Federal compete:</w:t>
      </w:r>
      <w:r>
        <w:rPr>
          <w:rFonts w:ascii="Times New Roman" w:hAnsi="Times New Roman"/>
        </w:rPr>
        <w:t xml:space="preserve"> </w:t>
      </w:r>
      <w:r w:rsidRPr="00E14F06">
        <w:rPr>
          <w:rFonts w:ascii="Times New Roman" w:hAnsi="Times New Roman"/>
        </w:rPr>
        <w:t>I - processar e julgar originariamente:</w:t>
      </w:r>
      <w:r>
        <w:rPr>
          <w:rFonts w:ascii="Times New Roman" w:hAnsi="Times New Roman"/>
        </w:rPr>
        <w:t xml:space="preserve"> k) </w:t>
      </w:r>
      <w:r w:rsidRPr="00E14F06">
        <w:rPr>
          <w:rFonts w:ascii="Times New Roman" w:hAnsi="Times New Roman"/>
        </w:rPr>
        <w:t xml:space="preserve">a representação contra inconstitucionalidade de lei ou ato de natureza normativa, federal ou estadual, encaminhada pelo </w:t>
      </w:r>
      <w:r>
        <w:rPr>
          <w:rFonts w:ascii="Times New Roman" w:hAnsi="Times New Roman"/>
        </w:rPr>
        <w:t xml:space="preserve">Procurador-Geral da República; </w:t>
      </w:r>
      <w:r w:rsidRPr="00E14F06">
        <w:rPr>
          <w:rFonts w:ascii="Times New Roman" w:hAnsi="Times New Roman"/>
        </w:rPr>
        <w:t>(Redação dada pela Emenda Constitucional nº 16, de 1965)</w:t>
      </w:r>
    </w:p>
  </w:footnote>
  <w:footnote w:id="52">
    <w:p w:rsidR="00D549BC" w:rsidRDefault="00D549BC" w:rsidP="007C59A8">
      <w:pPr>
        <w:pStyle w:val="FootnoteText"/>
        <w:ind w:firstLine="0"/>
      </w:pPr>
      <w:r w:rsidRPr="0032497D">
        <w:rPr>
          <w:rStyle w:val="FootnoteReference"/>
          <w:rFonts w:ascii="Times New Roman" w:hAnsi="Times New Roman"/>
        </w:rPr>
        <w:footnoteRef/>
      </w:r>
      <w:r>
        <w:rPr>
          <w:rFonts w:ascii="Times New Roman" w:hAnsi="Times New Roman"/>
        </w:rPr>
        <w:t xml:space="preserve"> </w:t>
      </w:r>
      <w:r w:rsidRPr="007C59A8">
        <w:rPr>
          <w:rFonts w:ascii="Times New Roman" w:hAnsi="Times New Roman"/>
        </w:rPr>
        <w:t>Art</w:t>
      </w:r>
      <w:r>
        <w:rPr>
          <w:rFonts w:ascii="Times New Roman" w:hAnsi="Times New Roman"/>
        </w:rPr>
        <w:t>.</w:t>
      </w:r>
      <w:r w:rsidRPr="007C59A8">
        <w:rPr>
          <w:rFonts w:ascii="Times New Roman" w:hAnsi="Times New Roman"/>
        </w:rPr>
        <w:t xml:space="preserve"> 124 - Os Estados organizarão a sua Justiça, com observância dos arts. 95 a 97 e também dos seguintes princípios:</w:t>
      </w:r>
      <w:r>
        <w:rPr>
          <w:rFonts w:ascii="Times New Roman" w:hAnsi="Times New Roman"/>
        </w:rPr>
        <w:t xml:space="preserve"> </w:t>
      </w:r>
      <w:r w:rsidRPr="007C59A8">
        <w:rPr>
          <w:rFonts w:ascii="Times New Roman" w:hAnsi="Times New Roman"/>
        </w:rPr>
        <w:t xml:space="preserve">XIII - </w:t>
      </w:r>
      <w:r w:rsidRPr="007C59A8">
        <w:rPr>
          <w:rFonts w:ascii="Times New Roman" w:hAnsi="Times New Roman"/>
          <w:i/>
        </w:rPr>
        <w:t>a lei poderá estabelecer processo, de competência originária do Tribunal de Justiça, para declaração de inconstitucionalidade de lei ou ato de Município, em conflito com a Constituição do Estado</w:t>
      </w:r>
      <w:r w:rsidRPr="007C59A8">
        <w:rPr>
          <w:rFonts w:ascii="Times New Roman" w:hAnsi="Times New Roman"/>
        </w:rPr>
        <w:t xml:space="preserve"> (Incluído pela Emenda Constitucional nº 16, de 1965)</w:t>
      </w:r>
      <w:r>
        <w:rPr>
          <w:rFonts w:ascii="Times New Roman" w:hAnsi="Times New Roman"/>
        </w:rPr>
        <w:t xml:space="preserve"> (grifos nossos).</w:t>
      </w:r>
    </w:p>
  </w:footnote>
  <w:footnote w:id="53">
    <w:p w:rsidR="00D549BC" w:rsidRDefault="00D549BC" w:rsidP="00041B9E">
      <w:pPr>
        <w:pStyle w:val="FootnoteText"/>
        <w:ind w:firstLine="0"/>
        <w:contextualSpacing/>
      </w:pPr>
      <w:r w:rsidRPr="00041B9E">
        <w:rPr>
          <w:rStyle w:val="FootnoteReference"/>
          <w:rFonts w:ascii="Times New Roman" w:hAnsi="Times New Roman"/>
        </w:rPr>
        <w:footnoteRef/>
      </w:r>
      <w:r w:rsidRPr="00041B9E">
        <w:rPr>
          <w:rFonts w:ascii="Times New Roman" w:hAnsi="Times New Roman"/>
        </w:rPr>
        <w:t xml:space="preserve"> Art. 114 - Compete ao Supremo Tribunal Federal:</w:t>
      </w:r>
      <w:r>
        <w:rPr>
          <w:rFonts w:ascii="Times New Roman" w:hAnsi="Times New Roman"/>
        </w:rPr>
        <w:t xml:space="preserve"> </w:t>
      </w:r>
      <w:r w:rsidRPr="00041B9E">
        <w:rPr>
          <w:rFonts w:ascii="Times New Roman" w:hAnsi="Times New Roman"/>
        </w:rPr>
        <w:t>III - julgar mediante recurso extraordinário as causas decididas em única ou última instância por outros Tribunais ou Juíze</w:t>
      </w:r>
      <w:r>
        <w:rPr>
          <w:rFonts w:ascii="Times New Roman" w:hAnsi="Times New Roman"/>
        </w:rPr>
        <w:t xml:space="preserve">s, quando a decisão recorrida: </w:t>
      </w:r>
      <w:r w:rsidRPr="00041B9E">
        <w:rPr>
          <w:rFonts w:ascii="Times New Roman" w:hAnsi="Times New Roman"/>
          <w:i/>
        </w:rPr>
        <w:t>a) contrariar dispositivo desta Constituição ou negar vigência de tratado ou lei federal</w:t>
      </w:r>
      <w:r w:rsidRPr="00041B9E">
        <w:rPr>
          <w:rFonts w:ascii="Times New Roman" w:hAnsi="Times New Roman"/>
        </w:rPr>
        <w:t xml:space="preserve">; </w:t>
      </w:r>
      <w:r w:rsidRPr="00041B9E">
        <w:rPr>
          <w:rFonts w:ascii="Times New Roman" w:hAnsi="Times New Roman"/>
          <w:i/>
        </w:rPr>
        <w:t>b ) declarar a inconstitucionalidade de tratado ou lei federal</w:t>
      </w:r>
      <w:r>
        <w:rPr>
          <w:rFonts w:ascii="Times New Roman" w:hAnsi="Times New Roman"/>
        </w:rPr>
        <w:t xml:space="preserve">; </w:t>
      </w:r>
      <w:r w:rsidRPr="00041B9E">
        <w:rPr>
          <w:rFonts w:ascii="Times New Roman" w:hAnsi="Times New Roman"/>
          <w:i/>
        </w:rPr>
        <w:t>c) julgar válida lei ou ato de Governo local contestado em face da Constituição ou de lei federal; d) der à lei interpretação divergente da que lhe haja dado outro Tribunal ou o próprio Supremo Tribunal Federal</w:t>
      </w:r>
      <w:r>
        <w:rPr>
          <w:rFonts w:ascii="Times New Roman" w:hAnsi="Times New Roman"/>
        </w:rPr>
        <w:t xml:space="preserve"> (grifos nossos)</w:t>
      </w:r>
    </w:p>
  </w:footnote>
  <w:footnote w:id="54">
    <w:p w:rsidR="00D549BC" w:rsidRDefault="00D549BC" w:rsidP="00041B9E">
      <w:pPr>
        <w:pStyle w:val="FootnoteText"/>
        <w:ind w:firstLine="0"/>
      </w:pPr>
      <w:r w:rsidRPr="00041B9E">
        <w:rPr>
          <w:rStyle w:val="FootnoteReference"/>
          <w:rFonts w:ascii="Times New Roman" w:hAnsi="Times New Roman"/>
        </w:rPr>
        <w:footnoteRef/>
      </w:r>
      <w:r>
        <w:rPr>
          <w:rFonts w:ascii="Times New Roman" w:hAnsi="Times New Roman"/>
        </w:rPr>
        <w:t xml:space="preserve"> </w:t>
      </w:r>
      <w:r w:rsidRPr="00041B9E">
        <w:rPr>
          <w:rFonts w:ascii="Times New Roman" w:hAnsi="Times New Roman"/>
        </w:rPr>
        <w:t>Art. 114 - Compete ao Supremo Tribunal Federal:</w:t>
      </w:r>
      <w:r>
        <w:rPr>
          <w:rFonts w:ascii="Times New Roman" w:hAnsi="Times New Roman"/>
        </w:rPr>
        <w:t xml:space="preserve"> </w:t>
      </w:r>
      <w:r w:rsidRPr="00447151">
        <w:rPr>
          <w:rFonts w:ascii="Times New Roman" w:hAnsi="Times New Roman"/>
        </w:rPr>
        <w:t>I - processar e julgar originariamente:</w:t>
      </w:r>
      <w:r>
        <w:rPr>
          <w:rFonts w:ascii="Times New Roman" w:hAnsi="Times New Roman"/>
        </w:rPr>
        <w:t xml:space="preserve"> l</w:t>
      </w:r>
      <w:r w:rsidRPr="00447151">
        <w:rPr>
          <w:rFonts w:ascii="Times New Roman" w:hAnsi="Times New Roman"/>
        </w:rPr>
        <w:t xml:space="preserve">) </w:t>
      </w:r>
      <w:r w:rsidRPr="00447151">
        <w:rPr>
          <w:rFonts w:ascii="Times New Roman" w:hAnsi="Times New Roman"/>
          <w:i/>
        </w:rPr>
        <w:t>a representação do Procurador Geral da República, por inconstitucionalidade de lei ou ato normativo federal ou estadual</w:t>
      </w:r>
      <w:r>
        <w:rPr>
          <w:rFonts w:ascii="Times New Roman" w:hAnsi="Times New Roman"/>
        </w:rPr>
        <w:t xml:space="preserve"> (grifos nossos).</w:t>
      </w:r>
    </w:p>
  </w:footnote>
  <w:footnote w:id="55">
    <w:p w:rsidR="00D549BC" w:rsidRDefault="00D549BC" w:rsidP="00186054">
      <w:pPr>
        <w:pStyle w:val="FootnoteText"/>
        <w:ind w:firstLine="0"/>
      </w:pPr>
      <w:r w:rsidRPr="00186054">
        <w:rPr>
          <w:rStyle w:val="FootnoteReference"/>
          <w:rFonts w:ascii="Times New Roman" w:hAnsi="Times New Roman"/>
        </w:rPr>
        <w:footnoteRef/>
      </w:r>
      <w:r>
        <w:rPr>
          <w:rFonts w:ascii="Times New Roman" w:hAnsi="Times New Roman"/>
        </w:rPr>
        <w:t xml:space="preserve"> </w:t>
      </w:r>
      <w:r w:rsidRPr="00186054">
        <w:rPr>
          <w:rFonts w:ascii="Times New Roman" w:hAnsi="Times New Roman"/>
        </w:rPr>
        <w:t>Art</w:t>
      </w:r>
      <w:r>
        <w:rPr>
          <w:rFonts w:ascii="Times New Roman" w:hAnsi="Times New Roman"/>
        </w:rPr>
        <w:t>. 11.</w:t>
      </w:r>
      <w:r w:rsidRPr="00186054">
        <w:rPr>
          <w:rFonts w:ascii="Times New Roman" w:hAnsi="Times New Roman"/>
        </w:rPr>
        <w:t xml:space="preserve"> Compete ao Presidente da República decretar a intervenção.</w:t>
      </w:r>
      <w:r>
        <w:rPr>
          <w:rFonts w:ascii="Times New Roman" w:hAnsi="Times New Roman"/>
        </w:rPr>
        <w:t xml:space="preserve"> </w:t>
      </w:r>
      <w:r w:rsidRPr="008F2554">
        <w:rPr>
          <w:rFonts w:ascii="Times New Roman" w:hAnsi="Times New Roman"/>
        </w:rPr>
        <w:t>§ 1º - A decretação da intervenção dependerá:</w:t>
      </w:r>
      <w:r>
        <w:rPr>
          <w:rFonts w:ascii="Times New Roman" w:hAnsi="Times New Roman"/>
        </w:rPr>
        <w:t xml:space="preserve"> </w:t>
      </w:r>
      <w:r w:rsidRPr="006E0DA6">
        <w:rPr>
          <w:rFonts w:ascii="Times New Roman" w:hAnsi="Times New Roman"/>
        </w:rPr>
        <w:t>c) do provimento, pelo Supremo Tribunal Federal, de representação do Procurador-Geral da República, nos casos do item VII, assim como no do item VI, ambos do art. 10, quando se tratar de execução de lei federal.</w:t>
      </w:r>
    </w:p>
  </w:footnote>
  <w:footnote w:id="56">
    <w:p w:rsidR="00D549BC" w:rsidRDefault="00D549BC" w:rsidP="00C07E50">
      <w:pPr>
        <w:pStyle w:val="FootnoteText"/>
        <w:ind w:firstLine="0"/>
        <w:rPr>
          <w:rFonts w:ascii="Times New Roman" w:hAnsi="Times New Roman"/>
        </w:rPr>
      </w:pPr>
      <w:r w:rsidRPr="00C07E50">
        <w:rPr>
          <w:rStyle w:val="FootnoteReference"/>
          <w:rFonts w:ascii="Times New Roman" w:hAnsi="Times New Roman"/>
        </w:rPr>
        <w:footnoteRef/>
      </w:r>
      <w:r w:rsidRPr="00C07E50">
        <w:rPr>
          <w:rFonts w:ascii="Times New Roman" w:hAnsi="Times New Roman"/>
        </w:rPr>
        <w:t xml:space="preserve"> Art</w:t>
      </w:r>
      <w:r>
        <w:rPr>
          <w:rFonts w:ascii="Times New Roman" w:hAnsi="Times New Roman"/>
        </w:rPr>
        <w:t>. 10.</w:t>
      </w:r>
      <w:r w:rsidRPr="00C07E50">
        <w:rPr>
          <w:rFonts w:ascii="Times New Roman" w:hAnsi="Times New Roman"/>
        </w:rPr>
        <w:t xml:space="preserve"> A União não intervirá nos Estados, salvo para:</w:t>
      </w:r>
      <w:r>
        <w:rPr>
          <w:rFonts w:ascii="Times New Roman" w:hAnsi="Times New Roman"/>
        </w:rPr>
        <w:t xml:space="preserve"> </w:t>
      </w:r>
      <w:r w:rsidRPr="00C07E50">
        <w:rPr>
          <w:rFonts w:ascii="Times New Roman" w:hAnsi="Times New Roman"/>
        </w:rPr>
        <w:t>VI - prover à execução de lei federal, ordem ou decisão judiciária;</w:t>
      </w:r>
      <w:r>
        <w:rPr>
          <w:rFonts w:ascii="Times New Roman" w:hAnsi="Times New Roman"/>
        </w:rPr>
        <w:t xml:space="preserve"> </w:t>
      </w:r>
    </w:p>
    <w:p w:rsidR="00D549BC" w:rsidRDefault="00D549BC" w:rsidP="00C07E50">
      <w:pPr>
        <w:pStyle w:val="FootnoteText"/>
        <w:ind w:firstLine="0"/>
      </w:pPr>
      <w:r w:rsidRPr="00186054">
        <w:rPr>
          <w:rFonts w:ascii="Times New Roman" w:hAnsi="Times New Roman"/>
        </w:rPr>
        <w:t>Art</w:t>
      </w:r>
      <w:r>
        <w:rPr>
          <w:rFonts w:ascii="Times New Roman" w:hAnsi="Times New Roman"/>
        </w:rPr>
        <w:t>. 11.</w:t>
      </w:r>
      <w:r w:rsidRPr="00186054">
        <w:rPr>
          <w:rFonts w:ascii="Times New Roman" w:hAnsi="Times New Roman"/>
        </w:rPr>
        <w:t xml:space="preserve"> Compete ao Presidente da República decretar a intervenção.</w:t>
      </w:r>
      <w:r>
        <w:rPr>
          <w:rFonts w:ascii="Times New Roman" w:hAnsi="Times New Roman"/>
        </w:rPr>
        <w:t xml:space="preserve"> </w:t>
      </w:r>
      <w:r w:rsidRPr="008F2554">
        <w:rPr>
          <w:rFonts w:ascii="Times New Roman" w:hAnsi="Times New Roman"/>
        </w:rPr>
        <w:t>§ 1º - A decretação da intervenção dependerá:</w:t>
      </w:r>
      <w:r>
        <w:rPr>
          <w:rFonts w:ascii="Times New Roman" w:hAnsi="Times New Roman"/>
        </w:rPr>
        <w:t xml:space="preserve"> </w:t>
      </w:r>
      <w:r w:rsidRPr="00C07E50">
        <w:rPr>
          <w:rFonts w:ascii="Times New Roman" w:hAnsi="Times New Roman"/>
        </w:rPr>
        <w:t>b) no caso do n.º VI do art. 10, de requisição do Supremo Tribunal Federal, ou do Tribunal Superior Eleitoral, conforme a matéria, ressalvado o disposto na letra c deste parágrafo.</w:t>
      </w:r>
    </w:p>
  </w:footnote>
  <w:footnote w:id="57">
    <w:p w:rsidR="00D549BC" w:rsidRDefault="00D549BC" w:rsidP="002D63BE">
      <w:pPr>
        <w:pStyle w:val="FootnoteText"/>
        <w:ind w:firstLine="0"/>
      </w:pPr>
      <w:r w:rsidRPr="002D63BE">
        <w:rPr>
          <w:rStyle w:val="FootnoteReference"/>
          <w:rFonts w:ascii="Times New Roman" w:hAnsi="Times New Roman"/>
        </w:rPr>
        <w:footnoteRef/>
      </w:r>
      <w:r w:rsidRPr="002D63BE">
        <w:rPr>
          <w:rFonts w:ascii="Times New Roman" w:hAnsi="Times New Roman"/>
        </w:rPr>
        <w:t xml:space="preserve"> </w:t>
      </w:r>
      <w:r w:rsidRPr="00186054">
        <w:rPr>
          <w:rFonts w:ascii="Times New Roman" w:hAnsi="Times New Roman"/>
        </w:rPr>
        <w:t>Art</w:t>
      </w:r>
      <w:r>
        <w:rPr>
          <w:rFonts w:ascii="Times New Roman" w:hAnsi="Times New Roman"/>
        </w:rPr>
        <w:t>. 11.</w:t>
      </w:r>
      <w:r w:rsidRPr="00186054">
        <w:rPr>
          <w:rFonts w:ascii="Times New Roman" w:hAnsi="Times New Roman"/>
        </w:rPr>
        <w:t xml:space="preserve"> Compete ao Presidente da República decretar a intervenção.</w:t>
      </w:r>
      <w:r>
        <w:rPr>
          <w:rFonts w:ascii="Times New Roman" w:hAnsi="Times New Roman"/>
        </w:rPr>
        <w:t xml:space="preserve"> </w:t>
      </w:r>
      <w:r w:rsidRPr="00101417">
        <w:rPr>
          <w:rFonts w:ascii="Times New Roman" w:hAnsi="Times New Roman"/>
        </w:rPr>
        <w:t>§ 2º - Nos casos dos itens VI e VII do art. 10, o decreto do Presidente ela República limitar-se-á a suspender a execução do ato impugnado, se essa medida tiver eficácia.</w:t>
      </w:r>
      <w:r>
        <w:rPr>
          <w:rFonts w:ascii="Times New Roman" w:hAnsi="Times New Roman"/>
        </w:rPr>
        <w:t xml:space="preserve"> </w:t>
      </w:r>
    </w:p>
  </w:footnote>
  <w:footnote w:id="58">
    <w:p w:rsidR="00D549BC" w:rsidRDefault="00D549BC" w:rsidP="003804AB">
      <w:pPr>
        <w:pStyle w:val="FootnoteText"/>
        <w:ind w:firstLine="0"/>
      </w:pPr>
      <w:r w:rsidRPr="003804AB">
        <w:rPr>
          <w:rStyle w:val="FootnoteReference"/>
          <w:rFonts w:ascii="Times New Roman" w:hAnsi="Times New Roman"/>
        </w:rPr>
        <w:footnoteRef/>
      </w:r>
      <w:r>
        <w:rPr>
          <w:rFonts w:ascii="Times New Roman" w:hAnsi="Times New Roman"/>
        </w:rPr>
        <w:t xml:space="preserve"> </w:t>
      </w:r>
      <w:r w:rsidRPr="003804AB">
        <w:rPr>
          <w:rFonts w:ascii="Times New Roman" w:hAnsi="Times New Roman"/>
        </w:rPr>
        <w:t>Art. 15. A autonomia municipal será assegurada:</w:t>
      </w:r>
      <w:r>
        <w:rPr>
          <w:rFonts w:ascii="Times New Roman" w:hAnsi="Times New Roman"/>
        </w:rPr>
        <w:t xml:space="preserve"> § </w:t>
      </w:r>
      <w:r w:rsidRPr="003804AB">
        <w:rPr>
          <w:rFonts w:ascii="Times New Roman" w:hAnsi="Times New Roman"/>
        </w:rPr>
        <w:t>3º A intervenção nos municípios será regulada na Constituição do Estado, somente podendo ocorrer quando:</w:t>
      </w:r>
      <w:r>
        <w:rPr>
          <w:rFonts w:ascii="Times New Roman" w:hAnsi="Times New Roman"/>
        </w:rPr>
        <w:t xml:space="preserve"> </w:t>
      </w:r>
      <w:r w:rsidRPr="003804AB">
        <w:rPr>
          <w:rFonts w:ascii="Times New Roman" w:hAnsi="Times New Roman"/>
        </w:rPr>
        <w:t xml:space="preserve">d) o Tribunal de Justiça do Estado der provimento a representação formulada pelo Chefe do Ministério Público local para assegurar a observância dos princípios indicados </w:t>
      </w:r>
      <w:r>
        <w:rPr>
          <w:rFonts w:ascii="Times New Roman" w:hAnsi="Times New Roman"/>
        </w:rPr>
        <w:t>na</w:t>
      </w:r>
      <w:r w:rsidRPr="003804AB">
        <w:rPr>
          <w:rFonts w:ascii="Times New Roman" w:hAnsi="Times New Roman"/>
        </w:rPr>
        <w:t xml:space="preserve"> Constituição estadual, bem como para prover à execução de lei ou de ordem ou decisão judiciária, limitando-se o decreto do Governador a suspender o ato impugnado, se essa medida bastar ao restabelecimento da normalidade;</w:t>
      </w:r>
    </w:p>
  </w:footnote>
  <w:footnote w:id="59">
    <w:p w:rsidR="00D549BC" w:rsidRDefault="00D549BC" w:rsidP="009E28A7">
      <w:pPr>
        <w:pStyle w:val="FootnoteText"/>
        <w:ind w:firstLine="0"/>
      </w:pPr>
      <w:r w:rsidRPr="009E28A7">
        <w:rPr>
          <w:rStyle w:val="FootnoteReference"/>
          <w:rFonts w:ascii="Times New Roman" w:hAnsi="Times New Roman"/>
        </w:rPr>
        <w:footnoteRef/>
      </w:r>
      <w:r w:rsidRPr="009E28A7">
        <w:rPr>
          <w:rFonts w:ascii="Times New Roman" w:hAnsi="Times New Roman"/>
        </w:rPr>
        <w:t xml:space="preserve"> </w:t>
      </w:r>
      <w:r>
        <w:rPr>
          <w:rFonts w:ascii="Times New Roman" w:hAnsi="Times New Roman"/>
        </w:rPr>
        <w:t xml:space="preserve">Cf. nota de rodapé n. 45. </w:t>
      </w:r>
    </w:p>
  </w:footnote>
  <w:footnote w:id="60">
    <w:p w:rsidR="00D549BC" w:rsidRPr="00E32857" w:rsidRDefault="00D549BC" w:rsidP="00E32857">
      <w:pPr>
        <w:pStyle w:val="FootnoteText"/>
        <w:ind w:firstLine="0"/>
        <w:rPr>
          <w:rFonts w:ascii="Times New Roman" w:hAnsi="Times New Roman"/>
        </w:rPr>
      </w:pPr>
      <w:r w:rsidRPr="00E32857">
        <w:rPr>
          <w:rStyle w:val="FootnoteReference"/>
          <w:rFonts w:ascii="Times New Roman" w:hAnsi="Times New Roman"/>
        </w:rPr>
        <w:footnoteRef/>
      </w:r>
      <w:r w:rsidRPr="00E32857">
        <w:rPr>
          <w:rFonts w:ascii="Times New Roman" w:hAnsi="Times New Roman"/>
        </w:rPr>
        <w:t xml:space="preserve"> Art. 119. Compete ao Supremo Tribunal Federal:</w:t>
      </w:r>
      <w:r>
        <w:rPr>
          <w:rFonts w:ascii="Times New Roman" w:hAnsi="Times New Roman"/>
        </w:rPr>
        <w:t xml:space="preserve"> </w:t>
      </w:r>
      <w:r w:rsidRPr="00E32857">
        <w:rPr>
          <w:rFonts w:ascii="Times New Roman" w:hAnsi="Times New Roman"/>
        </w:rPr>
        <w:t xml:space="preserve">III - julgar, mediante recurso extraordinário, as causas decididas em única ou última instância </w:t>
      </w:r>
      <w:r w:rsidRPr="006F148A">
        <w:rPr>
          <w:rFonts w:ascii="Times New Roman" w:hAnsi="Times New Roman"/>
        </w:rPr>
        <w:t>por outros tribunais, quando a decisão recorrida:</w:t>
      </w:r>
      <w:r>
        <w:rPr>
          <w:rFonts w:ascii="Times New Roman" w:hAnsi="Times New Roman"/>
        </w:rPr>
        <w:t xml:space="preserve"> </w:t>
      </w:r>
      <w:r w:rsidRPr="00E32857">
        <w:rPr>
          <w:rFonts w:ascii="Times New Roman" w:hAnsi="Times New Roman"/>
        </w:rPr>
        <w:t>a) contrariar dispositivo desta Constituição ou negar vigência de tratado ou lei federal;</w:t>
      </w:r>
      <w:r>
        <w:rPr>
          <w:rFonts w:ascii="Times New Roman" w:hAnsi="Times New Roman"/>
        </w:rPr>
        <w:t xml:space="preserve"> </w:t>
      </w:r>
      <w:r w:rsidRPr="00E32857">
        <w:rPr>
          <w:rFonts w:ascii="Times New Roman" w:hAnsi="Times New Roman"/>
        </w:rPr>
        <w:t>b) declarar a inconstitucionalidade de tratado ou lei federal;</w:t>
      </w:r>
      <w:r>
        <w:rPr>
          <w:rFonts w:ascii="Times New Roman" w:hAnsi="Times New Roman"/>
        </w:rPr>
        <w:t xml:space="preserve"> </w:t>
      </w:r>
      <w:r w:rsidRPr="00E32857">
        <w:rPr>
          <w:rFonts w:ascii="Times New Roman" w:hAnsi="Times New Roman"/>
        </w:rPr>
        <w:t>c) julgar válida lei ou ato do governo local contestado em face da Constituição ou de lei federal; ou</w:t>
      </w:r>
      <w:r>
        <w:rPr>
          <w:rFonts w:ascii="Times New Roman" w:hAnsi="Times New Roman"/>
        </w:rPr>
        <w:t xml:space="preserve"> </w:t>
      </w:r>
      <w:r w:rsidRPr="00E32857">
        <w:rPr>
          <w:rFonts w:ascii="Times New Roman" w:hAnsi="Times New Roman"/>
        </w:rPr>
        <w:t>d) der à lei federal interpretação divergente da que lhe tenha dado outro Tribunal ou o pr</w:t>
      </w:r>
      <w:r>
        <w:rPr>
          <w:rFonts w:ascii="Times New Roman" w:hAnsi="Times New Roman"/>
        </w:rPr>
        <w:t>óprio Supremo Tribunal Federal.</w:t>
      </w:r>
    </w:p>
    <w:p w:rsidR="00D549BC" w:rsidRDefault="00D549BC" w:rsidP="00E32857">
      <w:pPr>
        <w:pStyle w:val="FootnoteText"/>
        <w:ind w:firstLine="0"/>
      </w:pPr>
      <w:r w:rsidRPr="00E32857">
        <w:rPr>
          <w:rFonts w:ascii="Times New Roman" w:hAnsi="Times New Roman"/>
          <w:b/>
        </w:rPr>
        <w:t>Parágrafo único</w:t>
      </w:r>
      <w:r w:rsidRPr="00E32857">
        <w:rPr>
          <w:rFonts w:ascii="Times New Roman" w:hAnsi="Times New Roman"/>
        </w:rPr>
        <w:t xml:space="preserve">. </w:t>
      </w:r>
      <w:r w:rsidRPr="00E87B6C">
        <w:rPr>
          <w:rFonts w:ascii="Times New Roman" w:hAnsi="Times New Roman"/>
          <w:b/>
          <w:i/>
        </w:rPr>
        <w:t>As causas a que se refere o item III, alíneas a e d, deste artigo</w:t>
      </w:r>
      <w:r w:rsidRPr="00E32857">
        <w:rPr>
          <w:rFonts w:ascii="Times New Roman" w:hAnsi="Times New Roman"/>
          <w:b/>
        </w:rPr>
        <w:t>,</w:t>
      </w:r>
      <w:r w:rsidRPr="00E32857">
        <w:rPr>
          <w:rFonts w:ascii="Times New Roman" w:hAnsi="Times New Roman"/>
        </w:rPr>
        <w:t xml:space="preserve"> </w:t>
      </w:r>
      <w:r w:rsidRPr="00E32857">
        <w:rPr>
          <w:rFonts w:ascii="Times New Roman" w:hAnsi="Times New Roman"/>
          <w:b/>
          <w:i/>
        </w:rPr>
        <w:t>serão indicadas pelo Supremo Tribunal Federal no regimento interno, que atenderá à sua natureza, espécie ou valor pecuniário</w:t>
      </w:r>
      <w:r>
        <w:rPr>
          <w:rFonts w:ascii="Times New Roman" w:hAnsi="Times New Roman"/>
        </w:rPr>
        <w:t xml:space="preserve"> (grifos nossos).</w:t>
      </w:r>
    </w:p>
  </w:footnote>
  <w:footnote w:id="61">
    <w:p w:rsidR="00D549BC" w:rsidRDefault="00D549BC" w:rsidP="00712A25">
      <w:pPr>
        <w:pStyle w:val="FootnoteText"/>
        <w:ind w:firstLine="0"/>
      </w:pPr>
      <w:r w:rsidRPr="00712A25">
        <w:rPr>
          <w:rStyle w:val="FootnoteReference"/>
          <w:rFonts w:ascii="Times New Roman" w:hAnsi="Times New Roman"/>
        </w:rPr>
        <w:footnoteRef/>
      </w:r>
      <w:r>
        <w:rPr>
          <w:rFonts w:ascii="Times New Roman" w:hAnsi="Times New Roman"/>
        </w:rPr>
        <w:t xml:space="preserve"> </w:t>
      </w:r>
      <w:r w:rsidRPr="00E32857">
        <w:rPr>
          <w:rFonts w:ascii="Times New Roman" w:hAnsi="Times New Roman"/>
        </w:rPr>
        <w:t>Art. 119. Compete ao Supremo Tribunal Federal:</w:t>
      </w:r>
      <w:r>
        <w:rPr>
          <w:rFonts w:ascii="Times New Roman" w:hAnsi="Times New Roman"/>
        </w:rPr>
        <w:t xml:space="preserve"> </w:t>
      </w:r>
      <w:r w:rsidRPr="00E32857">
        <w:rPr>
          <w:rFonts w:ascii="Times New Roman" w:hAnsi="Times New Roman"/>
        </w:rPr>
        <w:t>III - julgar, mediante recurso extraordinário, as causas decididas em única ou última instância por outros tribunais, quando a decisão recorrida:</w:t>
      </w:r>
      <w:r>
        <w:rPr>
          <w:rFonts w:ascii="Times New Roman" w:hAnsi="Times New Roman"/>
        </w:rPr>
        <w:t xml:space="preserve"> </w:t>
      </w:r>
      <w:r w:rsidRPr="00E32857">
        <w:rPr>
          <w:rFonts w:ascii="Times New Roman" w:hAnsi="Times New Roman"/>
        </w:rPr>
        <w:t>a) contrariar dispositivo desta Constituição ou negar vigência de tratado ou lei federal;</w:t>
      </w:r>
      <w:r>
        <w:rPr>
          <w:rFonts w:ascii="Times New Roman" w:hAnsi="Times New Roman"/>
        </w:rPr>
        <w:t xml:space="preserve"> </w:t>
      </w:r>
      <w:r w:rsidRPr="00E32857">
        <w:rPr>
          <w:rFonts w:ascii="Times New Roman" w:hAnsi="Times New Roman"/>
        </w:rPr>
        <w:t>b) declarar a inconstitucionalidade de tratado ou lei federal;</w:t>
      </w:r>
      <w:r>
        <w:rPr>
          <w:rFonts w:ascii="Times New Roman" w:hAnsi="Times New Roman"/>
        </w:rPr>
        <w:t xml:space="preserve"> </w:t>
      </w:r>
      <w:r w:rsidRPr="00E32857">
        <w:rPr>
          <w:rFonts w:ascii="Times New Roman" w:hAnsi="Times New Roman"/>
        </w:rPr>
        <w:t>c) julgar válida lei ou ato do governo local contestado em face da Constituição ou de lei federal; ou</w:t>
      </w:r>
      <w:r>
        <w:rPr>
          <w:rFonts w:ascii="Times New Roman" w:hAnsi="Times New Roman"/>
        </w:rPr>
        <w:t xml:space="preserve"> </w:t>
      </w:r>
      <w:r w:rsidRPr="00E32857">
        <w:rPr>
          <w:rFonts w:ascii="Times New Roman" w:hAnsi="Times New Roman"/>
        </w:rPr>
        <w:t>d) der à lei federal interpretação divergente da que lhe tenha dado outro Tribunal ou o pr</w:t>
      </w:r>
      <w:r>
        <w:rPr>
          <w:rFonts w:ascii="Times New Roman" w:hAnsi="Times New Roman"/>
        </w:rPr>
        <w:t xml:space="preserve">óprio Supremo Tribunal Federal. </w:t>
      </w:r>
      <w:r w:rsidRPr="00ED4C5F">
        <w:rPr>
          <w:rFonts w:ascii="Times New Roman" w:hAnsi="Times New Roman"/>
          <w:b/>
          <w:i/>
        </w:rPr>
        <w:t>§ 1º As causas a que se</w:t>
      </w:r>
      <w:r>
        <w:rPr>
          <w:rFonts w:ascii="Times New Roman" w:hAnsi="Times New Roman"/>
          <w:b/>
          <w:i/>
        </w:rPr>
        <w:t xml:space="preserve"> fere o item III, alíneas a e d</w:t>
      </w:r>
      <w:r w:rsidRPr="00ED4C5F">
        <w:rPr>
          <w:rFonts w:ascii="Times New Roman" w:hAnsi="Times New Roman"/>
          <w:b/>
          <w:i/>
        </w:rPr>
        <w:t xml:space="preserve">, deste artigo, serão indicadas pelo Supremo Tribunal Federal no regimento interno, que atenderá à sua natureza, espécie, valor pecuniário e </w:t>
      </w:r>
      <w:r w:rsidRPr="00ED4C5F">
        <w:rPr>
          <w:rFonts w:ascii="Times New Roman" w:hAnsi="Times New Roman"/>
          <w:b/>
          <w:i/>
          <w:u w:val="single"/>
        </w:rPr>
        <w:t>relevância da questão federal</w:t>
      </w:r>
      <w:r>
        <w:rPr>
          <w:rFonts w:ascii="Times New Roman" w:hAnsi="Times New Roman"/>
        </w:rPr>
        <w:t xml:space="preserve"> (grifos nossos). </w:t>
      </w:r>
    </w:p>
  </w:footnote>
  <w:footnote w:id="62">
    <w:p w:rsidR="00D549BC" w:rsidRDefault="00D549BC" w:rsidP="007F47E3">
      <w:pPr>
        <w:pStyle w:val="FootnoteText"/>
        <w:ind w:firstLine="0"/>
      </w:pPr>
      <w:r w:rsidRPr="007F47E3">
        <w:rPr>
          <w:rStyle w:val="FootnoteReference"/>
          <w:rFonts w:ascii="Times New Roman" w:hAnsi="Times New Roman"/>
        </w:rPr>
        <w:footnoteRef/>
      </w:r>
      <w:r w:rsidRPr="007F47E3">
        <w:rPr>
          <w:rFonts w:ascii="Times New Roman" w:hAnsi="Times New Roman"/>
        </w:rPr>
        <w:t xml:space="preserve"> </w:t>
      </w:r>
      <w:r w:rsidRPr="00E32857">
        <w:rPr>
          <w:rFonts w:ascii="Times New Roman" w:hAnsi="Times New Roman"/>
        </w:rPr>
        <w:t>Art. 119. Compete ao Supremo Tribunal Federal:</w:t>
      </w:r>
      <w:r>
        <w:rPr>
          <w:rFonts w:ascii="Times New Roman" w:hAnsi="Times New Roman"/>
        </w:rPr>
        <w:t xml:space="preserve"> </w:t>
      </w:r>
      <w:r w:rsidRPr="00403923">
        <w:rPr>
          <w:rFonts w:ascii="Times New Roman" w:hAnsi="Times New Roman"/>
          <w:b/>
          <w:i/>
        </w:rPr>
        <w:t>§ 3º O regimento interno estabelecerá: c) o processo e o julgamento dos feitos de sua competência originária ou recursal e da arguição de relevância da questão federal</w:t>
      </w:r>
      <w:r>
        <w:rPr>
          <w:rFonts w:ascii="Times New Roman" w:hAnsi="Times New Roman"/>
        </w:rPr>
        <w:t xml:space="preserve"> (grifos nossos). </w:t>
      </w:r>
    </w:p>
  </w:footnote>
  <w:footnote w:id="63">
    <w:p w:rsidR="00D549BC" w:rsidRDefault="00D549BC" w:rsidP="00AD0C43">
      <w:pPr>
        <w:pStyle w:val="FootnoteText"/>
        <w:ind w:firstLine="0"/>
      </w:pPr>
      <w:r w:rsidRPr="00AD0C43">
        <w:rPr>
          <w:rStyle w:val="FootnoteReference"/>
          <w:rFonts w:ascii="Times New Roman" w:hAnsi="Times New Roman"/>
        </w:rPr>
        <w:footnoteRef/>
      </w:r>
      <w:r w:rsidRPr="00AD0C43">
        <w:rPr>
          <w:rFonts w:ascii="Times New Roman" w:hAnsi="Times New Roman"/>
        </w:rPr>
        <w:t xml:space="preserve"> Art. 119. Compete ao Supremo Tribunal Federal:</w:t>
      </w:r>
      <w:r>
        <w:rPr>
          <w:rFonts w:ascii="Times New Roman" w:hAnsi="Times New Roman"/>
        </w:rPr>
        <w:t xml:space="preserve"> </w:t>
      </w:r>
      <w:r w:rsidRPr="00AD0C43">
        <w:rPr>
          <w:rFonts w:ascii="Times New Roman" w:hAnsi="Times New Roman"/>
        </w:rPr>
        <w:t>I - processar e julgar originariamente</w:t>
      </w:r>
      <w:r>
        <w:rPr>
          <w:rFonts w:ascii="Times New Roman" w:hAnsi="Times New Roman"/>
        </w:rPr>
        <w:t xml:space="preserve">; </w:t>
      </w:r>
      <w:r w:rsidRPr="00A85881">
        <w:rPr>
          <w:rFonts w:ascii="Times New Roman" w:hAnsi="Times New Roman"/>
          <w:i/>
        </w:rPr>
        <w:t>l</w:t>
      </w:r>
      <w:r w:rsidRPr="00AD0C43">
        <w:rPr>
          <w:rFonts w:ascii="Times New Roman" w:hAnsi="Times New Roman"/>
        </w:rPr>
        <w:t xml:space="preserve">) a representação do Procurador-Geral da República, por inconstitucionalidade </w:t>
      </w:r>
      <w:r w:rsidRPr="00AD0C43">
        <w:rPr>
          <w:rFonts w:ascii="Times New Roman" w:hAnsi="Times New Roman"/>
          <w:i/>
        </w:rPr>
        <w:t>ou para interpretação de lei ou ato normativo federal ou estadual</w:t>
      </w:r>
      <w:r>
        <w:rPr>
          <w:rFonts w:ascii="Times New Roman" w:hAnsi="Times New Roman"/>
        </w:rPr>
        <w:t xml:space="preserve"> (grifos nossos). </w:t>
      </w:r>
    </w:p>
  </w:footnote>
  <w:footnote w:id="64">
    <w:p w:rsidR="00D549BC" w:rsidRDefault="00D549BC" w:rsidP="00F7095B">
      <w:pPr>
        <w:pStyle w:val="FootnoteText"/>
        <w:ind w:firstLine="0"/>
      </w:pPr>
      <w:r w:rsidRPr="00F7095B">
        <w:rPr>
          <w:rStyle w:val="FootnoteReference"/>
          <w:rFonts w:ascii="Times New Roman" w:hAnsi="Times New Roman"/>
        </w:rPr>
        <w:footnoteRef/>
      </w:r>
      <w:r w:rsidRPr="00F7095B">
        <w:rPr>
          <w:rFonts w:ascii="Times New Roman" w:hAnsi="Times New Roman"/>
        </w:rPr>
        <w:t xml:space="preserve"> </w:t>
      </w:r>
      <w:r w:rsidRPr="00AD0C43">
        <w:rPr>
          <w:rFonts w:ascii="Times New Roman" w:hAnsi="Times New Roman"/>
        </w:rPr>
        <w:t>Art. 119. Compete ao Supremo Tribunal Federal:</w:t>
      </w:r>
      <w:r>
        <w:rPr>
          <w:rFonts w:ascii="Times New Roman" w:hAnsi="Times New Roman"/>
        </w:rPr>
        <w:t xml:space="preserve"> </w:t>
      </w:r>
      <w:r w:rsidRPr="00AD0C43">
        <w:rPr>
          <w:rFonts w:ascii="Times New Roman" w:hAnsi="Times New Roman"/>
        </w:rPr>
        <w:t>I - processar e julgar originariamente</w:t>
      </w:r>
      <w:r>
        <w:rPr>
          <w:rFonts w:ascii="Times New Roman" w:hAnsi="Times New Roman"/>
        </w:rPr>
        <w:t xml:space="preserve">: </w:t>
      </w:r>
      <w:r w:rsidRPr="00B01FB9">
        <w:rPr>
          <w:rFonts w:ascii="Times New Roman" w:hAnsi="Times New Roman"/>
          <w:i/>
        </w:rPr>
        <w:t xml:space="preserve">p) </w:t>
      </w:r>
      <w:r w:rsidRPr="00B01FB9">
        <w:rPr>
          <w:rFonts w:ascii="Times New Roman" w:hAnsi="Times New Roman"/>
          <w:b/>
          <w:i/>
        </w:rPr>
        <w:t>o pedido de medida cautelar nas representações oferecidas pelo Procurador-Geral da República</w:t>
      </w:r>
      <w:r>
        <w:rPr>
          <w:rFonts w:ascii="Times New Roman" w:hAnsi="Times New Roman"/>
        </w:rPr>
        <w:t xml:space="preserve"> (grifos nossos). </w:t>
      </w:r>
    </w:p>
  </w:footnote>
  <w:footnote w:id="65">
    <w:p w:rsidR="00D549BC" w:rsidRDefault="00D549BC" w:rsidP="001C56ED">
      <w:pPr>
        <w:pStyle w:val="FootnoteText"/>
        <w:ind w:firstLine="0"/>
      </w:pPr>
      <w:r w:rsidRPr="001C56ED">
        <w:rPr>
          <w:rStyle w:val="FootnoteReference"/>
          <w:rFonts w:ascii="Times New Roman" w:hAnsi="Times New Roman"/>
        </w:rPr>
        <w:footnoteRef/>
      </w:r>
      <w:r>
        <w:rPr>
          <w:rFonts w:ascii="Times New Roman" w:hAnsi="Times New Roman"/>
        </w:rPr>
        <w:t xml:space="preserve"> O ex-Ministro do STF, Moreira Alves, foi um dos responsáveis por trazer à tona o debate acerca do pedido liminar na representação de inconstitucionalidade, segundo suas palavras: “Com a implantação da representação de inconstitucionalidade contra lei ou ato normativo federal ou estadual – e de 1965 a 1988 foram julgadas mais de um milhar dessas representações propostas pelo Procurador-Geral da República, que era o único órgão legitimado para propô-la –, fez-se mister, na ausência de lei que a regulamentasse, que o Supremo Tribunal Federal, em seu Regimento Interno e por obra de sua jurisprudência, estabelecesse regras que disciplinassem essa ação direta. Assim, exemplificativamente, admitiu-se, a partir de um requerimento meu, como Procurador-Geral da República, e acolhido por maioria de votos, a concessão de medida liminar para suspender a eficácia </w:t>
      </w:r>
      <w:r w:rsidRPr="004E4ED1">
        <w:rPr>
          <w:rFonts w:ascii="Times New Roman" w:hAnsi="Times New Roman"/>
          <w:i/>
        </w:rPr>
        <w:t>ex tunc</w:t>
      </w:r>
      <w:r>
        <w:rPr>
          <w:rFonts w:ascii="Times New Roman" w:hAnsi="Times New Roman"/>
        </w:rPr>
        <w:t xml:space="preserve"> do ato normativo impugnado;” (</w:t>
      </w:r>
      <w:r w:rsidRPr="001373C8">
        <w:rPr>
          <w:rFonts w:ascii="Times New Roman" w:hAnsi="Times New Roman"/>
        </w:rPr>
        <w:t xml:space="preserve">ALVES, José Carlos Moreira. </w:t>
      </w:r>
      <w:r w:rsidRPr="00DA7E5A">
        <w:rPr>
          <w:rFonts w:ascii="Times New Roman" w:hAnsi="Times New Roman"/>
        </w:rPr>
        <w:t>O STF no período de minha judicatura</w:t>
      </w:r>
      <w:r w:rsidRPr="001373C8">
        <w:rPr>
          <w:rFonts w:ascii="Times New Roman" w:hAnsi="Times New Roman"/>
        </w:rPr>
        <w:t>: 1975 a 2003.</w:t>
      </w:r>
      <w:r>
        <w:rPr>
          <w:rFonts w:ascii="Times New Roman" w:hAnsi="Times New Roman"/>
        </w:rPr>
        <w:t xml:space="preserve"> </w:t>
      </w:r>
      <w:r w:rsidRPr="00DA7E5A">
        <w:rPr>
          <w:rFonts w:ascii="Times New Roman" w:hAnsi="Times New Roman"/>
          <w:b/>
        </w:rPr>
        <w:t>Revista Forense</w:t>
      </w:r>
      <w:r>
        <w:rPr>
          <w:rFonts w:ascii="Times New Roman" w:hAnsi="Times New Roman"/>
        </w:rPr>
        <w:t>, v</w:t>
      </w:r>
      <w:r w:rsidRPr="001373C8">
        <w:rPr>
          <w:rFonts w:ascii="Times New Roman" w:hAnsi="Times New Roman"/>
        </w:rPr>
        <w:t xml:space="preserve">. 400, ano 104, </w:t>
      </w:r>
      <w:r>
        <w:rPr>
          <w:rFonts w:ascii="Times New Roman" w:hAnsi="Times New Roman"/>
        </w:rPr>
        <w:t xml:space="preserve">nov./dez. 2008, p. 608). </w:t>
      </w:r>
    </w:p>
  </w:footnote>
  <w:footnote w:id="66">
    <w:p w:rsidR="00D549BC" w:rsidRDefault="00D549BC" w:rsidP="00D22056">
      <w:pPr>
        <w:pStyle w:val="FootnoteText"/>
        <w:ind w:firstLine="0"/>
      </w:pPr>
      <w:r w:rsidRPr="00A6217F">
        <w:rPr>
          <w:rStyle w:val="FootnoteReference"/>
          <w:rFonts w:ascii="Times New Roman" w:hAnsi="Times New Roman"/>
        </w:rPr>
        <w:footnoteRef/>
      </w:r>
      <w:r w:rsidRPr="00A6217F">
        <w:rPr>
          <w:rFonts w:ascii="Times New Roman" w:hAnsi="Times New Roman"/>
        </w:rPr>
        <w:t xml:space="preserve"> </w:t>
      </w:r>
      <w:r>
        <w:rPr>
          <w:rFonts w:ascii="Times New Roman" w:hAnsi="Times New Roman"/>
        </w:rPr>
        <w:t xml:space="preserve">Cf. BRANDÃO, Rodrigo. </w:t>
      </w:r>
      <w:r w:rsidRPr="004C21A7">
        <w:rPr>
          <w:rFonts w:ascii="Times New Roman" w:hAnsi="Times New Roman"/>
          <w:b/>
        </w:rPr>
        <w:t xml:space="preserve">Supremacia Judicial </w:t>
      </w:r>
      <w:r w:rsidRPr="006A021D">
        <w:rPr>
          <w:rFonts w:ascii="Times New Roman" w:hAnsi="Times New Roman"/>
          <w:b/>
          <w:i/>
        </w:rPr>
        <w:t>versus</w:t>
      </w:r>
      <w:r w:rsidRPr="004C21A7">
        <w:rPr>
          <w:rFonts w:ascii="Times New Roman" w:hAnsi="Times New Roman"/>
          <w:b/>
        </w:rPr>
        <w:t xml:space="preserve"> Diálogos Constitucionais</w:t>
      </w:r>
      <w:r>
        <w:rPr>
          <w:rFonts w:ascii="Times New Roman" w:hAnsi="Times New Roman"/>
        </w:rPr>
        <w:t xml:space="preserve">. </w:t>
      </w:r>
      <w:r w:rsidRPr="00113305">
        <w:rPr>
          <w:rFonts w:ascii="Times New Roman" w:hAnsi="Times New Roman"/>
          <w:i/>
        </w:rPr>
        <w:t>Op. Cit</w:t>
      </w:r>
      <w:r>
        <w:rPr>
          <w:rFonts w:ascii="Times New Roman" w:hAnsi="Times New Roman"/>
        </w:rPr>
        <w:t>. p. 115-117.</w:t>
      </w:r>
    </w:p>
  </w:footnote>
  <w:footnote w:id="67">
    <w:p w:rsidR="00D549BC" w:rsidRDefault="00D549BC" w:rsidP="00D22056">
      <w:pPr>
        <w:pStyle w:val="FootnoteText"/>
        <w:ind w:firstLine="0"/>
      </w:pPr>
      <w:r w:rsidRPr="00BE65EF">
        <w:rPr>
          <w:rStyle w:val="FootnoteReference"/>
          <w:rFonts w:ascii="Times New Roman" w:hAnsi="Times New Roman"/>
        </w:rPr>
        <w:footnoteRef/>
      </w:r>
      <w:r w:rsidRPr="00BE65EF">
        <w:rPr>
          <w:rFonts w:ascii="Times New Roman" w:hAnsi="Times New Roman"/>
        </w:rPr>
        <w:t xml:space="preserve"> </w:t>
      </w:r>
      <w:r>
        <w:rPr>
          <w:rFonts w:ascii="Times New Roman" w:hAnsi="Times New Roman"/>
        </w:rPr>
        <w:t>Ibid., p. 117.</w:t>
      </w:r>
    </w:p>
  </w:footnote>
  <w:footnote w:id="68">
    <w:p w:rsidR="00D549BC" w:rsidRDefault="00D549BC" w:rsidP="005208BB">
      <w:pPr>
        <w:pStyle w:val="FootnoteText"/>
        <w:ind w:firstLine="0"/>
      </w:pPr>
      <w:r w:rsidRPr="005208BB">
        <w:rPr>
          <w:rStyle w:val="FootnoteReference"/>
          <w:rFonts w:ascii="Times New Roman" w:hAnsi="Times New Roman"/>
        </w:rPr>
        <w:footnoteRef/>
      </w:r>
      <w:r w:rsidRPr="005208BB">
        <w:rPr>
          <w:rFonts w:ascii="Times New Roman" w:hAnsi="Times New Roman"/>
        </w:rPr>
        <w:t xml:space="preserve"> </w:t>
      </w:r>
      <w:r>
        <w:rPr>
          <w:rFonts w:ascii="Times New Roman" w:hAnsi="Times New Roman"/>
        </w:rPr>
        <w:t xml:space="preserve">Lenio Luiz Streck, em artigo publicado em 2012 no site “Os Constitucionalistas”, ao comentar sobre o clássico </w:t>
      </w:r>
      <w:r w:rsidRPr="00D93C93">
        <w:rPr>
          <w:rFonts w:ascii="Times New Roman" w:hAnsi="Times New Roman"/>
          <w:i/>
        </w:rPr>
        <w:t xml:space="preserve">O Supremo Tribunal, esse </w:t>
      </w:r>
      <w:r>
        <w:rPr>
          <w:rFonts w:ascii="Times New Roman" w:hAnsi="Times New Roman"/>
          <w:i/>
        </w:rPr>
        <w:t>o</w:t>
      </w:r>
      <w:r w:rsidRPr="00D93C93">
        <w:rPr>
          <w:rFonts w:ascii="Times New Roman" w:hAnsi="Times New Roman"/>
          <w:i/>
        </w:rPr>
        <w:t xml:space="preserve">utro </w:t>
      </w:r>
      <w:r>
        <w:rPr>
          <w:rFonts w:ascii="Times New Roman" w:hAnsi="Times New Roman"/>
          <w:i/>
        </w:rPr>
        <w:t>d</w:t>
      </w:r>
      <w:r w:rsidRPr="00D93C93">
        <w:rPr>
          <w:rFonts w:ascii="Times New Roman" w:hAnsi="Times New Roman"/>
          <w:i/>
        </w:rPr>
        <w:t>esconhecido</w:t>
      </w:r>
      <w:r>
        <w:rPr>
          <w:rFonts w:ascii="Times New Roman" w:hAnsi="Times New Roman"/>
        </w:rPr>
        <w:t>, de autoria de Aliomar Baleeiro, acabou por ratificar o ponto de vista defendido no presente tópico: “</w:t>
      </w:r>
      <w:r w:rsidRPr="00784E17">
        <w:rPr>
          <w:rFonts w:ascii="Times New Roman" w:hAnsi="Times New Roman"/>
        </w:rPr>
        <w:t>O segundo fator, mais fácil de ser reconhecido, deve-se</w:t>
      </w:r>
      <w:r>
        <w:rPr>
          <w:rFonts w:ascii="Times New Roman" w:hAnsi="Times New Roman"/>
        </w:rPr>
        <w:t xml:space="preserve"> à</w:t>
      </w:r>
      <w:r w:rsidRPr="00784E17">
        <w:rPr>
          <w:rFonts w:ascii="Times New Roman" w:hAnsi="Times New Roman"/>
        </w:rPr>
        <w:t xml:space="preserve"> intenção de Baleeiro de apresentar para a comunidade política esse Órgão que, na histór</w:t>
      </w:r>
      <w:r>
        <w:rPr>
          <w:rFonts w:ascii="Times New Roman" w:hAnsi="Times New Roman"/>
        </w:rPr>
        <w:t>ia brasileira, mantinha certa di</w:t>
      </w:r>
      <w:r w:rsidRPr="00784E17">
        <w:rPr>
          <w:rFonts w:ascii="Times New Roman" w:hAnsi="Times New Roman"/>
        </w:rPr>
        <w:t xml:space="preserve">scrição institucional até 1988. De se dizer, até 1988 – com um frágil sistema de fiscalização de constitucionalidade e sem efetiva democracia – o STF desempenhava um papel, até certo ponto, coadjuvante no cenário político nacional. No nosso contexto atual, a realidade é bem distinta. O STF protagoniza, diuturnamente, questões que afetam interesses políticos nacionais. Já não pode ser um “Outro Desconhecido”; mais do que isso, o Supremo Tribunal é hoje um “ex-desconhecido”. E isso decorre, em princípio – e há que se reconhecer isso – de um fator de consolidação de nossa democracia. Sendo mais claro: em uma democracia constitucional é necessário que exista um Judiciário forte, que funcione como efetivo garantidor dos direitos fundamentais e das regras do jogo político que são estatuídas pela Constituição. Nesse sentido, basta ver o que escreve Alexis de Tocqueville, em seu </w:t>
      </w:r>
      <w:r w:rsidRPr="00D93C93">
        <w:rPr>
          <w:rFonts w:ascii="Times New Roman" w:hAnsi="Times New Roman"/>
          <w:i/>
        </w:rPr>
        <w:t>A Democracia na América</w:t>
      </w:r>
      <w:r w:rsidRPr="00784E17">
        <w:rPr>
          <w:rFonts w:ascii="Times New Roman" w:hAnsi="Times New Roman"/>
        </w:rPr>
        <w:t>, sobre as funções da Suprema Corte e a democracia estadunidense</w:t>
      </w:r>
      <w:r>
        <w:rPr>
          <w:rFonts w:ascii="Times New Roman" w:hAnsi="Times New Roman"/>
        </w:rPr>
        <w:t xml:space="preserve"> (STRECK, Lenio Luiz. </w:t>
      </w:r>
      <w:r w:rsidRPr="00784E17">
        <w:rPr>
          <w:rFonts w:ascii="Times New Roman" w:hAnsi="Times New Roman"/>
          <w:b/>
        </w:rPr>
        <w:t>A PEC nº 3/2011 e o ex-desconhecido Supremo Tribunal Federal</w:t>
      </w:r>
      <w:r w:rsidRPr="00784E17">
        <w:rPr>
          <w:rFonts w:ascii="Times New Roman" w:hAnsi="Times New Roman"/>
        </w:rPr>
        <w:t>.</w:t>
      </w:r>
      <w:r>
        <w:rPr>
          <w:rFonts w:ascii="Times New Roman" w:hAnsi="Times New Roman"/>
        </w:rPr>
        <w:t xml:space="preserve"> Disponível em: </w:t>
      </w:r>
      <w:r w:rsidRPr="00D93C93">
        <w:rPr>
          <w:rFonts w:ascii="Times New Roman" w:hAnsi="Times New Roman"/>
        </w:rPr>
        <w:t>http://www.osconstitucionalistas.com.br/a-pec-no-32011-e-o-ex-desconhecido-supremo-tribunal-federal</w:t>
      </w:r>
      <w:r>
        <w:rPr>
          <w:rFonts w:ascii="Times New Roman" w:hAnsi="Times New Roman"/>
        </w:rPr>
        <w:t xml:space="preserve">. Acesso em: 20 mar. 2015). </w:t>
      </w:r>
    </w:p>
  </w:footnote>
  <w:footnote w:id="69">
    <w:p w:rsidR="00D549BC" w:rsidRDefault="00D549BC" w:rsidP="00D22056">
      <w:pPr>
        <w:pStyle w:val="FootnoteText"/>
        <w:ind w:firstLine="0"/>
      </w:pPr>
      <w:r w:rsidRPr="00190DF8">
        <w:rPr>
          <w:rStyle w:val="FootnoteReference"/>
          <w:rFonts w:ascii="Times New Roman" w:hAnsi="Times New Roman"/>
        </w:rPr>
        <w:footnoteRef/>
      </w:r>
      <w:r w:rsidRPr="00190DF8">
        <w:rPr>
          <w:rFonts w:ascii="Times New Roman" w:hAnsi="Times New Roman"/>
        </w:rPr>
        <w:t xml:space="preserve"> Art. 103. Podem propor a ação de inconstitucionalidade:</w:t>
      </w:r>
      <w:r>
        <w:rPr>
          <w:rFonts w:ascii="Times New Roman" w:hAnsi="Times New Roman"/>
        </w:rPr>
        <w:t xml:space="preserve"> </w:t>
      </w:r>
      <w:r w:rsidRPr="00190DF8">
        <w:rPr>
          <w:rFonts w:ascii="Times New Roman" w:hAnsi="Times New Roman"/>
        </w:rPr>
        <w:t>I - o Presidente da República;</w:t>
      </w:r>
      <w:r>
        <w:rPr>
          <w:rFonts w:ascii="Times New Roman" w:hAnsi="Times New Roman"/>
        </w:rPr>
        <w:t xml:space="preserve"> </w:t>
      </w:r>
      <w:r w:rsidRPr="00190DF8">
        <w:rPr>
          <w:rFonts w:ascii="Times New Roman" w:hAnsi="Times New Roman"/>
        </w:rPr>
        <w:t>II - a Mesa do Senado Federal;</w:t>
      </w:r>
      <w:r>
        <w:rPr>
          <w:rFonts w:ascii="Times New Roman" w:hAnsi="Times New Roman"/>
        </w:rPr>
        <w:t xml:space="preserve"> </w:t>
      </w:r>
      <w:r w:rsidRPr="00190DF8">
        <w:rPr>
          <w:rFonts w:ascii="Times New Roman" w:hAnsi="Times New Roman"/>
        </w:rPr>
        <w:t>III - a Mesa da Câmara dos Deputados;</w:t>
      </w:r>
      <w:r>
        <w:rPr>
          <w:rFonts w:ascii="Times New Roman" w:hAnsi="Times New Roman"/>
        </w:rPr>
        <w:t xml:space="preserve"> </w:t>
      </w:r>
      <w:r w:rsidRPr="00190DF8">
        <w:rPr>
          <w:rFonts w:ascii="Times New Roman" w:hAnsi="Times New Roman"/>
        </w:rPr>
        <w:t>IV - a Mesa de Assembleia Legislativa;</w:t>
      </w:r>
      <w:r>
        <w:rPr>
          <w:rFonts w:ascii="Times New Roman" w:hAnsi="Times New Roman"/>
        </w:rPr>
        <w:t xml:space="preserve"> </w:t>
      </w:r>
      <w:r w:rsidRPr="00190DF8">
        <w:rPr>
          <w:rFonts w:ascii="Times New Roman" w:hAnsi="Times New Roman"/>
        </w:rPr>
        <w:t>V - o Governador de Estado;</w:t>
      </w:r>
      <w:r>
        <w:rPr>
          <w:rFonts w:ascii="Times New Roman" w:hAnsi="Times New Roman"/>
        </w:rPr>
        <w:t xml:space="preserve"> VI - o Procurador-Geral da </w:t>
      </w:r>
      <w:r w:rsidRPr="00190DF8">
        <w:rPr>
          <w:rFonts w:ascii="Times New Roman" w:hAnsi="Times New Roman"/>
        </w:rPr>
        <w:t>República;</w:t>
      </w:r>
      <w:r>
        <w:rPr>
          <w:rFonts w:ascii="Times New Roman" w:hAnsi="Times New Roman"/>
        </w:rPr>
        <w:t xml:space="preserve"> </w:t>
      </w:r>
      <w:r w:rsidRPr="00190DF8">
        <w:rPr>
          <w:rFonts w:ascii="Times New Roman" w:hAnsi="Times New Roman"/>
        </w:rPr>
        <w:t>VII - o Conselho Federal da Ordem dos Advogados do Brasil;</w:t>
      </w:r>
      <w:r>
        <w:rPr>
          <w:rFonts w:ascii="Times New Roman" w:hAnsi="Times New Roman"/>
        </w:rPr>
        <w:t xml:space="preserve"> </w:t>
      </w:r>
      <w:r w:rsidRPr="00190DF8">
        <w:rPr>
          <w:rFonts w:ascii="Times New Roman" w:hAnsi="Times New Roman"/>
        </w:rPr>
        <w:t>VIII - partido político com representação no Congresso Nacional;</w:t>
      </w:r>
      <w:r>
        <w:rPr>
          <w:rFonts w:ascii="Times New Roman" w:hAnsi="Times New Roman"/>
        </w:rPr>
        <w:t xml:space="preserve"> </w:t>
      </w:r>
      <w:r w:rsidRPr="00190DF8">
        <w:rPr>
          <w:rFonts w:ascii="Times New Roman" w:hAnsi="Times New Roman"/>
        </w:rPr>
        <w:t>IX - confederação sindical ou entidade de classe de âmbito nacional.</w:t>
      </w:r>
    </w:p>
  </w:footnote>
  <w:footnote w:id="70">
    <w:p w:rsidR="00D549BC" w:rsidRDefault="00D549BC" w:rsidP="00D22056">
      <w:pPr>
        <w:pStyle w:val="FootnoteText"/>
        <w:ind w:firstLine="0"/>
      </w:pPr>
      <w:r w:rsidRPr="00190DF8">
        <w:rPr>
          <w:rStyle w:val="FootnoteReference"/>
          <w:rFonts w:ascii="Times New Roman" w:hAnsi="Times New Roman"/>
        </w:rPr>
        <w:footnoteRef/>
      </w:r>
      <w:r w:rsidRPr="00190DF8">
        <w:rPr>
          <w:rFonts w:ascii="Times New Roman" w:hAnsi="Times New Roman"/>
        </w:rPr>
        <w:t xml:space="preserve"> Art. 102. Compete ao Supremo Tribunal Federal, precipuamente, a guarda da Constituição, cabendo-lhe:</w:t>
      </w:r>
      <w:r>
        <w:rPr>
          <w:rFonts w:ascii="Times New Roman" w:hAnsi="Times New Roman"/>
        </w:rPr>
        <w:t xml:space="preserve"> </w:t>
      </w:r>
      <w:r w:rsidRPr="00190DF8">
        <w:rPr>
          <w:rFonts w:ascii="Times New Roman" w:hAnsi="Times New Roman"/>
        </w:rPr>
        <w:t>I - proce</w:t>
      </w:r>
      <w:r>
        <w:rPr>
          <w:rFonts w:ascii="Times New Roman" w:hAnsi="Times New Roman"/>
        </w:rPr>
        <w:t xml:space="preserve">ssar e julgar, originariamente: </w:t>
      </w:r>
      <w:r w:rsidRPr="00190DF8">
        <w:rPr>
          <w:rFonts w:ascii="Times New Roman" w:hAnsi="Times New Roman"/>
        </w:rPr>
        <w:t>a) a ação direta de inconstitucionalidade de lei ou ato normativo federal ou estadual;</w:t>
      </w:r>
    </w:p>
  </w:footnote>
  <w:footnote w:id="71">
    <w:p w:rsidR="00D549BC" w:rsidRDefault="00D549BC" w:rsidP="00D22056">
      <w:pPr>
        <w:pStyle w:val="FootnoteText"/>
        <w:ind w:firstLine="0"/>
      </w:pPr>
      <w:r w:rsidRPr="00190DF8">
        <w:rPr>
          <w:rStyle w:val="FootnoteReference"/>
          <w:rFonts w:ascii="Times New Roman" w:hAnsi="Times New Roman"/>
        </w:rPr>
        <w:footnoteRef/>
      </w:r>
      <w:r w:rsidRPr="00190DF8">
        <w:rPr>
          <w:rFonts w:ascii="Times New Roman" w:hAnsi="Times New Roman"/>
        </w:rPr>
        <w:t xml:space="preserve"> Parágrafo único. A arguição de descumprimento de preceito fundamental, decorrente desta Constituição, será apreciada pelo Supremo Tribunal Federal, na forma da lei.</w:t>
      </w:r>
    </w:p>
  </w:footnote>
  <w:footnote w:id="72">
    <w:p w:rsidR="00D549BC" w:rsidRDefault="00D549BC" w:rsidP="00D22056">
      <w:pPr>
        <w:pStyle w:val="FootnoteText"/>
        <w:ind w:firstLine="0"/>
      </w:pPr>
      <w:r w:rsidRPr="00867768">
        <w:rPr>
          <w:rStyle w:val="FootnoteReference"/>
          <w:rFonts w:ascii="Times New Roman" w:hAnsi="Times New Roman"/>
        </w:rPr>
        <w:footnoteRef/>
      </w:r>
      <w:r w:rsidRPr="00867768">
        <w:rPr>
          <w:rFonts w:ascii="Times New Roman" w:hAnsi="Times New Roman"/>
        </w:rPr>
        <w:t xml:space="preserve"> Art. 102. Compete ao Supremo Tribunal Federal, precipuamente, a guarda da Constituição, cabendo-lhe:</w:t>
      </w:r>
      <w:r>
        <w:rPr>
          <w:rFonts w:ascii="Times New Roman" w:hAnsi="Times New Roman"/>
        </w:rPr>
        <w:t xml:space="preserve"> </w:t>
      </w:r>
      <w:r w:rsidRPr="00867768">
        <w:rPr>
          <w:rFonts w:ascii="Times New Roman" w:hAnsi="Times New Roman"/>
        </w:rPr>
        <w:t>I - processar e julgar, originariamente:</w:t>
      </w:r>
      <w:r>
        <w:rPr>
          <w:rFonts w:ascii="Times New Roman" w:hAnsi="Times New Roman"/>
        </w:rPr>
        <w:t xml:space="preserve"> </w:t>
      </w:r>
      <w:r w:rsidRPr="00867768">
        <w:rPr>
          <w:rFonts w:ascii="Times New Roman" w:hAnsi="Times New Roman"/>
        </w:rPr>
        <w:t xml:space="preserve">a) a ação direta de inconstitucionalidade de lei ou ato normativo federal ou estadual e </w:t>
      </w:r>
      <w:r w:rsidRPr="00867768">
        <w:rPr>
          <w:rFonts w:ascii="Times New Roman" w:hAnsi="Times New Roman"/>
          <w:b/>
        </w:rPr>
        <w:t>a ação declaratória de constitucionalidade de lei ou ato normativo federal</w:t>
      </w:r>
      <w:r>
        <w:rPr>
          <w:rFonts w:ascii="Times New Roman" w:hAnsi="Times New Roman"/>
          <w:b/>
        </w:rPr>
        <w:t xml:space="preserve"> </w:t>
      </w:r>
      <w:r w:rsidRPr="00867768">
        <w:rPr>
          <w:rFonts w:ascii="Times New Roman" w:hAnsi="Times New Roman"/>
        </w:rPr>
        <w:t>(</w:t>
      </w:r>
      <w:r>
        <w:rPr>
          <w:rFonts w:ascii="Times New Roman" w:hAnsi="Times New Roman"/>
        </w:rPr>
        <w:t>grifos nossos</w:t>
      </w:r>
      <w:r w:rsidRPr="00867768">
        <w:rPr>
          <w:rFonts w:ascii="Times New Roman" w:hAnsi="Times New Roman"/>
        </w:rPr>
        <w:t>);</w:t>
      </w:r>
    </w:p>
  </w:footnote>
  <w:footnote w:id="73">
    <w:p w:rsidR="00D549BC" w:rsidRDefault="00D549BC" w:rsidP="00D22056">
      <w:pPr>
        <w:pStyle w:val="FootnoteText"/>
        <w:ind w:firstLine="0"/>
        <w:rPr>
          <w:rFonts w:ascii="Times New Roman" w:hAnsi="Times New Roman"/>
        </w:rPr>
      </w:pPr>
      <w:r w:rsidRPr="00867768">
        <w:rPr>
          <w:rStyle w:val="FootnoteReference"/>
          <w:rFonts w:ascii="Times New Roman" w:hAnsi="Times New Roman"/>
        </w:rPr>
        <w:footnoteRef/>
      </w:r>
      <w:r w:rsidRPr="00867768">
        <w:rPr>
          <w:rFonts w:ascii="Times New Roman" w:hAnsi="Times New Roman"/>
        </w:rPr>
        <w:t xml:space="preserve"> </w:t>
      </w:r>
      <w:r w:rsidRPr="00190DF8">
        <w:rPr>
          <w:rFonts w:ascii="Times New Roman" w:hAnsi="Times New Roman"/>
        </w:rPr>
        <w:t>Art. 103. Podem propor a ação de inconstitucionalidade:</w:t>
      </w:r>
      <w:r>
        <w:rPr>
          <w:rFonts w:ascii="Times New Roman" w:hAnsi="Times New Roman"/>
        </w:rPr>
        <w:t xml:space="preserve"> </w:t>
      </w:r>
    </w:p>
    <w:p w:rsidR="00D549BC" w:rsidRDefault="00D549BC" w:rsidP="00FF09E3">
      <w:pPr>
        <w:pStyle w:val="FootnoteText"/>
        <w:ind w:firstLine="0"/>
      </w:pPr>
      <w:r w:rsidRPr="00A16CC5">
        <w:rPr>
          <w:rFonts w:ascii="Times New Roman" w:hAnsi="Times New Roman"/>
        </w:rPr>
        <w:t>§ 4.º A ação declaratória de constitucionalidade poderá ser proposta pelo Presidente da República, pela Mesa do Senado Federal, pela Mesa da Câmara dos Deputados ou pelo Procurador-Geral da República.</w:t>
      </w:r>
    </w:p>
  </w:footnote>
  <w:footnote w:id="74">
    <w:p w:rsidR="00D549BC" w:rsidRDefault="00D549BC" w:rsidP="00184109">
      <w:pPr>
        <w:pStyle w:val="FootnoteText"/>
        <w:ind w:firstLine="0"/>
      </w:pPr>
      <w:r w:rsidRPr="00663CBC">
        <w:rPr>
          <w:rStyle w:val="FootnoteReference"/>
          <w:rFonts w:ascii="Times New Roman" w:hAnsi="Times New Roman"/>
        </w:rPr>
        <w:footnoteRef/>
      </w:r>
      <w:r w:rsidRPr="00663CBC">
        <w:rPr>
          <w:rFonts w:ascii="Times New Roman" w:hAnsi="Times New Roman"/>
        </w:rPr>
        <w:t xml:space="preserve"> </w:t>
      </w:r>
      <w:r>
        <w:rPr>
          <w:rFonts w:ascii="Times New Roman" w:hAnsi="Times New Roman"/>
        </w:rPr>
        <w:t xml:space="preserve">Oportuno esclarecer que, até 1988, o RE abarcava tanto as questões constitucionais quanto as infraconstitucionais, o que mudou a partir da criação do Superior Tribunal de Justiça e do Recurso Especial (Resp). Nesse sentido, diz Luís Roberto Barroso: “O recurso extraordinário, da tradição republicana brasileira, foi cindido, pela Constituição de 1988, em dois recursos distintos: o que conservou o nome de recurso extraordinário e o que passou a se denominar de recurso especial. Ao </w:t>
      </w:r>
      <w:r w:rsidRPr="00663CBC">
        <w:rPr>
          <w:rFonts w:ascii="Times New Roman" w:hAnsi="Times New Roman"/>
          <w:i/>
        </w:rPr>
        <w:t>recurso extraordinário</w:t>
      </w:r>
      <w:r>
        <w:rPr>
          <w:rFonts w:ascii="Times New Roman" w:hAnsi="Times New Roman"/>
        </w:rPr>
        <w:t xml:space="preserve">, de competência do Supremo Tribunal Federal e disciplinado no art. 102, III, do texto constitucional, ficaram reservadas as </w:t>
      </w:r>
      <w:r w:rsidRPr="00663CBC">
        <w:rPr>
          <w:rFonts w:ascii="Times New Roman" w:hAnsi="Times New Roman"/>
          <w:i/>
        </w:rPr>
        <w:t>questões constitucionais</w:t>
      </w:r>
      <w:r>
        <w:rPr>
          <w:rFonts w:ascii="Times New Roman" w:hAnsi="Times New Roman"/>
        </w:rPr>
        <w:t xml:space="preserve">. Ao </w:t>
      </w:r>
      <w:r w:rsidRPr="00663CBC">
        <w:rPr>
          <w:rFonts w:ascii="Times New Roman" w:hAnsi="Times New Roman"/>
          <w:i/>
        </w:rPr>
        <w:t>recurso especial</w:t>
      </w:r>
      <w:r>
        <w:rPr>
          <w:rFonts w:ascii="Times New Roman" w:hAnsi="Times New Roman"/>
        </w:rPr>
        <w:t xml:space="preserve">, de competência do Superior Tribunal de Justiça e regido pelo art. 105, III da Carta da República, tocou a discussão das </w:t>
      </w:r>
      <w:r w:rsidRPr="00663CBC">
        <w:rPr>
          <w:rFonts w:ascii="Times New Roman" w:hAnsi="Times New Roman"/>
          <w:i/>
        </w:rPr>
        <w:t>questões infraconstitucionais</w:t>
      </w:r>
      <w:r>
        <w:rPr>
          <w:rFonts w:ascii="Times New Roman" w:hAnsi="Times New Roman"/>
        </w:rPr>
        <w:t xml:space="preserve">” (BARROSO, Luís Roberto. </w:t>
      </w:r>
      <w:r w:rsidRPr="00184109">
        <w:rPr>
          <w:rFonts w:ascii="Times New Roman" w:hAnsi="Times New Roman"/>
          <w:b/>
        </w:rPr>
        <w:t>O Controle de Constitucionalidade no Direito Brasileiro</w:t>
      </w:r>
      <w:r w:rsidRPr="002A2B4E">
        <w:rPr>
          <w:rFonts w:ascii="Times New Roman" w:hAnsi="Times New Roman"/>
        </w:rPr>
        <w:t>.</w:t>
      </w:r>
      <w:r>
        <w:rPr>
          <w:rFonts w:ascii="Times New Roman" w:hAnsi="Times New Roman"/>
        </w:rPr>
        <w:t xml:space="preserve"> 6. ed., revista e atualizada. São Paulo: Saraiva, 2012, p. 125-126.)</w:t>
      </w:r>
    </w:p>
  </w:footnote>
  <w:footnote w:id="75">
    <w:p w:rsidR="00D549BC" w:rsidRDefault="00D549BC" w:rsidP="0052410A">
      <w:pPr>
        <w:pStyle w:val="FootnoteText"/>
        <w:ind w:firstLine="0"/>
      </w:pPr>
      <w:r w:rsidRPr="0052410A">
        <w:rPr>
          <w:rStyle w:val="FootnoteReference"/>
          <w:rFonts w:ascii="Times New Roman" w:hAnsi="Times New Roman"/>
        </w:rPr>
        <w:footnoteRef/>
      </w:r>
      <w:r w:rsidRPr="0052410A">
        <w:rPr>
          <w:rFonts w:ascii="Times New Roman" w:hAnsi="Times New Roman"/>
        </w:rPr>
        <w:t xml:space="preserve"> </w:t>
      </w:r>
      <w:r>
        <w:rPr>
          <w:rFonts w:ascii="Times New Roman" w:hAnsi="Times New Roman"/>
        </w:rPr>
        <w:t xml:space="preserve">V. nota de rodapé n. 52. </w:t>
      </w:r>
    </w:p>
  </w:footnote>
  <w:footnote w:id="76">
    <w:p w:rsidR="00D549BC" w:rsidRDefault="00D549BC" w:rsidP="00C00F9A">
      <w:pPr>
        <w:pStyle w:val="FootnoteText"/>
        <w:ind w:firstLine="0"/>
      </w:pPr>
      <w:r w:rsidRPr="00C00F9A">
        <w:rPr>
          <w:rStyle w:val="FootnoteReference"/>
          <w:rFonts w:ascii="Times New Roman" w:hAnsi="Times New Roman"/>
        </w:rPr>
        <w:footnoteRef/>
      </w:r>
      <w:r w:rsidRPr="00C00F9A">
        <w:rPr>
          <w:rFonts w:ascii="Times New Roman" w:hAnsi="Times New Roman"/>
        </w:rPr>
        <w:t xml:space="preserve"> </w:t>
      </w:r>
      <w:r>
        <w:rPr>
          <w:rFonts w:ascii="Times New Roman" w:hAnsi="Times New Roman"/>
        </w:rPr>
        <w:t xml:space="preserve">A primeira medida adotada pelo STF com base no artigo 119, parágrafo único da Constituição de 1967-69, veio por meio da Emenda Regimental nº 3, de 12 de junho de 1975, que alterou o artigo 308 do Regimento Interno do STF e passou a restringir o cabimento do RE aos casos de “ofensa à Constituição ou relevância da questão federal”. O estudo da arguição de relevância da questão federal será melhor detalhado ao longo do presente trabalho, em momento oportuno.  </w:t>
      </w:r>
    </w:p>
  </w:footnote>
  <w:footnote w:id="77">
    <w:p w:rsidR="00D549BC" w:rsidRDefault="00D549BC" w:rsidP="007B0F35">
      <w:pPr>
        <w:pStyle w:val="FootnoteText"/>
        <w:ind w:firstLine="0"/>
      </w:pPr>
      <w:r w:rsidRPr="007B0F35">
        <w:rPr>
          <w:rStyle w:val="FootnoteReference"/>
          <w:rFonts w:ascii="Times New Roman" w:hAnsi="Times New Roman"/>
        </w:rPr>
        <w:footnoteRef/>
      </w:r>
      <w:r w:rsidRPr="007B0F35">
        <w:rPr>
          <w:rFonts w:ascii="Times New Roman" w:hAnsi="Times New Roman"/>
        </w:rPr>
        <w:t xml:space="preserve"> Art. 102. Compete ao Supremo Tribunal Federal, precipuamente, a guarda da Constituição, cabendo-lhe:</w:t>
      </w:r>
      <w:r w:rsidRPr="007B0F35">
        <w:t xml:space="preserve"> </w:t>
      </w:r>
    </w:p>
    <w:p w:rsidR="00D549BC" w:rsidRPr="007B0F35" w:rsidRDefault="00D549BC" w:rsidP="007B0F35">
      <w:pPr>
        <w:pStyle w:val="FootnoteText"/>
        <w:ind w:firstLine="0"/>
        <w:rPr>
          <w:rFonts w:ascii="Times New Roman" w:hAnsi="Times New Roman"/>
        </w:rPr>
      </w:pPr>
      <w:r w:rsidRPr="007B0F35">
        <w:rPr>
          <w:rFonts w:ascii="Times New Roman" w:hAnsi="Times New Roman"/>
        </w:rPr>
        <w:t>III - julgar, mediante recurso extraordinário, as causas decididas em única ou última instância, quando a decisão recorrida:</w:t>
      </w:r>
      <w:r>
        <w:rPr>
          <w:rFonts w:ascii="Times New Roman" w:hAnsi="Times New Roman"/>
        </w:rPr>
        <w:t xml:space="preserve"> </w:t>
      </w:r>
      <w:r w:rsidRPr="007B0F35">
        <w:rPr>
          <w:rFonts w:ascii="Times New Roman" w:hAnsi="Times New Roman"/>
        </w:rPr>
        <w:t>a) contrariar dispositivo desta Constituição;</w:t>
      </w:r>
      <w:r>
        <w:rPr>
          <w:rFonts w:ascii="Times New Roman" w:hAnsi="Times New Roman"/>
        </w:rPr>
        <w:t xml:space="preserve"> </w:t>
      </w:r>
      <w:r w:rsidRPr="007B0F35">
        <w:rPr>
          <w:rFonts w:ascii="Times New Roman" w:hAnsi="Times New Roman"/>
        </w:rPr>
        <w:t>b) declarar a inconstitucionalidade de tratado ou lei federal;</w:t>
      </w:r>
      <w:r>
        <w:rPr>
          <w:rFonts w:ascii="Times New Roman" w:hAnsi="Times New Roman"/>
        </w:rPr>
        <w:t xml:space="preserve"> </w:t>
      </w:r>
    </w:p>
    <w:p w:rsidR="00D549BC" w:rsidRDefault="00D549BC" w:rsidP="007B0F35">
      <w:pPr>
        <w:pStyle w:val="FootnoteText"/>
        <w:ind w:firstLine="0"/>
      </w:pPr>
      <w:r w:rsidRPr="007B0F35">
        <w:rPr>
          <w:rFonts w:ascii="Times New Roman" w:hAnsi="Times New Roman"/>
        </w:rPr>
        <w:t>c) julgar válida lei ou ato de governo local contes</w:t>
      </w:r>
      <w:r>
        <w:rPr>
          <w:rFonts w:ascii="Times New Roman" w:hAnsi="Times New Roman"/>
        </w:rPr>
        <w:t xml:space="preserve">tado em face desta Constituição; </w:t>
      </w:r>
      <w:r w:rsidRPr="00220246">
        <w:rPr>
          <w:rFonts w:ascii="Times New Roman" w:hAnsi="Times New Roman"/>
          <w:i/>
        </w:rPr>
        <w:t>d) julgar válida lei local contestada em face de lei federal</w:t>
      </w:r>
      <w:r>
        <w:rPr>
          <w:rFonts w:ascii="Times New Roman" w:hAnsi="Times New Roman"/>
        </w:rPr>
        <w:t xml:space="preserve"> (sem grifo no original). </w:t>
      </w:r>
    </w:p>
  </w:footnote>
  <w:footnote w:id="78">
    <w:p w:rsidR="00D549BC" w:rsidRDefault="00D549BC" w:rsidP="00220246">
      <w:pPr>
        <w:pStyle w:val="FootnoteText"/>
        <w:ind w:firstLine="0"/>
      </w:pPr>
      <w:r w:rsidRPr="00220246">
        <w:rPr>
          <w:rStyle w:val="FootnoteReference"/>
          <w:rFonts w:ascii="Times New Roman" w:hAnsi="Times New Roman"/>
        </w:rPr>
        <w:footnoteRef/>
      </w:r>
      <w:r w:rsidRPr="00220246">
        <w:rPr>
          <w:rFonts w:ascii="Times New Roman" w:hAnsi="Times New Roman"/>
        </w:rPr>
        <w:t xml:space="preserve"> </w:t>
      </w:r>
      <w:r>
        <w:rPr>
          <w:rFonts w:ascii="Times New Roman" w:hAnsi="Times New Roman"/>
        </w:rPr>
        <w:t xml:space="preserve">Art. 102, III, </w:t>
      </w:r>
      <w:r w:rsidRPr="00220246">
        <w:rPr>
          <w:rFonts w:ascii="Times New Roman" w:hAnsi="Times New Roman"/>
        </w:rPr>
        <w:t>§ 3º</w:t>
      </w:r>
      <w:r>
        <w:rPr>
          <w:rFonts w:ascii="Times New Roman" w:hAnsi="Times New Roman"/>
        </w:rPr>
        <w:t>:</w:t>
      </w:r>
      <w:r w:rsidRPr="00220246">
        <w:rPr>
          <w:rFonts w:ascii="Times New Roman" w:hAnsi="Times New Roman"/>
        </w:rPr>
        <w:t xml:space="preserve"> No recurso extraordinário</w:t>
      </w:r>
      <w:r>
        <w:rPr>
          <w:rFonts w:ascii="Times New Roman" w:hAnsi="Times New Roman"/>
        </w:rPr>
        <w:t>,</w:t>
      </w:r>
      <w:r w:rsidRPr="00220246">
        <w:rPr>
          <w:rFonts w:ascii="Times New Roman" w:hAnsi="Times New Roman"/>
        </w:rPr>
        <w:t xml:space="preserve"> o recorrente deverá demonstrar a repercussão geral das questões constitucionais discutidas no caso, nos termos da lei, a fim de que o Tribunal examine a admissão do recurso, somente podendo recusá-lo pela manifestação de dois terços de seus membros. </w:t>
      </w:r>
    </w:p>
  </w:footnote>
  <w:footnote w:id="79">
    <w:p w:rsidR="00D549BC" w:rsidRPr="00220246" w:rsidRDefault="00D549BC" w:rsidP="00220246">
      <w:pPr>
        <w:pStyle w:val="FootnoteText"/>
        <w:ind w:firstLine="0"/>
        <w:rPr>
          <w:rFonts w:ascii="Times New Roman" w:hAnsi="Times New Roman"/>
        </w:rPr>
      </w:pPr>
      <w:r w:rsidRPr="00220246">
        <w:rPr>
          <w:rStyle w:val="FootnoteReference"/>
          <w:rFonts w:ascii="Times New Roman" w:hAnsi="Times New Roman"/>
        </w:rPr>
        <w:footnoteRef/>
      </w:r>
      <w:r w:rsidRPr="00220246">
        <w:rPr>
          <w:rFonts w:ascii="Times New Roman" w:hAnsi="Times New Roman"/>
        </w:rPr>
        <w:t xml:space="preserve"> Art. 103-A. O Supremo Tribunal Federal poderá, de ofício ou por provocação, mediante decisão de dois terços dos seus membros, após reiteradas decisões sobre matéria constitucional, aprovar súmula que, a partir de sua publicação na imprensa oficial, terá efeito vinculante em relação aos demais órgãos do Poder Judiciário e à administração pública direta e indireta, nas esferas federal, estadual e municipal, bem como proceder à sua revisão ou cancelamento, na forma estabelecida em lei. </w:t>
      </w:r>
    </w:p>
    <w:p w:rsidR="00D549BC" w:rsidRPr="00220246" w:rsidRDefault="00D549BC" w:rsidP="00220246">
      <w:pPr>
        <w:pStyle w:val="FootnoteText"/>
        <w:ind w:firstLine="0"/>
        <w:rPr>
          <w:rFonts w:ascii="Times New Roman" w:hAnsi="Times New Roman"/>
        </w:rPr>
      </w:pPr>
      <w:r w:rsidRPr="00220246">
        <w:rPr>
          <w:rFonts w:ascii="Times New Roman" w:hAnsi="Times New Roman"/>
        </w:rPr>
        <w:t xml:space="preserve">§ 1º A súmula terá por objetivo a validade, a interpretação e a eficácia de normas determinadas, acerca das quais haja controvérsia atual entre órgãos judiciários ou entre esses e a administração pública que acarrete grave insegurança jurídica e relevante multiplicação de processos sobre questão idêntica. </w:t>
      </w:r>
    </w:p>
    <w:p w:rsidR="00D549BC" w:rsidRPr="00220246" w:rsidRDefault="00D549BC" w:rsidP="00220246">
      <w:pPr>
        <w:pStyle w:val="FootnoteText"/>
        <w:ind w:firstLine="0"/>
        <w:rPr>
          <w:rFonts w:ascii="Times New Roman" w:hAnsi="Times New Roman"/>
        </w:rPr>
      </w:pPr>
      <w:r w:rsidRPr="00220246">
        <w:rPr>
          <w:rFonts w:ascii="Times New Roman" w:hAnsi="Times New Roman"/>
        </w:rPr>
        <w:t>§ 2º Sem prejuízo do que vier a ser estabelecido em lei, a aprovação, revisão ou cancelamento de súmula poderá ser provocada por aqueles que podem propor a ação d</w:t>
      </w:r>
      <w:r>
        <w:rPr>
          <w:rFonts w:ascii="Times New Roman" w:hAnsi="Times New Roman"/>
        </w:rPr>
        <w:t>ireta de inconstitucionalidade.</w:t>
      </w:r>
    </w:p>
    <w:p w:rsidR="00D549BC" w:rsidRDefault="00D549BC" w:rsidP="00220246">
      <w:pPr>
        <w:pStyle w:val="FootnoteText"/>
        <w:ind w:firstLine="0"/>
      </w:pPr>
      <w:r w:rsidRPr="00220246">
        <w:rPr>
          <w:rFonts w:ascii="Times New Roman" w:hAnsi="Times New Roman"/>
        </w:rPr>
        <w:t>§ 3º Do ato administrativo ou decisão judicial que contrariar a súmula aplicável ou que indevidamente a aplicar, caberá reclamação ao Supremo Tribunal Federal que, julgando-a procedente, anulará o ato administrativo ou cassará a decisão judicial reclamada, e determinará que outra seja proferida com ou sem a aplica</w:t>
      </w:r>
      <w:r>
        <w:rPr>
          <w:rFonts w:ascii="Times New Roman" w:hAnsi="Times New Roman"/>
        </w:rPr>
        <w:t>ção da súmula, conforme o caso.</w:t>
      </w:r>
    </w:p>
  </w:footnote>
  <w:footnote w:id="80">
    <w:p w:rsidR="00D549BC" w:rsidRDefault="00D549BC" w:rsidP="00272F44">
      <w:pPr>
        <w:pStyle w:val="FootnoteText"/>
        <w:ind w:firstLine="0"/>
      </w:pPr>
      <w:r w:rsidRPr="001D51D6">
        <w:rPr>
          <w:rStyle w:val="FootnoteReference"/>
          <w:rFonts w:ascii="Times New Roman" w:hAnsi="Times New Roman"/>
        </w:rPr>
        <w:footnoteRef/>
      </w:r>
      <w:r w:rsidRPr="001D51D6">
        <w:rPr>
          <w:rFonts w:ascii="Times New Roman" w:hAnsi="Times New Roman"/>
        </w:rPr>
        <w:t xml:space="preserve"> </w:t>
      </w:r>
      <w:r>
        <w:rPr>
          <w:rFonts w:ascii="Times New Roman" w:hAnsi="Times New Roman"/>
        </w:rPr>
        <w:t>Não olvidamos, contudo, dos avanços que o STF proporcionou ao país nos últimos 26 anos de Constituição. Segundo Luís Roberto Barroso: “</w:t>
      </w:r>
      <w:r w:rsidRPr="001D51D6">
        <w:rPr>
          <w:rFonts w:ascii="Times New Roman" w:hAnsi="Times New Roman"/>
        </w:rPr>
        <w:t>Sob a Constituição de 1988, o Supremo Tribunal Federal tem</w:t>
      </w:r>
      <w:r>
        <w:rPr>
          <w:rFonts w:ascii="Times New Roman" w:hAnsi="Times New Roman"/>
        </w:rPr>
        <w:t xml:space="preserve"> </w:t>
      </w:r>
      <w:r w:rsidRPr="001D51D6">
        <w:rPr>
          <w:rFonts w:ascii="Times New Roman" w:hAnsi="Times New Roman"/>
        </w:rPr>
        <w:t>prestado bons serviços à democracia brasileira e à sua consolidação institucional. Nos</w:t>
      </w:r>
      <w:r>
        <w:rPr>
          <w:rFonts w:ascii="Times New Roman" w:hAnsi="Times New Roman"/>
        </w:rPr>
        <w:t xml:space="preserve"> </w:t>
      </w:r>
      <w:r w:rsidRPr="001D51D6">
        <w:rPr>
          <w:rFonts w:ascii="Times New Roman" w:hAnsi="Times New Roman"/>
        </w:rPr>
        <w:t>momentos importantes, ele tem sido um bom guardião dos direitos fundamentais e das</w:t>
      </w:r>
      <w:r>
        <w:rPr>
          <w:rFonts w:ascii="Times New Roman" w:hAnsi="Times New Roman"/>
        </w:rPr>
        <w:t xml:space="preserve"> </w:t>
      </w:r>
      <w:r w:rsidRPr="001D51D6">
        <w:rPr>
          <w:rFonts w:ascii="Times New Roman" w:hAnsi="Times New Roman"/>
        </w:rPr>
        <w:t>regras do jogo democrático. Tal avaliação, que pode ser demonstrada com muitos dados</w:t>
      </w:r>
      <w:r>
        <w:rPr>
          <w:rFonts w:ascii="Times New Roman" w:hAnsi="Times New Roman"/>
        </w:rPr>
        <w:t xml:space="preserve"> </w:t>
      </w:r>
      <w:r w:rsidRPr="001D51D6">
        <w:rPr>
          <w:rFonts w:ascii="Times New Roman" w:hAnsi="Times New Roman"/>
        </w:rPr>
        <w:t>objetivos, é confirmada pela percepção social positiva que o tribunal desfruta. Sem</w:t>
      </w:r>
      <w:r>
        <w:rPr>
          <w:rFonts w:ascii="Times New Roman" w:hAnsi="Times New Roman"/>
        </w:rPr>
        <w:t xml:space="preserve"> </w:t>
      </w:r>
      <w:r w:rsidRPr="001D51D6">
        <w:rPr>
          <w:rFonts w:ascii="Times New Roman" w:hAnsi="Times New Roman"/>
        </w:rPr>
        <w:t>unanimidade, naturalmente, pois um tribunal não poderá jamais agradar a todos</w:t>
      </w:r>
      <w:r>
        <w:rPr>
          <w:rFonts w:ascii="Times New Roman" w:hAnsi="Times New Roman"/>
        </w:rPr>
        <w:t xml:space="preserve"> </w:t>
      </w:r>
      <w:r w:rsidRPr="001D51D6">
        <w:rPr>
          <w:rFonts w:ascii="Times New Roman" w:hAnsi="Times New Roman"/>
        </w:rPr>
        <w:t>simultaneamente. Uma corte constitucional existe para resguardar a Constituição e o</w:t>
      </w:r>
      <w:r>
        <w:rPr>
          <w:rFonts w:ascii="Times New Roman" w:hAnsi="Times New Roman"/>
        </w:rPr>
        <w:t xml:space="preserve"> </w:t>
      </w:r>
      <w:r w:rsidRPr="001D51D6">
        <w:rPr>
          <w:rFonts w:ascii="Times New Roman" w:hAnsi="Times New Roman"/>
        </w:rPr>
        <w:t>Estado de direito, mesmo quando a fidelidade a determinados valores contrarie a paixão</w:t>
      </w:r>
      <w:r>
        <w:rPr>
          <w:rFonts w:ascii="Times New Roman" w:hAnsi="Times New Roman"/>
        </w:rPr>
        <w:t xml:space="preserve"> </w:t>
      </w:r>
      <w:r w:rsidRPr="001D51D6">
        <w:rPr>
          <w:rFonts w:ascii="Times New Roman" w:hAnsi="Times New Roman"/>
        </w:rPr>
        <w:t>eventual das multidões ou de grupos de interesse organizados. A verdade, porém, é que as</w:t>
      </w:r>
      <w:r>
        <w:rPr>
          <w:rFonts w:ascii="Times New Roman" w:hAnsi="Times New Roman"/>
        </w:rPr>
        <w:t xml:space="preserve"> </w:t>
      </w:r>
      <w:r w:rsidRPr="001D51D6">
        <w:rPr>
          <w:rFonts w:ascii="Times New Roman" w:hAnsi="Times New Roman"/>
        </w:rPr>
        <w:t>cortes supremas têm sido eficientes em conciliar a interpretação do sentimento social</w:t>
      </w:r>
      <w:r>
        <w:rPr>
          <w:rFonts w:ascii="Times New Roman" w:hAnsi="Times New Roman"/>
        </w:rPr>
        <w:t xml:space="preserve"> </w:t>
      </w:r>
      <w:r w:rsidRPr="001D51D6">
        <w:rPr>
          <w:rFonts w:ascii="Times New Roman" w:hAnsi="Times New Roman"/>
        </w:rPr>
        <w:t>dominante com uma pauta de avanços sociais moderados, o que lhes têm rendido um</w:t>
      </w:r>
      <w:r>
        <w:rPr>
          <w:rFonts w:ascii="Times New Roman" w:hAnsi="Times New Roman"/>
        </w:rPr>
        <w:t xml:space="preserve"> </w:t>
      </w:r>
      <w:r w:rsidRPr="001D51D6">
        <w:rPr>
          <w:rFonts w:ascii="Times New Roman" w:hAnsi="Times New Roman"/>
        </w:rPr>
        <w:t>protagonismo improvável, no Brasil e no mundo</w:t>
      </w:r>
      <w:r>
        <w:rPr>
          <w:rFonts w:ascii="Times New Roman" w:hAnsi="Times New Roman"/>
        </w:rPr>
        <w:t xml:space="preserve">” (BARROSO, Luis Roberto. </w:t>
      </w:r>
      <w:r w:rsidRPr="003C6591">
        <w:rPr>
          <w:rFonts w:ascii="Times New Roman" w:hAnsi="Times New Roman"/>
          <w:b/>
        </w:rPr>
        <w:t>Reflexões sobre as Competências e o Funcionamento do Supremo Tribunal Federal</w:t>
      </w:r>
      <w:r>
        <w:rPr>
          <w:rFonts w:ascii="Times New Roman" w:hAnsi="Times New Roman"/>
        </w:rPr>
        <w:t xml:space="preserve">. Disponível em: </w:t>
      </w:r>
      <w:r w:rsidRPr="003315A8">
        <w:rPr>
          <w:rFonts w:ascii="Times New Roman" w:hAnsi="Times New Roman"/>
        </w:rPr>
        <w:t>http://www.luisrobertobarroso.com.br/?p=1087</w:t>
      </w:r>
      <w:r>
        <w:rPr>
          <w:rFonts w:ascii="Times New Roman" w:hAnsi="Times New Roman"/>
        </w:rPr>
        <w:t>. Acesso em: 8 out. 2014).</w:t>
      </w:r>
    </w:p>
  </w:footnote>
  <w:footnote w:id="81">
    <w:p w:rsidR="00D549BC" w:rsidRDefault="00D549BC" w:rsidP="008F3CB4">
      <w:pPr>
        <w:pStyle w:val="FootnoteText"/>
        <w:ind w:firstLine="0"/>
      </w:pPr>
      <w:r w:rsidRPr="00F620B5">
        <w:rPr>
          <w:rStyle w:val="FootnoteReference"/>
          <w:rFonts w:ascii="Times New Roman" w:hAnsi="Times New Roman"/>
        </w:rPr>
        <w:footnoteRef/>
      </w:r>
      <w:r w:rsidRPr="00F620B5">
        <w:rPr>
          <w:rFonts w:ascii="Times New Roman" w:hAnsi="Times New Roman"/>
        </w:rPr>
        <w:t xml:space="preserve"> </w:t>
      </w:r>
      <w:r>
        <w:rPr>
          <w:rFonts w:ascii="Times New Roman" w:hAnsi="Times New Roman"/>
        </w:rPr>
        <w:t>O Projeto Supremo em Números da FGV-Rio, apresentados em seu I Relatório, dá conta de que entre 1988 e 2009 o Supremo Tribunal Federal recebeu, entre Recursos Extraordinários (RE) e Agravos de Instrumento (AI) – contados os recursos com e sem preliminar de repercussão geral –, 1.120.597 (um milhão cento e vinte mil e quinhentos e noventa e sete) processos, o que representa quase 92% dos casos que foram analisados pelo Projeto no período mencionado. Segundo o I Relatório: “</w:t>
      </w:r>
      <w:r w:rsidRPr="008F3CB4">
        <w:rPr>
          <w:rFonts w:ascii="Times New Roman" w:hAnsi="Times New Roman"/>
        </w:rPr>
        <w:t xml:space="preserve">A absoluta maioria dos processos </w:t>
      </w:r>
      <w:r>
        <w:rPr>
          <w:rFonts w:ascii="Times New Roman" w:hAnsi="Times New Roman"/>
        </w:rPr>
        <w:t>recebidos pelo Supremo origina-</w:t>
      </w:r>
      <w:r w:rsidRPr="008F3CB4">
        <w:rPr>
          <w:rFonts w:ascii="Times New Roman" w:hAnsi="Times New Roman"/>
        </w:rPr>
        <w:t>se da Corte Recursal, correspondendo a quase 92% dos casos de 1988</w:t>
      </w:r>
      <w:r>
        <w:rPr>
          <w:rFonts w:ascii="Times New Roman" w:hAnsi="Times New Roman"/>
        </w:rPr>
        <w:t xml:space="preserve"> </w:t>
      </w:r>
      <w:r w:rsidRPr="008F3CB4">
        <w:rPr>
          <w:rFonts w:ascii="Times New Roman" w:hAnsi="Times New Roman"/>
        </w:rPr>
        <w:t xml:space="preserve">até 2009. Quantitativamente, portanto, o Supremo não é uma </w:t>
      </w:r>
      <w:r>
        <w:rPr>
          <w:rFonts w:ascii="Times New Roman" w:hAnsi="Times New Roman"/>
        </w:rPr>
        <w:t>‘</w:t>
      </w:r>
      <w:r w:rsidRPr="008F3CB4">
        <w:rPr>
          <w:rFonts w:ascii="Times New Roman" w:hAnsi="Times New Roman"/>
        </w:rPr>
        <w:t>corte</w:t>
      </w:r>
      <w:r>
        <w:rPr>
          <w:rFonts w:ascii="Times New Roman" w:hAnsi="Times New Roman"/>
        </w:rPr>
        <w:t xml:space="preserve"> constitucional’</w:t>
      </w:r>
      <w:r w:rsidRPr="008F3CB4">
        <w:rPr>
          <w:rFonts w:ascii="Times New Roman" w:hAnsi="Times New Roman"/>
        </w:rPr>
        <w:t xml:space="preserve"> no sentido original em que esse tipo de instituição foi</w:t>
      </w:r>
      <w:r>
        <w:rPr>
          <w:rFonts w:ascii="Times New Roman" w:hAnsi="Times New Roman"/>
        </w:rPr>
        <w:t xml:space="preserve"> </w:t>
      </w:r>
      <w:r w:rsidRPr="008F3CB4">
        <w:rPr>
          <w:rFonts w:ascii="Times New Roman" w:hAnsi="Times New Roman"/>
        </w:rPr>
        <w:t>pensada. Em números absolutos, está muito mais próximo de uma</w:t>
      </w:r>
      <w:r>
        <w:rPr>
          <w:rFonts w:ascii="Times New Roman" w:hAnsi="Times New Roman"/>
        </w:rPr>
        <w:t xml:space="preserve"> ‘corte recursal suprema’</w:t>
      </w:r>
      <w:r w:rsidRPr="008F3CB4">
        <w:rPr>
          <w:rFonts w:ascii="Times New Roman" w:hAnsi="Times New Roman"/>
        </w:rPr>
        <w:t>. Não é uma corte que escolhe o que julga</w:t>
      </w:r>
      <w:r>
        <w:rPr>
          <w:rFonts w:ascii="Times New Roman" w:hAnsi="Times New Roman"/>
        </w:rPr>
        <w:t xml:space="preserve"> </w:t>
      </w:r>
      <w:r w:rsidRPr="008F3CB4">
        <w:rPr>
          <w:rFonts w:ascii="Times New Roman" w:hAnsi="Times New Roman"/>
        </w:rPr>
        <w:t>fundamental julgar. É antes uma corte escolhida pela parte. Não constrói</w:t>
      </w:r>
      <w:r>
        <w:rPr>
          <w:rFonts w:ascii="Times New Roman" w:hAnsi="Times New Roman"/>
        </w:rPr>
        <w:t xml:space="preserve"> </w:t>
      </w:r>
      <w:r w:rsidRPr="008F3CB4">
        <w:rPr>
          <w:rFonts w:ascii="Times New Roman" w:hAnsi="Times New Roman"/>
        </w:rPr>
        <w:t>seu destino. Seu destino lhe é construído por cada recurso que lhe</w:t>
      </w:r>
      <w:r>
        <w:rPr>
          <w:rFonts w:ascii="Times New Roman" w:hAnsi="Times New Roman"/>
        </w:rPr>
        <w:t xml:space="preserve"> </w:t>
      </w:r>
      <w:r w:rsidRPr="008F3CB4">
        <w:rPr>
          <w:rFonts w:ascii="Times New Roman" w:hAnsi="Times New Roman"/>
        </w:rPr>
        <w:t>chega por deliberação alheia, de terceiros</w:t>
      </w:r>
      <w:r>
        <w:rPr>
          <w:rFonts w:ascii="Times New Roman" w:hAnsi="Times New Roman"/>
        </w:rPr>
        <w:t>” (</w:t>
      </w:r>
      <w:r w:rsidRPr="00646E35">
        <w:rPr>
          <w:rFonts w:ascii="Times New Roman" w:hAnsi="Times New Roman"/>
        </w:rPr>
        <w:t>Disponível em: http://bibliotecadigital.fgv.br/dspace/handle/10438/10312. Acesso em: 9 set. 2014).</w:t>
      </w:r>
      <w:r>
        <w:rPr>
          <w:rFonts w:ascii="Times New Roman" w:hAnsi="Times New Roman"/>
        </w:rPr>
        <w:t xml:space="preserve"> </w:t>
      </w:r>
    </w:p>
  </w:footnote>
  <w:footnote w:id="82">
    <w:p w:rsidR="00D549BC" w:rsidRDefault="00D549BC" w:rsidP="00AE78E3">
      <w:pPr>
        <w:pStyle w:val="FootnoteText"/>
        <w:ind w:firstLine="0"/>
      </w:pPr>
      <w:r w:rsidRPr="00AE78E3">
        <w:rPr>
          <w:rStyle w:val="FootnoteReference"/>
          <w:rFonts w:ascii="Times New Roman" w:hAnsi="Times New Roman"/>
        </w:rPr>
        <w:footnoteRef/>
      </w:r>
      <w:r>
        <w:rPr>
          <w:rFonts w:ascii="Times New Roman" w:hAnsi="Times New Roman"/>
        </w:rPr>
        <w:t xml:space="preserve"> </w:t>
      </w:r>
      <w:r w:rsidRPr="00AE78E3">
        <w:rPr>
          <w:rFonts w:ascii="Times New Roman" w:hAnsi="Times New Roman"/>
        </w:rPr>
        <w:t>Tem-se hoje um rol bastante extenso dos casos de competência originária da Corte (artigo 102,</w:t>
      </w:r>
      <w:r>
        <w:rPr>
          <w:rFonts w:ascii="Times New Roman" w:hAnsi="Times New Roman"/>
        </w:rPr>
        <w:t xml:space="preserve"> </w:t>
      </w:r>
      <w:r w:rsidRPr="00AE78E3">
        <w:rPr>
          <w:rFonts w:ascii="Times New Roman" w:hAnsi="Times New Roman"/>
        </w:rPr>
        <w:t xml:space="preserve">inciso I, alíneas </w:t>
      </w:r>
      <w:r w:rsidRPr="00AE78E3">
        <w:rPr>
          <w:rFonts w:ascii="Times New Roman" w:hAnsi="Times New Roman"/>
          <w:i/>
        </w:rPr>
        <w:t>a</w:t>
      </w:r>
      <w:r w:rsidRPr="00AE78E3">
        <w:rPr>
          <w:rFonts w:ascii="Times New Roman" w:hAnsi="Times New Roman"/>
        </w:rPr>
        <w:t xml:space="preserve"> até </w:t>
      </w:r>
      <w:r w:rsidRPr="00AE78E3">
        <w:rPr>
          <w:rFonts w:ascii="Times New Roman" w:hAnsi="Times New Roman"/>
          <w:i/>
        </w:rPr>
        <w:t>r</w:t>
      </w:r>
      <w:r w:rsidRPr="00AE78E3">
        <w:rPr>
          <w:rFonts w:ascii="Times New Roman" w:hAnsi="Times New Roman"/>
        </w:rPr>
        <w:t>). Aliado a esse fator, existem dois outros elementos complicadores, destacados</w:t>
      </w:r>
      <w:r>
        <w:rPr>
          <w:rFonts w:ascii="Times New Roman" w:hAnsi="Times New Roman"/>
        </w:rPr>
        <w:t xml:space="preserve"> </w:t>
      </w:r>
      <w:r w:rsidRPr="00AE78E3">
        <w:rPr>
          <w:rFonts w:ascii="Times New Roman" w:hAnsi="Times New Roman"/>
        </w:rPr>
        <w:t>por HÉLCIO ALVES DE ASSUMPÇÃO: “Para a solução do problema certamente não terá trazido a mínima</w:t>
      </w:r>
      <w:r>
        <w:rPr>
          <w:rFonts w:ascii="Times New Roman" w:hAnsi="Times New Roman"/>
        </w:rPr>
        <w:t xml:space="preserve"> </w:t>
      </w:r>
      <w:r w:rsidRPr="00AE78E3">
        <w:rPr>
          <w:rFonts w:ascii="Times New Roman" w:hAnsi="Times New Roman"/>
        </w:rPr>
        <w:t>contribuição o caráter analítico da Constituição: quanto maior a quantidade de normas que contém, maior é</w:t>
      </w:r>
      <w:r>
        <w:rPr>
          <w:rFonts w:ascii="Times New Roman" w:hAnsi="Times New Roman"/>
        </w:rPr>
        <w:t xml:space="preserve"> </w:t>
      </w:r>
      <w:r w:rsidRPr="00AE78E3">
        <w:rPr>
          <w:rFonts w:ascii="Times New Roman" w:hAnsi="Times New Roman"/>
        </w:rPr>
        <w:t>naturalmente a quantidade de questões que suscita, e maior a probabilidade de que se tente submetê-las ao</w:t>
      </w:r>
      <w:r>
        <w:rPr>
          <w:rFonts w:ascii="Times New Roman" w:hAnsi="Times New Roman"/>
        </w:rPr>
        <w:t xml:space="preserve"> </w:t>
      </w:r>
      <w:r w:rsidRPr="00AE78E3">
        <w:rPr>
          <w:rFonts w:ascii="Times New Roman" w:hAnsi="Times New Roman"/>
        </w:rPr>
        <w:t>crivo da Suprema Corte. O problema aqui se agrava substancialmente pela formidável instabilidade do texto</w:t>
      </w:r>
      <w:r>
        <w:rPr>
          <w:rFonts w:ascii="Times New Roman" w:hAnsi="Times New Roman"/>
        </w:rPr>
        <w:t xml:space="preserve"> </w:t>
      </w:r>
      <w:r w:rsidRPr="00AE78E3">
        <w:rPr>
          <w:rFonts w:ascii="Times New Roman" w:hAnsi="Times New Roman"/>
        </w:rPr>
        <w:t>constitucional, objeto de dezenas de emendas ao longo de sua vigência” (</w:t>
      </w:r>
      <w:r>
        <w:rPr>
          <w:rFonts w:ascii="Times New Roman" w:hAnsi="Times New Roman"/>
        </w:rPr>
        <w:t xml:space="preserve">ASSUMPÇÃO. Hélcio Alves de. </w:t>
      </w:r>
      <w:r w:rsidRPr="00745651">
        <w:rPr>
          <w:rFonts w:ascii="Times New Roman" w:hAnsi="Times New Roman"/>
        </w:rPr>
        <w:t>Recurso extraordinário</w:t>
      </w:r>
      <w:r w:rsidRPr="00AE78E3">
        <w:rPr>
          <w:rFonts w:ascii="Times New Roman" w:hAnsi="Times New Roman"/>
        </w:rPr>
        <w:t>: requisitos</w:t>
      </w:r>
      <w:r>
        <w:rPr>
          <w:rFonts w:ascii="Times New Roman" w:hAnsi="Times New Roman"/>
        </w:rPr>
        <w:t xml:space="preserve"> </w:t>
      </w:r>
      <w:r w:rsidRPr="00AE78E3">
        <w:rPr>
          <w:rFonts w:ascii="Times New Roman" w:hAnsi="Times New Roman"/>
        </w:rPr>
        <w:t>con</w:t>
      </w:r>
      <w:r>
        <w:rPr>
          <w:rFonts w:ascii="Times New Roman" w:hAnsi="Times New Roman"/>
        </w:rPr>
        <w:t>stitucionais de admissibilidade.</w:t>
      </w:r>
      <w:r w:rsidRPr="00AE78E3">
        <w:rPr>
          <w:rFonts w:ascii="Times New Roman" w:hAnsi="Times New Roman"/>
        </w:rPr>
        <w:t xml:space="preserve"> </w:t>
      </w:r>
      <w:r>
        <w:rPr>
          <w:rFonts w:ascii="Times New Roman" w:hAnsi="Times New Roman"/>
        </w:rPr>
        <w:t>I</w:t>
      </w:r>
      <w:r w:rsidRPr="00AE78E3">
        <w:rPr>
          <w:rFonts w:ascii="Times New Roman" w:hAnsi="Times New Roman"/>
        </w:rPr>
        <w:t>n</w:t>
      </w:r>
      <w:r>
        <w:rPr>
          <w:rFonts w:ascii="Times New Roman" w:hAnsi="Times New Roman"/>
        </w:rPr>
        <w:t>:</w:t>
      </w:r>
      <w:r w:rsidRPr="00AE78E3">
        <w:rPr>
          <w:rFonts w:ascii="Times New Roman" w:hAnsi="Times New Roman"/>
        </w:rPr>
        <w:t xml:space="preserve"> </w:t>
      </w:r>
      <w:r w:rsidRPr="00AE78E3">
        <w:rPr>
          <w:rFonts w:ascii="Times New Roman" w:hAnsi="Times New Roman"/>
          <w:b/>
        </w:rPr>
        <w:t>Meios de Impugnação ao Julgado Civil</w:t>
      </w:r>
      <w:r w:rsidRPr="00AE78E3">
        <w:rPr>
          <w:rFonts w:ascii="Times New Roman" w:hAnsi="Times New Roman"/>
        </w:rPr>
        <w:t xml:space="preserve"> – estudos em homenagem a</w:t>
      </w:r>
      <w:r>
        <w:rPr>
          <w:rFonts w:ascii="Times New Roman" w:hAnsi="Times New Roman"/>
        </w:rPr>
        <w:t xml:space="preserve"> </w:t>
      </w:r>
      <w:r w:rsidRPr="00AE78E3">
        <w:rPr>
          <w:rFonts w:ascii="Times New Roman" w:hAnsi="Times New Roman"/>
        </w:rPr>
        <w:t>José Carlos Barbosa Moreira, Adroaldo Fabrício (coor</w:t>
      </w:r>
      <w:r>
        <w:rPr>
          <w:rFonts w:ascii="Times New Roman" w:hAnsi="Times New Roman"/>
        </w:rPr>
        <w:t>d.). Rio de Janeiro: Forense, 2007,</w:t>
      </w:r>
      <w:r w:rsidRPr="00AE78E3">
        <w:rPr>
          <w:rFonts w:ascii="Times New Roman" w:hAnsi="Times New Roman"/>
        </w:rPr>
        <w:t xml:space="preserve"> p. 265).</w:t>
      </w:r>
    </w:p>
  </w:footnote>
  <w:footnote w:id="83">
    <w:p w:rsidR="00D549BC" w:rsidRDefault="00D549BC" w:rsidP="009164B1">
      <w:pPr>
        <w:pStyle w:val="FootnoteText"/>
        <w:ind w:firstLine="0"/>
      </w:pPr>
      <w:r w:rsidRPr="009164B1">
        <w:rPr>
          <w:rStyle w:val="FootnoteReference"/>
          <w:rFonts w:ascii="Times New Roman" w:hAnsi="Times New Roman"/>
        </w:rPr>
        <w:footnoteRef/>
      </w:r>
      <w:r>
        <w:rPr>
          <w:rFonts w:ascii="Times New Roman" w:hAnsi="Times New Roman"/>
        </w:rPr>
        <w:t xml:space="preserve"> BUZAID, Alfredo. </w:t>
      </w:r>
      <w:r w:rsidRPr="006A021D">
        <w:rPr>
          <w:rFonts w:ascii="Times New Roman" w:hAnsi="Times New Roman"/>
          <w:b/>
        </w:rPr>
        <w:t>Estudos de Direito</w:t>
      </w:r>
      <w:r>
        <w:rPr>
          <w:rFonts w:ascii="Times New Roman" w:hAnsi="Times New Roman"/>
        </w:rPr>
        <w:t xml:space="preserve">. São Paulo: Saraiva, 1972. v. 1, p. 144. </w:t>
      </w:r>
    </w:p>
  </w:footnote>
  <w:footnote w:id="84">
    <w:p w:rsidR="00D549BC" w:rsidRDefault="00D549BC" w:rsidP="007B670E">
      <w:pPr>
        <w:autoSpaceDE w:val="0"/>
        <w:autoSpaceDN w:val="0"/>
        <w:adjustRightInd w:val="0"/>
        <w:spacing w:line="240" w:lineRule="auto"/>
        <w:ind w:firstLine="0"/>
      </w:pPr>
      <w:r w:rsidRPr="00FC7BF3">
        <w:rPr>
          <w:rStyle w:val="FootnoteReference"/>
          <w:rFonts w:ascii="Times New Roman" w:hAnsi="Times New Roman"/>
        </w:rPr>
        <w:footnoteRef/>
      </w:r>
      <w:r>
        <w:rPr>
          <w:rFonts w:ascii="Times New Roman" w:hAnsi="Times New Roman"/>
        </w:rPr>
        <w:t xml:space="preserve"> Nesse sentido, ratificamos a ideia sugerida por ALFREDO BUZAID: “</w:t>
      </w:r>
      <w:r>
        <w:rPr>
          <w:rFonts w:ascii="Times New Roman" w:hAnsi="Times New Roman"/>
          <w:sz w:val="20"/>
          <w:szCs w:val="20"/>
        </w:rPr>
        <w:t xml:space="preserve">Quando falamos em </w:t>
      </w:r>
      <w:r>
        <w:rPr>
          <w:rFonts w:ascii="Times New Roman" w:hAnsi="Times New Roman"/>
          <w:i/>
          <w:iCs/>
          <w:sz w:val="20"/>
          <w:szCs w:val="20"/>
        </w:rPr>
        <w:t>funcionamento</w:t>
      </w:r>
      <w:r>
        <w:rPr>
          <w:rFonts w:ascii="Times New Roman" w:hAnsi="Times New Roman"/>
          <w:sz w:val="20"/>
          <w:szCs w:val="20"/>
        </w:rPr>
        <w:t xml:space="preserve">, pensamos em normalidade dos trabalhos, realizados sem atropelo, sem sacrifícios pessoais, sem o sestro da produção em quantidade; pensamos em acórdãos, que reflitam tendências definidas da evolução da jurisprudência, servindo como fonte de doutrina pela sabedoria dos seus conceitos e não como meros resultados de oscilações determinadas pelos votos dos relatores, acompanhados pelos demais ministros, em julgamentos que revelam insegurança de orientação” (Ibid., p. 174-175).  </w:t>
      </w:r>
    </w:p>
  </w:footnote>
  <w:footnote w:id="85">
    <w:p w:rsidR="00D549BC" w:rsidRDefault="00D549BC" w:rsidP="00A0306D">
      <w:pPr>
        <w:pStyle w:val="FootnoteText"/>
        <w:ind w:firstLine="0"/>
      </w:pPr>
      <w:r w:rsidRPr="00A0306D">
        <w:rPr>
          <w:rStyle w:val="FootnoteReference"/>
          <w:rFonts w:ascii="Times New Roman" w:hAnsi="Times New Roman"/>
        </w:rPr>
        <w:footnoteRef/>
      </w:r>
      <w:r w:rsidRPr="00A0306D">
        <w:rPr>
          <w:rFonts w:ascii="Times New Roman" w:hAnsi="Times New Roman"/>
        </w:rPr>
        <w:t xml:space="preserve"> </w:t>
      </w:r>
      <w:r>
        <w:rPr>
          <w:rFonts w:ascii="Times New Roman" w:hAnsi="Times New Roman"/>
        </w:rPr>
        <w:t>Segundo LENIO LUIZ STRECK: “</w:t>
      </w:r>
      <w:r w:rsidRPr="00A0306D">
        <w:rPr>
          <w:rFonts w:ascii="Times New Roman" w:hAnsi="Times New Roman"/>
        </w:rPr>
        <w:t>Não vivemos crises institucionais, nem no Brasil e nem no restante do mundo (Europa e EUA). Há crises políticas, que são controladas e controláveis exatamente porque não há crise institucional. As pessoas deveriam cuidar mais no uso do conceito “crise institucional”. As palavras são terrí</w:t>
      </w:r>
      <w:r>
        <w:rPr>
          <w:rFonts w:ascii="Times New Roman" w:hAnsi="Times New Roman"/>
        </w:rPr>
        <w:t>veis: salvam e ferem. Algumas tê</w:t>
      </w:r>
      <w:r w:rsidRPr="00A0306D">
        <w:rPr>
          <w:rFonts w:ascii="Times New Roman" w:hAnsi="Times New Roman"/>
        </w:rPr>
        <w:t>m espinhos. Mal usadas, podem causar danos. E como a palavra é a casa do ser, isso apenas demonstra o cuidado que devemos ter</w:t>
      </w:r>
      <w:r>
        <w:rPr>
          <w:rFonts w:ascii="Times New Roman" w:hAnsi="Times New Roman"/>
        </w:rPr>
        <w:t xml:space="preserve">” (STRECK, Lenio Luiz. Entrevista. </w:t>
      </w:r>
      <w:r w:rsidRPr="00344D4B">
        <w:rPr>
          <w:rFonts w:ascii="Times New Roman" w:hAnsi="Times New Roman"/>
          <w:b/>
        </w:rPr>
        <w:t>Associação dos Magistrados do Estado de Pernambuco</w:t>
      </w:r>
      <w:r w:rsidRPr="00A0306D">
        <w:rPr>
          <w:rFonts w:ascii="Times New Roman" w:hAnsi="Times New Roman"/>
        </w:rPr>
        <w:t>.</w:t>
      </w:r>
      <w:r>
        <w:rPr>
          <w:rFonts w:ascii="Times New Roman" w:hAnsi="Times New Roman"/>
        </w:rPr>
        <w:t xml:space="preserve"> Disponível em: </w:t>
      </w:r>
      <w:r w:rsidRPr="00D62439">
        <w:rPr>
          <w:rFonts w:ascii="Times New Roman" w:hAnsi="Times New Roman"/>
        </w:rPr>
        <w:t>http://www.amepe.com.br/_mostranoticia_nv.php?cod=1246</w:t>
      </w:r>
      <w:r>
        <w:rPr>
          <w:rFonts w:ascii="Times New Roman" w:hAnsi="Times New Roman"/>
        </w:rPr>
        <w:t xml:space="preserve">. Acesso em: 9 set. 2014). Dessa forma, entendemos que o mais apropriado para o presente estudo é a expressão </w:t>
      </w:r>
      <w:r w:rsidRPr="00A0306D">
        <w:rPr>
          <w:rFonts w:ascii="Times New Roman" w:hAnsi="Times New Roman"/>
          <w:i/>
        </w:rPr>
        <w:t>crise funcional</w:t>
      </w:r>
      <w:r>
        <w:rPr>
          <w:rFonts w:ascii="Times New Roman" w:hAnsi="Times New Roman"/>
        </w:rPr>
        <w:t xml:space="preserve">. </w:t>
      </w:r>
    </w:p>
  </w:footnote>
  <w:footnote w:id="86">
    <w:p w:rsidR="00D549BC" w:rsidRDefault="00D549BC" w:rsidP="008F5B35">
      <w:pPr>
        <w:pStyle w:val="FootnoteText"/>
        <w:ind w:firstLine="0"/>
      </w:pPr>
      <w:r w:rsidRPr="008F5B35">
        <w:rPr>
          <w:rStyle w:val="FootnoteReference"/>
          <w:rFonts w:ascii="Times New Roman" w:hAnsi="Times New Roman"/>
        </w:rPr>
        <w:footnoteRef/>
      </w:r>
      <w:r w:rsidRPr="008F5B35">
        <w:rPr>
          <w:rFonts w:ascii="Times New Roman" w:hAnsi="Times New Roman"/>
        </w:rPr>
        <w:t xml:space="preserve"> </w:t>
      </w:r>
      <w:r>
        <w:rPr>
          <w:rFonts w:ascii="Times New Roman" w:hAnsi="Times New Roman"/>
        </w:rPr>
        <w:t xml:space="preserve">Segundo ALBERTO AGGIO; AGNALDO BARBOSA; HERCÍDIA COELHO: “A década de 30 foi o ponto de partida para transformações profundas do país, não apenas do ponto de vista político, mas também no que diz respeito às mudanças da estrutura da sociedade brasileira em todos os seus aspectos: crescimento populacional, urbanização, industrialização, evolução e democratização do ensino, melhoria do nível de vida, elevação da renda média do trabalhador e outros. Veremos (...) que o país que termina a década de 1920, essencialmente rural e sustentado economicamente pela produção de café, não é o mesmo que adentra a década de 1960, na qual a franca expansão urbana e industrial superpôs-se à sua antiga face agrária. Na esteira desse processo, a sociedade da década de 1960 também se diferenciou sobremaneira daquela de quarenta anos atrás (AGGIO, Alberto; BARBOSA, Agnaldo; COELHO, Hercídia. </w:t>
      </w:r>
      <w:r w:rsidRPr="00C9141A">
        <w:rPr>
          <w:rFonts w:ascii="Times New Roman" w:hAnsi="Times New Roman"/>
          <w:b/>
        </w:rPr>
        <w:t>Política e Sociedade no Brasil</w:t>
      </w:r>
      <w:r>
        <w:rPr>
          <w:rFonts w:ascii="Times New Roman" w:hAnsi="Times New Roman"/>
        </w:rPr>
        <w:t xml:space="preserve">: 1930-1964. São Paulo: Annablume, 2002, p. 83). </w:t>
      </w:r>
    </w:p>
  </w:footnote>
  <w:footnote w:id="87">
    <w:p w:rsidR="00D549BC" w:rsidRDefault="00D549BC" w:rsidP="006A4F7E">
      <w:pPr>
        <w:autoSpaceDE w:val="0"/>
        <w:autoSpaceDN w:val="0"/>
        <w:adjustRightInd w:val="0"/>
        <w:spacing w:line="240" w:lineRule="auto"/>
        <w:ind w:firstLine="0"/>
      </w:pPr>
      <w:r w:rsidRPr="00385A8D">
        <w:rPr>
          <w:rStyle w:val="FootnoteReference"/>
          <w:rFonts w:ascii="Times New Roman" w:hAnsi="Times New Roman"/>
          <w:sz w:val="20"/>
          <w:szCs w:val="20"/>
        </w:rPr>
        <w:footnoteRef/>
      </w:r>
      <w:r>
        <w:rPr>
          <w:rFonts w:ascii="Times New Roman" w:hAnsi="Times New Roman"/>
        </w:rPr>
        <w:t xml:space="preserve"> </w:t>
      </w:r>
      <w:r>
        <w:rPr>
          <w:rFonts w:ascii="Times New Roman" w:hAnsi="Times New Roman"/>
          <w:sz w:val="20"/>
          <w:szCs w:val="20"/>
        </w:rPr>
        <w:t xml:space="preserve">Como sustentou </w:t>
      </w:r>
      <w:r w:rsidRPr="00385A8D">
        <w:rPr>
          <w:rFonts w:ascii="Times New Roman" w:hAnsi="Times New Roman"/>
          <w:sz w:val="20"/>
          <w:szCs w:val="20"/>
        </w:rPr>
        <w:t>ALFREDO BUZAID</w:t>
      </w:r>
      <w:r>
        <w:rPr>
          <w:rFonts w:ascii="Times New Roman" w:hAnsi="Times New Roman"/>
          <w:sz w:val="20"/>
          <w:szCs w:val="20"/>
        </w:rPr>
        <w:t xml:space="preserve">, a “causa da crise é, a nosso ver, </w:t>
      </w:r>
      <w:r>
        <w:rPr>
          <w:rFonts w:ascii="Times New Roman" w:hAnsi="Times New Roman"/>
          <w:i/>
          <w:iCs/>
          <w:sz w:val="20"/>
          <w:szCs w:val="20"/>
        </w:rPr>
        <w:t xml:space="preserve">funcional </w:t>
      </w:r>
      <w:r>
        <w:rPr>
          <w:rFonts w:ascii="Times New Roman" w:hAnsi="Times New Roman"/>
          <w:sz w:val="20"/>
          <w:szCs w:val="20"/>
        </w:rPr>
        <w:t xml:space="preserve">e o seu grande responsável, o legislador constituinte, que se alheou da realidade brasileira e dos sãos princípios da ciência, no momento em que teve de estruturar o mais alto tribunal do país. Com efeito, ninguém desconhece que, desde 1930, o país está em contínuo progresso; aumenta o índice demográfico; cresce assustadoramente o volume de causas oriundas do surto industrial e comercial... Êstes elementos vitais da realidade brasileira, o legislador constituinte devia tomá-los em conta, de imediato, como ponto de partida, porque de sua estimativa dependia substancialmente a verificação se o Supremo Tribunal Federal podia arcar com tamanhas responsabilidades, sem desnaturar as suas funções primordiais (BUZAID, Alfredo. </w:t>
      </w:r>
      <w:r w:rsidRPr="00385A8D">
        <w:rPr>
          <w:rFonts w:ascii="Times New Roman" w:hAnsi="Times New Roman"/>
          <w:i/>
          <w:sz w:val="20"/>
          <w:szCs w:val="20"/>
        </w:rPr>
        <w:t>Op. Cit.</w:t>
      </w:r>
      <w:r>
        <w:rPr>
          <w:rFonts w:ascii="Times New Roman" w:hAnsi="Times New Roman"/>
          <w:sz w:val="20"/>
          <w:szCs w:val="20"/>
        </w:rPr>
        <w:t xml:space="preserve">, p. 149). </w:t>
      </w:r>
    </w:p>
  </w:footnote>
  <w:footnote w:id="88">
    <w:p w:rsidR="00D549BC" w:rsidRDefault="00D549BC" w:rsidP="00E95674">
      <w:pPr>
        <w:pStyle w:val="FootnoteText"/>
        <w:ind w:firstLine="0"/>
      </w:pPr>
      <w:r w:rsidRPr="0093570F">
        <w:rPr>
          <w:rStyle w:val="FootnoteReference"/>
          <w:rFonts w:ascii="Times New Roman" w:hAnsi="Times New Roman"/>
        </w:rPr>
        <w:footnoteRef/>
      </w:r>
      <w:r w:rsidRPr="0093570F">
        <w:rPr>
          <w:rFonts w:ascii="Times New Roman" w:hAnsi="Times New Roman"/>
        </w:rPr>
        <w:t xml:space="preserve"> </w:t>
      </w:r>
      <w:r>
        <w:rPr>
          <w:rFonts w:ascii="Times New Roman" w:hAnsi="Times New Roman"/>
        </w:rPr>
        <w:t xml:space="preserve">A propósito, cf. ALVES, José Carlos Moreira. </w:t>
      </w:r>
      <w:r w:rsidRPr="00D57D1A">
        <w:rPr>
          <w:rFonts w:ascii="Times New Roman" w:hAnsi="Times New Roman"/>
        </w:rPr>
        <w:t>O STF no período de minha judicatura</w:t>
      </w:r>
      <w:r>
        <w:rPr>
          <w:rFonts w:ascii="Times New Roman" w:hAnsi="Times New Roman"/>
        </w:rPr>
        <w:t xml:space="preserve">: 1975 a 2003. </w:t>
      </w:r>
      <w:r w:rsidRPr="00D57D1A">
        <w:rPr>
          <w:rFonts w:ascii="Times New Roman" w:hAnsi="Times New Roman"/>
          <w:b/>
        </w:rPr>
        <w:t>Revista Forense</w:t>
      </w:r>
      <w:r>
        <w:rPr>
          <w:rFonts w:ascii="Times New Roman" w:hAnsi="Times New Roman"/>
        </w:rPr>
        <w:t xml:space="preserve">, v. 400, ano 104, nov./dez. 2008, p. 607: “A competência do STF como Tribunal da Federação, de certa forma, já vinha das Constituições Republicanas anteriores, e deu margem, a partir de 1926 com Herculano de Freitas, e, com crescente intensidade, pela voz de Filadelfo Azevedo e Levi Carneiro, a partir de 1943, sob o fundamento do acúmulo de processos, ao que veio denominar-se ‘crise do Supremo Tribunal Federal’, o que melhor seria dizer-se ‘crise do recurso extraordinário’, embora, de início, os números fossem diminutos diante do que ocorreria no futuro”; AZEVEDO, Filadelfo. </w:t>
      </w:r>
      <w:r w:rsidRPr="00D57D1A">
        <w:rPr>
          <w:rFonts w:ascii="Times New Roman" w:hAnsi="Times New Roman"/>
        </w:rPr>
        <w:t>A Crise do Supremo Tribunal</w:t>
      </w:r>
      <w:r>
        <w:rPr>
          <w:rFonts w:ascii="Times New Roman" w:hAnsi="Times New Roman"/>
        </w:rPr>
        <w:t xml:space="preserve">. </w:t>
      </w:r>
      <w:r w:rsidRPr="00D57D1A">
        <w:rPr>
          <w:rFonts w:ascii="Times New Roman" w:hAnsi="Times New Roman"/>
          <w:b/>
        </w:rPr>
        <w:t>Revista Arquivos do Ministério da Justiça</w:t>
      </w:r>
      <w:r>
        <w:rPr>
          <w:rFonts w:ascii="Times New Roman" w:hAnsi="Times New Roman"/>
        </w:rPr>
        <w:t xml:space="preserve">, 1943, v.1; BUZAID, Alfredo. </w:t>
      </w:r>
      <w:r w:rsidRPr="00946F9F">
        <w:rPr>
          <w:rFonts w:ascii="Times New Roman" w:hAnsi="Times New Roman"/>
          <w:b/>
        </w:rPr>
        <w:t>Estudos de Direito</w:t>
      </w:r>
      <w:r>
        <w:rPr>
          <w:rFonts w:ascii="Times New Roman" w:hAnsi="Times New Roman"/>
        </w:rPr>
        <w:t xml:space="preserve">. São Paulo: Saraiva, 1972, v. 1; CARNEIRO, Levi. </w:t>
      </w:r>
      <w:r w:rsidRPr="00D57D1A">
        <w:rPr>
          <w:rFonts w:ascii="Times New Roman" w:hAnsi="Times New Roman"/>
        </w:rPr>
        <w:t>Ainda a crise do Supremo Tribunal Federal</w:t>
      </w:r>
      <w:r>
        <w:rPr>
          <w:rFonts w:ascii="Times New Roman" w:hAnsi="Times New Roman"/>
        </w:rPr>
        <w:t xml:space="preserve">. </w:t>
      </w:r>
      <w:r w:rsidRPr="00D57D1A">
        <w:rPr>
          <w:rFonts w:ascii="Times New Roman" w:hAnsi="Times New Roman"/>
          <w:b/>
        </w:rPr>
        <w:t>Revista Arquivos do Ministério da Justiça</w:t>
      </w:r>
      <w:r>
        <w:rPr>
          <w:rFonts w:ascii="Times New Roman" w:hAnsi="Times New Roman"/>
        </w:rPr>
        <w:t>, v. 2, 1</w:t>
      </w:r>
      <w:r w:rsidRPr="00E95674">
        <w:rPr>
          <w:rFonts w:ascii="Times New Roman" w:hAnsi="Times New Roman"/>
        </w:rPr>
        <w:t>943</w:t>
      </w:r>
      <w:r>
        <w:rPr>
          <w:rFonts w:ascii="Times New Roman" w:hAnsi="Times New Roman"/>
        </w:rPr>
        <w:t xml:space="preserve">.  </w:t>
      </w:r>
    </w:p>
  </w:footnote>
  <w:footnote w:id="89">
    <w:p w:rsidR="00D549BC" w:rsidRDefault="00D549BC" w:rsidP="00A20191">
      <w:pPr>
        <w:pStyle w:val="FootnoteText"/>
        <w:ind w:firstLine="0"/>
      </w:pPr>
      <w:r w:rsidRPr="00A20191">
        <w:rPr>
          <w:rStyle w:val="FootnoteReference"/>
          <w:rFonts w:ascii="Times New Roman" w:hAnsi="Times New Roman"/>
        </w:rPr>
        <w:footnoteRef/>
      </w:r>
      <w:r w:rsidRPr="00A20191">
        <w:rPr>
          <w:rFonts w:ascii="Times New Roman" w:hAnsi="Times New Roman"/>
        </w:rPr>
        <w:t xml:space="preserve"> </w:t>
      </w:r>
      <w:r>
        <w:rPr>
          <w:rFonts w:ascii="Times New Roman" w:hAnsi="Times New Roman"/>
        </w:rPr>
        <w:t xml:space="preserve">BUZAID, Alfredo. </w:t>
      </w:r>
      <w:r w:rsidRPr="00F52C04">
        <w:rPr>
          <w:rFonts w:ascii="Times New Roman" w:hAnsi="Times New Roman"/>
          <w:i/>
        </w:rPr>
        <w:t>Op. Cit.</w:t>
      </w:r>
      <w:r>
        <w:rPr>
          <w:rFonts w:ascii="Times New Roman" w:hAnsi="Times New Roman"/>
        </w:rPr>
        <w:t>, p. 144.</w:t>
      </w:r>
    </w:p>
  </w:footnote>
  <w:footnote w:id="90">
    <w:p w:rsidR="00D549BC" w:rsidRDefault="00D549BC" w:rsidP="00B312A8">
      <w:pPr>
        <w:pStyle w:val="FootnoteText"/>
        <w:ind w:firstLine="0"/>
      </w:pPr>
      <w:r w:rsidRPr="00B312A8">
        <w:rPr>
          <w:rStyle w:val="FootnoteReference"/>
          <w:rFonts w:ascii="Times New Roman" w:hAnsi="Times New Roman"/>
        </w:rPr>
        <w:footnoteRef/>
      </w:r>
      <w:r>
        <w:rPr>
          <w:rFonts w:ascii="Times New Roman" w:hAnsi="Times New Roman"/>
        </w:rPr>
        <w:t xml:space="preserve"> OLIVEIRA, Francisco de Paula de.</w:t>
      </w:r>
      <w:r w:rsidRPr="00B312A8">
        <w:rPr>
          <w:rFonts w:ascii="Times New Roman" w:hAnsi="Times New Roman"/>
        </w:rPr>
        <w:t xml:space="preserve"> </w:t>
      </w:r>
      <w:r w:rsidRPr="00B312A8">
        <w:rPr>
          <w:rFonts w:ascii="Times New Roman" w:hAnsi="Times New Roman"/>
          <w:b/>
        </w:rPr>
        <w:t>Regimento Interno do Supremo Tribunal Federal</w:t>
      </w:r>
      <w:r>
        <w:rPr>
          <w:rFonts w:ascii="Times New Roman" w:hAnsi="Times New Roman"/>
        </w:rPr>
        <w:t>.</w:t>
      </w:r>
      <w:r w:rsidRPr="00B312A8">
        <w:rPr>
          <w:rFonts w:ascii="Times New Roman" w:hAnsi="Times New Roman"/>
        </w:rPr>
        <w:t xml:space="preserve"> Rio de</w:t>
      </w:r>
      <w:r>
        <w:rPr>
          <w:rFonts w:ascii="Times New Roman" w:hAnsi="Times New Roman"/>
        </w:rPr>
        <w:t xml:space="preserve"> Janeiro:</w:t>
      </w:r>
      <w:r w:rsidRPr="00B312A8">
        <w:rPr>
          <w:rFonts w:ascii="Times New Roman" w:hAnsi="Times New Roman"/>
        </w:rPr>
        <w:t xml:space="preserve"> Livraria Editor</w:t>
      </w:r>
      <w:r>
        <w:rPr>
          <w:rFonts w:ascii="Times New Roman" w:hAnsi="Times New Roman"/>
        </w:rPr>
        <w:t>a C. de Oliveira, 1</w:t>
      </w:r>
      <w:r w:rsidRPr="00B312A8">
        <w:rPr>
          <w:rFonts w:ascii="Times New Roman" w:hAnsi="Times New Roman"/>
        </w:rPr>
        <w:t>921</w:t>
      </w:r>
      <w:r>
        <w:rPr>
          <w:rFonts w:ascii="Times New Roman" w:hAnsi="Times New Roman"/>
        </w:rPr>
        <w:t xml:space="preserve">, p. 31. </w:t>
      </w:r>
    </w:p>
  </w:footnote>
  <w:footnote w:id="91">
    <w:p w:rsidR="00D549BC" w:rsidRDefault="00D549BC" w:rsidP="00F7410F">
      <w:pPr>
        <w:pStyle w:val="FootnoteText"/>
        <w:ind w:firstLine="0"/>
      </w:pPr>
      <w:r w:rsidRPr="00F7410F">
        <w:rPr>
          <w:rStyle w:val="FootnoteReference"/>
          <w:rFonts w:ascii="Times New Roman" w:hAnsi="Times New Roman"/>
        </w:rPr>
        <w:footnoteRef/>
      </w:r>
      <w:r w:rsidRPr="00F7410F">
        <w:rPr>
          <w:rFonts w:ascii="Times New Roman" w:hAnsi="Times New Roman"/>
        </w:rPr>
        <w:t xml:space="preserve"> </w:t>
      </w:r>
      <w:r>
        <w:rPr>
          <w:rFonts w:ascii="Times New Roman" w:hAnsi="Times New Roman"/>
        </w:rPr>
        <w:t xml:space="preserve">Ibid., p. 78. </w:t>
      </w:r>
    </w:p>
  </w:footnote>
  <w:footnote w:id="92">
    <w:p w:rsidR="00D549BC" w:rsidRDefault="00D549BC" w:rsidP="004B709F">
      <w:pPr>
        <w:autoSpaceDE w:val="0"/>
        <w:autoSpaceDN w:val="0"/>
        <w:adjustRightInd w:val="0"/>
        <w:spacing w:line="240" w:lineRule="auto"/>
        <w:ind w:firstLine="0"/>
      </w:pPr>
      <w:r w:rsidRPr="004B709F">
        <w:rPr>
          <w:rStyle w:val="FootnoteReference"/>
          <w:rFonts w:ascii="Times New Roman" w:hAnsi="Times New Roman"/>
        </w:rPr>
        <w:footnoteRef/>
      </w:r>
      <w:r>
        <w:rPr>
          <w:rFonts w:ascii="Times New Roman" w:hAnsi="Times New Roman"/>
        </w:rPr>
        <w:t xml:space="preserve"> </w:t>
      </w:r>
      <w:r w:rsidRPr="0054725E">
        <w:rPr>
          <w:rFonts w:ascii="Times New Roman" w:hAnsi="Times New Roman"/>
          <w:sz w:val="20"/>
          <w:szCs w:val="20"/>
        </w:rPr>
        <w:t>O artigo 1º do Dec. 20.669/1931 previa que: “O Supremo Tribunal Federal realizará, enquanto não esgotar a pauta das causas com dia, quatro sessões semanais, de 1º de abril a 30 de novembro, e três de 1º de dezembro a 31 de janeiro, data em que começam as férias”.</w:t>
      </w:r>
      <w:r>
        <w:rPr>
          <w:rFonts w:ascii="Times New Roman" w:hAnsi="Times New Roman"/>
          <w:sz w:val="20"/>
          <w:szCs w:val="20"/>
        </w:rPr>
        <w:t xml:space="preserve"> </w:t>
      </w:r>
    </w:p>
  </w:footnote>
  <w:footnote w:id="93">
    <w:p w:rsidR="00D549BC" w:rsidRDefault="00D549BC" w:rsidP="004B709F">
      <w:pPr>
        <w:pStyle w:val="FootnoteText"/>
        <w:ind w:firstLine="0"/>
      </w:pPr>
      <w:r w:rsidRPr="004B709F">
        <w:rPr>
          <w:rStyle w:val="FootnoteReference"/>
          <w:rFonts w:ascii="Times New Roman" w:hAnsi="Times New Roman"/>
        </w:rPr>
        <w:footnoteRef/>
      </w:r>
      <w:r w:rsidRPr="004B709F">
        <w:rPr>
          <w:rFonts w:ascii="Times New Roman" w:hAnsi="Times New Roman"/>
        </w:rPr>
        <w:t xml:space="preserve"> </w:t>
      </w:r>
      <w:r>
        <w:rPr>
          <w:rFonts w:ascii="Times New Roman" w:hAnsi="Times New Roman"/>
        </w:rPr>
        <w:t xml:space="preserve">BUZAID, Alfredo. </w:t>
      </w:r>
      <w:r w:rsidRPr="004B709F">
        <w:rPr>
          <w:rFonts w:ascii="Times New Roman" w:hAnsi="Times New Roman"/>
          <w:i/>
        </w:rPr>
        <w:t>Op. Cit.</w:t>
      </w:r>
      <w:r>
        <w:rPr>
          <w:rFonts w:ascii="Times New Roman" w:hAnsi="Times New Roman"/>
        </w:rPr>
        <w:t xml:space="preserve">, p. 145. </w:t>
      </w:r>
    </w:p>
  </w:footnote>
  <w:footnote w:id="94">
    <w:p w:rsidR="00D549BC" w:rsidRDefault="00D549BC" w:rsidP="00C03670">
      <w:pPr>
        <w:pStyle w:val="FootnoteText"/>
        <w:ind w:firstLine="0"/>
      </w:pPr>
      <w:r w:rsidRPr="00C03670">
        <w:rPr>
          <w:rStyle w:val="FootnoteReference"/>
          <w:rFonts w:ascii="Times New Roman" w:hAnsi="Times New Roman"/>
        </w:rPr>
        <w:footnoteRef/>
      </w:r>
      <w:r w:rsidRPr="00C03670">
        <w:rPr>
          <w:rFonts w:ascii="Times New Roman" w:hAnsi="Times New Roman"/>
        </w:rPr>
        <w:t xml:space="preserve"> </w:t>
      </w:r>
      <w:r>
        <w:rPr>
          <w:rFonts w:ascii="Times New Roman" w:hAnsi="Times New Roman"/>
        </w:rPr>
        <w:t xml:space="preserve">Ibid., p. 90. </w:t>
      </w:r>
    </w:p>
  </w:footnote>
  <w:footnote w:id="95">
    <w:p w:rsidR="00D549BC" w:rsidRDefault="00D549BC" w:rsidP="00CE5BD2">
      <w:pPr>
        <w:pStyle w:val="FootnoteText"/>
        <w:ind w:firstLine="0"/>
      </w:pPr>
      <w:r w:rsidRPr="00CE5BD2">
        <w:rPr>
          <w:rStyle w:val="FootnoteReference"/>
          <w:rFonts w:ascii="Times New Roman" w:hAnsi="Times New Roman"/>
        </w:rPr>
        <w:footnoteRef/>
      </w:r>
      <w:r w:rsidRPr="00CE5BD2">
        <w:rPr>
          <w:rFonts w:ascii="Times New Roman" w:hAnsi="Times New Roman"/>
        </w:rPr>
        <w:t xml:space="preserve"> </w:t>
      </w:r>
      <w:r>
        <w:rPr>
          <w:rFonts w:ascii="Times New Roman" w:hAnsi="Times New Roman"/>
        </w:rPr>
        <w:t>Relatório do Presidente do Supremo Tribunal Federal, Ministro Orosimbo Nonato (</w:t>
      </w:r>
      <w:r>
        <w:rPr>
          <w:rFonts w:ascii="Times New Roman" w:hAnsi="Times New Roman"/>
          <w:i/>
        </w:rPr>
        <w:t>a</w:t>
      </w:r>
      <w:r w:rsidRPr="002F793E">
        <w:rPr>
          <w:rFonts w:ascii="Times New Roman" w:hAnsi="Times New Roman"/>
          <w:i/>
        </w:rPr>
        <w:t>pud</w:t>
      </w:r>
      <w:r>
        <w:rPr>
          <w:rFonts w:ascii="Times New Roman" w:hAnsi="Times New Roman"/>
        </w:rPr>
        <w:t xml:space="preserve"> BUZAID, Alfredo. </w:t>
      </w:r>
      <w:r w:rsidRPr="007B3148">
        <w:rPr>
          <w:rFonts w:ascii="Times New Roman" w:hAnsi="Times New Roman"/>
          <w:i/>
        </w:rPr>
        <w:t>Op. Cit.</w:t>
      </w:r>
      <w:r w:rsidRPr="00FE3E4F">
        <w:rPr>
          <w:rFonts w:ascii="Times New Roman" w:hAnsi="Times New Roman"/>
        </w:rPr>
        <w:t>,</w:t>
      </w:r>
      <w:r>
        <w:rPr>
          <w:rFonts w:ascii="Times New Roman" w:hAnsi="Times New Roman"/>
        </w:rPr>
        <w:t xml:space="preserve"> p. 145). </w:t>
      </w:r>
    </w:p>
  </w:footnote>
  <w:footnote w:id="96">
    <w:p w:rsidR="00D549BC" w:rsidRDefault="00D549BC" w:rsidP="00561B19">
      <w:pPr>
        <w:pStyle w:val="FootnoteText"/>
        <w:ind w:firstLine="0"/>
      </w:pPr>
      <w:r w:rsidRPr="00D46FF1">
        <w:rPr>
          <w:rStyle w:val="FootnoteReference"/>
          <w:rFonts w:ascii="Times New Roman" w:hAnsi="Times New Roman"/>
        </w:rPr>
        <w:footnoteRef/>
      </w:r>
      <w:r w:rsidRPr="00D46FF1">
        <w:rPr>
          <w:rFonts w:ascii="Times New Roman" w:hAnsi="Times New Roman"/>
        </w:rPr>
        <w:t xml:space="preserve"> </w:t>
      </w:r>
      <w:r>
        <w:rPr>
          <w:rFonts w:ascii="Times New Roman" w:hAnsi="Times New Roman"/>
        </w:rPr>
        <w:t xml:space="preserve">MARTINS, Pedro Batista. </w:t>
      </w:r>
      <w:r w:rsidRPr="00561B19">
        <w:rPr>
          <w:rFonts w:ascii="Times New Roman" w:hAnsi="Times New Roman"/>
          <w:b/>
        </w:rPr>
        <w:t>Recursos e Processos da Competência Originária dos Tribunais</w:t>
      </w:r>
      <w:r>
        <w:rPr>
          <w:rFonts w:ascii="Times New Roman" w:hAnsi="Times New Roman"/>
        </w:rPr>
        <w:t xml:space="preserve">. Rio de Janeiro: Forense, 1957, p. 449. </w:t>
      </w:r>
    </w:p>
  </w:footnote>
  <w:footnote w:id="97">
    <w:p w:rsidR="00D549BC" w:rsidRPr="001651BC" w:rsidRDefault="00D549BC" w:rsidP="001651BC">
      <w:pPr>
        <w:pStyle w:val="FootnoteText"/>
        <w:ind w:firstLine="0"/>
        <w:rPr>
          <w:rFonts w:ascii="Times New Roman" w:hAnsi="Times New Roman"/>
        </w:rPr>
      </w:pPr>
      <w:r w:rsidRPr="005F6709">
        <w:rPr>
          <w:rStyle w:val="FootnoteReference"/>
          <w:rFonts w:ascii="Times New Roman" w:hAnsi="Times New Roman"/>
        </w:rPr>
        <w:footnoteRef/>
      </w:r>
      <w:r>
        <w:rPr>
          <w:rFonts w:ascii="Times New Roman" w:hAnsi="Times New Roman"/>
        </w:rPr>
        <w:t xml:space="preserve"> </w:t>
      </w:r>
      <w:r w:rsidRPr="001651BC">
        <w:rPr>
          <w:rFonts w:ascii="Times New Roman" w:hAnsi="Times New Roman"/>
        </w:rPr>
        <w:t>Art</w:t>
      </w:r>
      <w:r>
        <w:rPr>
          <w:rFonts w:ascii="Times New Roman" w:hAnsi="Times New Roman"/>
        </w:rPr>
        <w:t>.</w:t>
      </w:r>
      <w:r w:rsidRPr="001651BC">
        <w:rPr>
          <w:rFonts w:ascii="Times New Roman" w:hAnsi="Times New Roman"/>
        </w:rPr>
        <w:t xml:space="preserve"> 3º O recurso</w:t>
      </w:r>
      <w:r>
        <w:rPr>
          <w:rFonts w:ascii="Times New Roman" w:hAnsi="Times New Roman"/>
        </w:rPr>
        <w:t xml:space="preserve"> extraordinário</w:t>
      </w:r>
      <w:r w:rsidRPr="001651BC">
        <w:rPr>
          <w:rFonts w:ascii="Times New Roman" w:hAnsi="Times New Roman"/>
        </w:rPr>
        <w:t xml:space="preserve"> será interposto perante o presidente do Tribunal recorrido, e, nas causas alçada</w:t>
      </w:r>
      <w:r>
        <w:rPr>
          <w:rFonts w:ascii="Times New Roman" w:hAnsi="Times New Roman"/>
        </w:rPr>
        <w:t>s</w:t>
      </w:r>
      <w:r w:rsidRPr="001651BC">
        <w:rPr>
          <w:rFonts w:ascii="Times New Roman" w:hAnsi="Times New Roman"/>
        </w:rPr>
        <w:t xml:space="preserve"> perante o próprio juízo prolator da decisão da qual se recorre.</w:t>
      </w:r>
      <w:r>
        <w:rPr>
          <w:rFonts w:ascii="Times New Roman" w:hAnsi="Times New Roman"/>
        </w:rPr>
        <w:t xml:space="preserve"> </w:t>
      </w:r>
    </w:p>
    <w:p w:rsidR="00D549BC" w:rsidRPr="001651BC" w:rsidRDefault="00D549BC" w:rsidP="00C55ADA">
      <w:pPr>
        <w:pStyle w:val="FootnoteText"/>
        <w:ind w:firstLine="0"/>
        <w:rPr>
          <w:rFonts w:ascii="Times New Roman" w:hAnsi="Times New Roman"/>
        </w:rPr>
      </w:pPr>
      <w:r>
        <w:rPr>
          <w:rFonts w:ascii="Times New Roman" w:hAnsi="Times New Roman"/>
        </w:rPr>
        <w:t xml:space="preserve"> </w:t>
      </w:r>
      <w:r w:rsidRPr="001651BC">
        <w:rPr>
          <w:rFonts w:ascii="Times New Roman" w:hAnsi="Times New Roman"/>
        </w:rPr>
        <w:t xml:space="preserve">§ 1º Recebida a petição, publicar-se-á aviso do seu recebimento e ficará ela na secretaria do Tribunal ou no cartório do Juízo, à disposição </w:t>
      </w:r>
      <w:r>
        <w:rPr>
          <w:rFonts w:ascii="Times New Roman" w:hAnsi="Times New Roman"/>
        </w:rPr>
        <w:t>do recorrido, que poderá examiná</w:t>
      </w:r>
      <w:r w:rsidRPr="001651BC">
        <w:rPr>
          <w:rFonts w:ascii="Times New Roman" w:hAnsi="Times New Roman"/>
        </w:rPr>
        <w:t>-la e impugnar o cabimento do recurso dentro em três (3) dias, a contar da publicação do aviso.</w:t>
      </w:r>
    </w:p>
    <w:p w:rsidR="00D549BC" w:rsidRPr="001651BC" w:rsidRDefault="00D549BC" w:rsidP="00C55ADA">
      <w:pPr>
        <w:pStyle w:val="FootnoteText"/>
        <w:ind w:firstLine="0"/>
        <w:rPr>
          <w:rFonts w:ascii="Times New Roman" w:hAnsi="Times New Roman"/>
        </w:rPr>
      </w:pPr>
      <w:r w:rsidRPr="001651BC">
        <w:rPr>
          <w:rFonts w:ascii="Times New Roman" w:hAnsi="Times New Roman"/>
        </w:rPr>
        <w:t>§ 2º Findo esse prazo, serão os autos, com ou sem impugnação, conclusos ao presidente do Tribunal ou ao Juiz, que deferirá</w:t>
      </w:r>
      <w:r>
        <w:rPr>
          <w:rFonts w:ascii="Times New Roman" w:hAnsi="Times New Roman"/>
        </w:rPr>
        <w:t xml:space="preserve"> ou não o seguimento do recurso</w:t>
      </w:r>
      <w:r w:rsidRPr="001651BC">
        <w:rPr>
          <w:rFonts w:ascii="Times New Roman" w:hAnsi="Times New Roman"/>
        </w:rPr>
        <w:t xml:space="preserve"> no prazo de cinco (5) dias.</w:t>
      </w:r>
    </w:p>
    <w:p w:rsidR="00D549BC" w:rsidRDefault="00D549BC" w:rsidP="00C55ADA">
      <w:pPr>
        <w:pStyle w:val="FootnoteText"/>
        <w:ind w:firstLine="0"/>
      </w:pPr>
      <w:r w:rsidRPr="001651BC">
        <w:rPr>
          <w:rFonts w:ascii="Times New Roman" w:hAnsi="Times New Roman"/>
        </w:rPr>
        <w:t>§ 3º Será sempre motivado o despacho pelo qual o presidente do Tribunal ou o Juiz admitir o recurso ou denegar a sua interposição.</w:t>
      </w:r>
      <w:r>
        <w:rPr>
          <w:rFonts w:ascii="Times New Roman" w:hAnsi="Times New Roman"/>
        </w:rPr>
        <w:t xml:space="preserve"> (BRASIL. </w:t>
      </w:r>
      <w:r w:rsidRPr="00E4537B">
        <w:rPr>
          <w:rFonts w:ascii="Times New Roman" w:hAnsi="Times New Roman"/>
          <w:b/>
        </w:rPr>
        <w:t>Lei 3.396, de 2 de junho de 1958</w:t>
      </w:r>
      <w:r>
        <w:rPr>
          <w:rFonts w:ascii="Times New Roman" w:hAnsi="Times New Roman"/>
        </w:rPr>
        <w:t xml:space="preserve">. Disponível em: </w:t>
      </w:r>
      <w:r w:rsidRPr="00C47B18">
        <w:rPr>
          <w:rFonts w:ascii="Times New Roman" w:hAnsi="Times New Roman"/>
        </w:rPr>
        <w:t>http://www.planalto.gov.br/ccivil_03/LEIS/1950-1969/L3396.htm#art8</w:t>
      </w:r>
      <w:r>
        <w:rPr>
          <w:rFonts w:ascii="Times New Roman" w:hAnsi="Times New Roman"/>
        </w:rPr>
        <w:t xml:space="preserve">. Acesso em: 10 out. 2014.)  </w:t>
      </w:r>
    </w:p>
  </w:footnote>
  <w:footnote w:id="98">
    <w:p w:rsidR="00D549BC" w:rsidRDefault="00D549BC" w:rsidP="00153A85">
      <w:pPr>
        <w:pStyle w:val="FootnoteText"/>
        <w:ind w:firstLine="0"/>
        <w:rPr>
          <w:rFonts w:ascii="Times New Roman" w:hAnsi="Times New Roman"/>
        </w:rPr>
      </w:pPr>
      <w:r w:rsidRPr="00153A85">
        <w:rPr>
          <w:rStyle w:val="FootnoteReference"/>
          <w:rFonts w:ascii="Times New Roman" w:hAnsi="Times New Roman"/>
        </w:rPr>
        <w:footnoteRef/>
      </w:r>
      <w:r w:rsidRPr="00153A85">
        <w:rPr>
          <w:rFonts w:ascii="Times New Roman" w:hAnsi="Times New Roman"/>
        </w:rPr>
        <w:t xml:space="preserve"> </w:t>
      </w:r>
      <w:r>
        <w:rPr>
          <w:rFonts w:ascii="Times New Roman" w:hAnsi="Times New Roman"/>
        </w:rPr>
        <w:t xml:space="preserve">A exemplo dos artigos 541 </w:t>
      </w:r>
      <w:r w:rsidRPr="00153A85">
        <w:rPr>
          <w:rFonts w:ascii="Times New Roman" w:hAnsi="Times New Roman"/>
          <w:i/>
        </w:rPr>
        <w:t>caput</w:t>
      </w:r>
      <w:r>
        <w:rPr>
          <w:rFonts w:ascii="Times New Roman" w:hAnsi="Times New Roman"/>
        </w:rPr>
        <w:t xml:space="preserve"> e 542, § 1º do Código de Processo Civil em vigor:</w:t>
      </w:r>
    </w:p>
    <w:p w:rsidR="00D549BC" w:rsidRDefault="00D549BC" w:rsidP="00153A85">
      <w:pPr>
        <w:pStyle w:val="FootnoteText"/>
        <w:ind w:firstLine="0"/>
        <w:rPr>
          <w:rFonts w:ascii="Times New Roman" w:hAnsi="Times New Roman"/>
        </w:rPr>
      </w:pPr>
      <w:r w:rsidRPr="00153A85">
        <w:rPr>
          <w:rFonts w:ascii="Times New Roman" w:hAnsi="Times New Roman"/>
        </w:rPr>
        <w:t>Art. 541. O recurso extraordinário e o recurso especial, nos casos previstos na Constituição Federal, serão interpostos perante o presidente ou o vice-presidente do tribunal recorrido, em petições distintas, que conterão:</w:t>
      </w:r>
    </w:p>
    <w:p w:rsidR="00D549BC" w:rsidRDefault="00D549BC" w:rsidP="00153A85">
      <w:pPr>
        <w:pStyle w:val="FootnoteText"/>
        <w:ind w:firstLine="0"/>
        <w:rPr>
          <w:rFonts w:ascii="Times New Roman" w:hAnsi="Times New Roman"/>
        </w:rPr>
      </w:pPr>
      <w:r w:rsidRPr="00153A85">
        <w:rPr>
          <w:rFonts w:ascii="Times New Roman" w:hAnsi="Times New Roman"/>
        </w:rPr>
        <w:t>Art. 542. Recebida a petição pela secretaria do tribunal, será intimado o recorrido, abrindo-se-lh</w:t>
      </w:r>
      <w:r>
        <w:rPr>
          <w:rFonts w:ascii="Times New Roman" w:hAnsi="Times New Roman"/>
        </w:rPr>
        <w:t>e vista, para apresentar contrar</w:t>
      </w:r>
      <w:r w:rsidRPr="00153A85">
        <w:rPr>
          <w:rFonts w:ascii="Times New Roman" w:hAnsi="Times New Roman"/>
        </w:rPr>
        <w:t>razões.</w:t>
      </w:r>
    </w:p>
    <w:p w:rsidR="00D549BC" w:rsidRDefault="00D549BC" w:rsidP="00153A85">
      <w:pPr>
        <w:pStyle w:val="FootnoteText"/>
        <w:ind w:firstLine="0"/>
        <w:rPr>
          <w:rFonts w:ascii="Times New Roman" w:hAnsi="Times New Roman"/>
        </w:rPr>
      </w:pPr>
      <w:r>
        <w:rPr>
          <w:rFonts w:ascii="Times New Roman" w:hAnsi="Times New Roman"/>
        </w:rPr>
        <w:t>§ 1º</w:t>
      </w:r>
      <w:r w:rsidRPr="00153A85">
        <w:rPr>
          <w:rFonts w:ascii="Times New Roman" w:hAnsi="Times New Roman"/>
        </w:rPr>
        <w:t xml:space="preserve"> Findo esse prazo, serão os autos conclusos para admissão ou não do recurso, no prazo de 15 (quinze) dias, em decisão fundamentada.</w:t>
      </w:r>
    </w:p>
    <w:p w:rsidR="00D549BC" w:rsidRDefault="00D549BC" w:rsidP="00153A85">
      <w:pPr>
        <w:pStyle w:val="FootnoteText"/>
        <w:ind w:firstLine="0"/>
        <w:rPr>
          <w:rFonts w:ascii="Times New Roman" w:hAnsi="Times New Roman"/>
        </w:rPr>
      </w:pPr>
      <w:r>
        <w:rPr>
          <w:rFonts w:ascii="Times New Roman" w:hAnsi="Times New Roman"/>
        </w:rPr>
        <w:t xml:space="preserve">Oportuno esclarecer que o Novo Código de Processo Civil (Lei nº 13.105/2015) põe fim à obrigatoriedade do juízo de admissibilidade, a ser feito nas instâncias </w:t>
      </w:r>
      <w:r w:rsidRPr="006018F4">
        <w:rPr>
          <w:rFonts w:ascii="Times New Roman" w:hAnsi="Times New Roman"/>
          <w:i/>
        </w:rPr>
        <w:t>a quo</w:t>
      </w:r>
      <w:r>
        <w:rPr>
          <w:rFonts w:ascii="Times New Roman" w:hAnsi="Times New Roman"/>
        </w:rPr>
        <w:t xml:space="preserve">, para o Recurso Extraordinário, ou seja, o mesmo será facultativo, vejamos: </w:t>
      </w:r>
    </w:p>
    <w:p w:rsidR="00D549BC" w:rsidRDefault="00D549BC" w:rsidP="00153A85">
      <w:pPr>
        <w:pStyle w:val="FootnoteText"/>
        <w:ind w:firstLine="0"/>
        <w:rPr>
          <w:rFonts w:ascii="Times New Roman" w:hAnsi="Times New Roman"/>
        </w:rPr>
      </w:pPr>
      <w:r w:rsidRPr="006018F4">
        <w:rPr>
          <w:rFonts w:ascii="Times New Roman" w:hAnsi="Times New Roman"/>
          <w:i/>
        </w:rPr>
        <w:t>Art. 1030</w:t>
      </w:r>
      <w:r>
        <w:rPr>
          <w:rFonts w:ascii="Times New Roman" w:hAnsi="Times New Roman"/>
        </w:rPr>
        <w:t xml:space="preserve">. </w:t>
      </w:r>
      <w:r w:rsidRPr="00D53F41">
        <w:rPr>
          <w:rFonts w:ascii="Times New Roman" w:hAnsi="Times New Roman"/>
          <w:i/>
        </w:rPr>
        <w:t xml:space="preserve">Recebida a petição </w:t>
      </w:r>
      <w:r>
        <w:rPr>
          <w:rFonts w:ascii="Times New Roman" w:hAnsi="Times New Roman"/>
          <w:i/>
        </w:rPr>
        <w:t xml:space="preserve">do recurso </w:t>
      </w:r>
      <w:r w:rsidRPr="00D53F41">
        <w:rPr>
          <w:rFonts w:ascii="Times New Roman" w:hAnsi="Times New Roman"/>
          <w:i/>
        </w:rPr>
        <w:t>pela secretaria do tribunal,</w:t>
      </w:r>
      <w:r>
        <w:rPr>
          <w:rFonts w:ascii="Times New Roman" w:hAnsi="Times New Roman"/>
          <w:i/>
        </w:rPr>
        <w:t xml:space="preserve"> </w:t>
      </w:r>
      <w:r w:rsidRPr="00D53F41">
        <w:rPr>
          <w:rFonts w:ascii="Times New Roman" w:hAnsi="Times New Roman"/>
          <w:i/>
        </w:rPr>
        <w:t>o recorrido será intimado</w:t>
      </w:r>
      <w:r>
        <w:rPr>
          <w:rFonts w:ascii="Times New Roman" w:hAnsi="Times New Roman"/>
          <w:i/>
        </w:rPr>
        <w:t xml:space="preserve"> </w:t>
      </w:r>
      <w:r w:rsidRPr="00D53F41">
        <w:rPr>
          <w:rFonts w:ascii="Times New Roman" w:hAnsi="Times New Roman"/>
          <w:i/>
        </w:rPr>
        <w:t>para apresentar contrarrazões</w:t>
      </w:r>
      <w:r>
        <w:rPr>
          <w:rFonts w:ascii="Times New Roman" w:hAnsi="Times New Roman"/>
          <w:i/>
        </w:rPr>
        <w:t xml:space="preserve"> no prazo de 15 (quinze) dias</w:t>
      </w:r>
      <w:r w:rsidRPr="00D53F41">
        <w:rPr>
          <w:rFonts w:ascii="Times New Roman" w:hAnsi="Times New Roman"/>
          <w:i/>
        </w:rPr>
        <w:t>,</w:t>
      </w:r>
      <w:r>
        <w:rPr>
          <w:rFonts w:ascii="Times New Roman" w:hAnsi="Times New Roman"/>
          <w:i/>
        </w:rPr>
        <w:t xml:space="preserve"> </w:t>
      </w:r>
      <w:r w:rsidRPr="006C50A7">
        <w:rPr>
          <w:rFonts w:ascii="Times New Roman" w:hAnsi="Times New Roman"/>
          <w:b/>
          <w:i/>
        </w:rPr>
        <w:t>findo o qual os autos serão remetidos ao respectivo tribunal superior</w:t>
      </w:r>
      <w:r>
        <w:rPr>
          <w:rFonts w:ascii="Times New Roman" w:hAnsi="Times New Roman"/>
        </w:rPr>
        <w:t xml:space="preserve">. </w:t>
      </w:r>
    </w:p>
    <w:p w:rsidR="00D549BC" w:rsidRDefault="00D549BC" w:rsidP="00153A85">
      <w:pPr>
        <w:pStyle w:val="FootnoteText"/>
        <w:ind w:firstLine="0"/>
      </w:pPr>
      <w:r w:rsidRPr="006018F4">
        <w:rPr>
          <w:rFonts w:ascii="Times New Roman" w:hAnsi="Times New Roman"/>
          <w:i/>
        </w:rPr>
        <w:t>Parágrafo Único</w:t>
      </w:r>
      <w:r>
        <w:rPr>
          <w:rFonts w:ascii="Times New Roman" w:hAnsi="Times New Roman"/>
        </w:rPr>
        <w:t>.</w:t>
      </w:r>
      <w:r>
        <w:rPr>
          <w:rFonts w:ascii="Times New Roman" w:hAnsi="Times New Roman"/>
          <w:i/>
        </w:rPr>
        <w:t xml:space="preserve"> </w:t>
      </w:r>
      <w:r w:rsidRPr="006C50A7">
        <w:rPr>
          <w:rFonts w:ascii="Times New Roman" w:hAnsi="Times New Roman"/>
          <w:b/>
          <w:i/>
        </w:rPr>
        <w:t>A remessa de que trata o caput dar-se-á independentemente de juízo de admissibilidade</w:t>
      </w:r>
      <w:r>
        <w:rPr>
          <w:rFonts w:ascii="Times New Roman" w:hAnsi="Times New Roman"/>
        </w:rPr>
        <w:t xml:space="preserve">. (Grifos nossos). </w:t>
      </w:r>
    </w:p>
  </w:footnote>
  <w:footnote w:id="99">
    <w:p w:rsidR="00D549BC" w:rsidRDefault="00D549BC" w:rsidP="00953471">
      <w:pPr>
        <w:pStyle w:val="FootnoteText"/>
        <w:ind w:firstLine="0"/>
      </w:pPr>
      <w:r w:rsidRPr="00953471">
        <w:rPr>
          <w:rStyle w:val="FootnoteReference"/>
          <w:rFonts w:ascii="Times New Roman" w:hAnsi="Times New Roman"/>
        </w:rPr>
        <w:footnoteRef/>
      </w:r>
      <w:r w:rsidRPr="00953471">
        <w:rPr>
          <w:rFonts w:ascii="Times New Roman" w:hAnsi="Times New Roman"/>
        </w:rPr>
        <w:t xml:space="preserve"> </w:t>
      </w:r>
      <w:r>
        <w:rPr>
          <w:rFonts w:ascii="Times New Roman" w:hAnsi="Times New Roman"/>
        </w:rPr>
        <w:t>Para CARLOS ROBICHEZ PENNA (</w:t>
      </w:r>
      <w:r>
        <w:rPr>
          <w:rFonts w:ascii="Times New Roman" w:hAnsi="Times New Roman"/>
          <w:i/>
        </w:rPr>
        <w:t>a</w:t>
      </w:r>
      <w:r w:rsidRPr="00953471">
        <w:rPr>
          <w:rFonts w:ascii="Times New Roman" w:hAnsi="Times New Roman"/>
          <w:i/>
        </w:rPr>
        <w:t>pud</w:t>
      </w:r>
      <w:r>
        <w:rPr>
          <w:rFonts w:ascii="Times New Roman" w:hAnsi="Times New Roman"/>
        </w:rPr>
        <w:t xml:space="preserve"> MANCUSO, Rodolfo de Camargo. </w:t>
      </w:r>
      <w:r w:rsidRPr="001B75A4">
        <w:rPr>
          <w:rFonts w:ascii="Times New Roman" w:hAnsi="Times New Roman"/>
          <w:b/>
        </w:rPr>
        <w:t>Recurso Extraordinário e Recurso Especial</w:t>
      </w:r>
      <w:r>
        <w:rPr>
          <w:rFonts w:ascii="Times New Roman" w:hAnsi="Times New Roman"/>
        </w:rPr>
        <w:t xml:space="preserve">. 7. ed. São Paulo: Revista dos Tribunais, 2001, p. 59), advogado atuante em Brasília, a crise em questão “nasceu do fantástico número de processos que anualmente dão entrada no Protocolo da Corte, principalmente os Recursos Extraordinários e seus recursos conexos (Agravo de Instrumento, arguições de relevância e Embargos de Declaração e Divergência)”. O autor conta que em 1891 deu entrada no STF “o recurso extraordinário n. 1; em 1904, a média anual deu em 26; em 1933, montou a média em 55; já em 1960, ano em que o STF transferiu-se para Brasília, foram julgados 5.946 recursos extraordinários, quantidade que já à época foi considerada excessiva e preocupante por seus juízes”. O crescimento avantajou-se quase em “progressão geométrica”, sendo que o relatório anual de 1985 “informa terem sido julgados 17.798 processos diversos”. </w:t>
      </w:r>
    </w:p>
  </w:footnote>
  <w:footnote w:id="100">
    <w:p w:rsidR="00D549BC" w:rsidRDefault="00D549BC" w:rsidP="004B4638">
      <w:pPr>
        <w:pStyle w:val="FootnoteText"/>
        <w:ind w:firstLine="0"/>
      </w:pPr>
      <w:r w:rsidRPr="000353D3">
        <w:rPr>
          <w:rStyle w:val="FootnoteReference"/>
          <w:rFonts w:ascii="Times New Roman" w:hAnsi="Times New Roman"/>
        </w:rPr>
        <w:footnoteRef/>
      </w:r>
      <w:r w:rsidRPr="000353D3">
        <w:rPr>
          <w:rFonts w:ascii="Times New Roman" w:hAnsi="Times New Roman"/>
        </w:rPr>
        <w:t xml:space="preserve"> </w:t>
      </w:r>
      <w:r>
        <w:rPr>
          <w:rFonts w:ascii="Times New Roman" w:hAnsi="Times New Roman"/>
        </w:rPr>
        <w:t xml:space="preserve">Segundo MOREIRA ALVES, </w:t>
      </w:r>
      <w:r w:rsidRPr="00457922">
        <w:rPr>
          <w:rFonts w:ascii="Times New Roman" w:hAnsi="Times New Roman"/>
        </w:rPr>
        <w:t>essa modificação de competência não foi instituída “com o objetivo</w:t>
      </w:r>
      <w:r>
        <w:rPr>
          <w:rFonts w:ascii="Times New Roman" w:hAnsi="Times New Roman"/>
        </w:rPr>
        <w:t xml:space="preserve"> </w:t>
      </w:r>
      <w:r w:rsidRPr="00457922">
        <w:rPr>
          <w:rFonts w:ascii="Times New Roman" w:hAnsi="Times New Roman"/>
        </w:rPr>
        <w:t>precípuo de transformar o Supremo Tribunal Federal numa verdadeira Corte Constitucional do tipo europeu,</w:t>
      </w:r>
      <w:r>
        <w:rPr>
          <w:rFonts w:ascii="Times New Roman" w:hAnsi="Times New Roman"/>
        </w:rPr>
        <w:t xml:space="preserve"> </w:t>
      </w:r>
      <w:r w:rsidRPr="00457922">
        <w:rPr>
          <w:rFonts w:ascii="Times New Roman" w:hAnsi="Times New Roman"/>
        </w:rPr>
        <w:t xml:space="preserve">dando-lhe o controle judiciário concentrado de constitucionalidade das leis, a par do controle </w:t>
      </w:r>
      <w:r w:rsidRPr="00457922">
        <w:rPr>
          <w:rFonts w:ascii="Times New Roman" w:hAnsi="Times New Roman"/>
          <w:i/>
        </w:rPr>
        <w:t>incidenter tantum</w:t>
      </w:r>
      <w:r w:rsidRPr="00457922">
        <w:rPr>
          <w:rFonts w:ascii="Times New Roman" w:hAnsi="Times New Roman"/>
        </w:rPr>
        <w:t xml:space="preserve"> à maneira do sistema americano-do-norte, mas, sim, visando a enfrentar a denominada </w:t>
      </w:r>
      <w:r w:rsidRPr="004B4638">
        <w:rPr>
          <w:rFonts w:ascii="Times New Roman" w:hAnsi="Times New Roman"/>
          <w:i/>
        </w:rPr>
        <w:t>crise do Supremo Tribunal Federal</w:t>
      </w:r>
      <w:r w:rsidRPr="00457922">
        <w:rPr>
          <w:rFonts w:ascii="Times New Roman" w:hAnsi="Times New Roman"/>
        </w:rPr>
        <w:t>, tanto assim que o então Min. da Justiça, JURACY MAGALHÃES, na exposição de</w:t>
      </w:r>
      <w:r>
        <w:rPr>
          <w:rFonts w:ascii="Times New Roman" w:hAnsi="Times New Roman"/>
        </w:rPr>
        <w:t xml:space="preserve"> </w:t>
      </w:r>
      <w:r w:rsidRPr="00457922">
        <w:rPr>
          <w:rFonts w:ascii="Times New Roman" w:hAnsi="Times New Roman"/>
        </w:rPr>
        <w:t>motivos do projeto de Emenda Constitucional, salientava que essa representação seria um meio de redução</w:t>
      </w:r>
      <w:r>
        <w:rPr>
          <w:rFonts w:ascii="Times New Roman" w:hAnsi="Times New Roman"/>
        </w:rPr>
        <w:t xml:space="preserve"> </w:t>
      </w:r>
      <w:r w:rsidRPr="00457922">
        <w:rPr>
          <w:rFonts w:ascii="Times New Roman" w:hAnsi="Times New Roman"/>
        </w:rPr>
        <w:t>do volume de recursos para a Corte, porquanto, ao invés de se declarar a inconstitucionalidade de uma lei</w:t>
      </w:r>
      <w:r>
        <w:rPr>
          <w:rFonts w:ascii="Times New Roman" w:hAnsi="Times New Roman"/>
        </w:rPr>
        <w:t xml:space="preserve"> </w:t>
      </w:r>
      <w:r w:rsidRPr="00457922">
        <w:rPr>
          <w:rFonts w:ascii="Times New Roman" w:hAnsi="Times New Roman"/>
        </w:rPr>
        <w:t>casuisticamente, dezenas ou centenas de vezes, far</w:t>
      </w:r>
      <w:r>
        <w:rPr>
          <w:rFonts w:ascii="Times New Roman" w:hAnsi="Times New Roman"/>
        </w:rPr>
        <w:t>-se-</w:t>
      </w:r>
      <w:r w:rsidRPr="00457922">
        <w:rPr>
          <w:rFonts w:ascii="Times New Roman" w:hAnsi="Times New Roman"/>
        </w:rPr>
        <w:t>ia essa declaração numa única vez, solvendo-se, no</w:t>
      </w:r>
      <w:r>
        <w:rPr>
          <w:rFonts w:ascii="Times New Roman" w:hAnsi="Times New Roman"/>
        </w:rPr>
        <w:t xml:space="preserve"> </w:t>
      </w:r>
      <w:r w:rsidRPr="00457922">
        <w:rPr>
          <w:rFonts w:ascii="Times New Roman" w:hAnsi="Times New Roman"/>
        </w:rPr>
        <w:t>nascedouro, questão que seria fonte de inumeráveis recursos se a declaração de inconstitucionalidade se</w:t>
      </w:r>
      <w:r>
        <w:rPr>
          <w:rFonts w:ascii="Times New Roman" w:hAnsi="Times New Roman"/>
        </w:rPr>
        <w:t xml:space="preserve"> </w:t>
      </w:r>
      <w:r w:rsidRPr="00457922">
        <w:rPr>
          <w:rFonts w:ascii="Times New Roman" w:hAnsi="Times New Roman"/>
        </w:rPr>
        <w:t xml:space="preserve">fizesse, em cada um deles, </w:t>
      </w:r>
      <w:r w:rsidRPr="004B4638">
        <w:rPr>
          <w:rFonts w:ascii="Times New Roman" w:hAnsi="Times New Roman"/>
          <w:i/>
        </w:rPr>
        <w:t>incidenter tantum</w:t>
      </w:r>
      <w:r w:rsidRPr="00457922">
        <w:rPr>
          <w:rFonts w:ascii="Times New Roman" w:hAnsi="Times New Roman"/>
        </w:rPr>
        <w:t>” (</w:t>
      </w:r>
      <w:r>
        <w:rPr>
          <w:rFonts w:ascii="Times New Roman" w:hAnsi="Times New Roman"/>
        </w:rPr>
        <w:t xml:space="preserve">MOREIRA ALVES, José Carlos. </w:t>
      </w:r>
      <w:r w:rsidRPr="00D34228">
        <w:rPr>
          <w:rFonts w:ascii="Times New Roman" w:hAnsi="Times New Roman"/>
        </w:rPr>
        <w:t>A missão constitucional do Supremo Tribunal Federal e a arguição de relevância de questão federal.</w:t>
      </w:r>
      <w:r>
        <w:rPr>
          <w:rFonts w:ascii="Times New Roman" w:hAnsi="Times New Roman"/>
        </w:rPr>
        <w:t xml:space="preserve"> </w:t>
      </w:r>
      <w:r w:rsidRPr="00D34228">
        <w:rPr>
          <w:rFonts w:ascii="Times New Roman" w:hAnsi="Times New Roman"/>
          <w:b/>
        </w:rPr>
        <w:t>Revista do Instituto dos Advogados Brasileiros</w:t>
      </w:r>
      <w:r>
        <w:rPr>
          <w:rFonts w:ascii="Times New Roman" w:hAnsi="Times New Roman"/>
        </w:rPr>
        <w:t>, v. 16, n. 58/59, jan./dez., 1</w:t>
      </w:r>
      <w:r w:rsidRPr="004B4638">
        <w:rPr>
          <w:rFonts w:ascii="Times New Roman" w:hAnsi="Times New Roman"/>
        </w:rPr>
        <w:t>982</w:t>
      </w:r>
      <w:r>
        <w:rPr>
          <w:rFonts w:ascii="Times New Roman" w:hAnsi="Times New Roman"/>
        </w:rPr>
        <w:t>, p. 43-44</w:t>
      </w:r>
      <w:r w:rsidRPr="00457922">
        <w:rPr>
          <w:rFonts w:ascii="Times New Roman" w:hAnsi="Times New Roman"/>
        </w:rPr>
        <w:t>)</w:t>
      </w:r>
      <w:r>
        <w:rPr>
          <w:rFonts w:ascii="Times New Roman" w:hAnsi="Times New Roman"/>
        </w:rPr>
        <w:t xml:space="preserve">. </w:t>
      </w:r>
    </w:p>
  </w:footnote>
  <w:footnote w:id="101">
    <w:p w:rsidR="00D549BC" w:rsidRDefault="00D549BC" w:rsidP="00671009">
      <w:pPr>
        <w:pStyle w:val="FootnoteText"/>
        <w:ind w:firstLine="0"/>
      </w:pPr>
      <w:r w:rsidRPr="00671009">
        <w:rPr>
          <w:rStyle w:val="FootnoteReference"/>
          <w:rFonts w:ascii="Times New Roman" w:hAnsi="Times New Roman"/>
        </w:rPr>
        <w:footnoteRef/>
      </w:r>
      <w:r w:rsidRPr="00671009">
        <w:rPr>
          <w:rFonts w:ascii="Times New Roman" w:hAnsi="Times New Roman"/>
        </w:rPr>
        <w:t xml:space="preserve"> </w:t>
      </w:r>
      <w:r>
        <w:rPr>
          <w:rFonts w:ascii="Times New Roman" w:hAnsi="Times New Roman"/>
        </w:rPr>
        <w:t xml:space="preserve">Atualmente, proposta bem similar a essa (trânsito em julgado do Recurso Extraordinário em virtude da inércia do órgão de cúpula) vem sendo defendida, também, pelo Ministro Luís Roberto Barroso. Analisaremos, mais adiante, o papel de projetista institucional do referido Ministro, cujo objetivo principal é transformar o Supremo Tribunal Federal em uma autêntica Corte Constitucional, deixando de ser, portanto, uma Corte Recursal.  </w:t>
      </w:r>
    </w:p>
  </w:footnote>
  <w:footnote w:id="102">
    <w:p w:rsidR="00D549BC" w:rsidRDefault="00D549BC" w:rsidP="003A6DB0">
      <w:pPr>
        <w:pStyle w:val="FootnoteText"/>
        <w:ind w:firstLine="0"/>
        <w:rPr>
          <w:rFonts w:ascii="Times New Roman" w:hAnsi="Times New Roman"/>
        </w:rPr>
      </w:pPr>
      <w:r w:rsidRPr="003A6DB0">
        <w:rPr>
          <w:rStyle w:val="FootnoteReference"/>
          <w:rFonts w:ascii="Times New Roman" w:hAnsi="Times New Roman"/>
        </w:rPr>
        <w:footnoteRef/>
      </w:r>
      <w:r w:rsidRPr="003A6DB0">
        <w:rPr>
          <w:rFonts w:ascii="Times New Roman" w:hAnsi="Times New Roman"/>
        </w:rPr>
        <w:t xml:space="preserve"> Art. 119. Compete ao Supremo Tribunal Federal:</w:t>
      </w:r>
      <w:r>
        <w:rPr>
          <w:rFonts w:ascii="Times New Roman" w:hAnsi="Times New Roman"/>
        </w:rPr>
        <w:t xml:space="preserve"> </w:t>
      </w:r>
      <w:r w:rsidRPr="003A6DB0">
        <w:rPr>
          <w:rFonts w:ascii="Times New Roman" w:hAnsi="Times New Roman"/>
        </w:rPr>
        <w:t>III - julgar, mediante recurso extraordinário, as causas decididas em única ou última instância por outros tribunais, quando a decisão recorrida:</w:t>
      </w:r>
      <w:r>
        <w:rPr>
          <w:rFonts w:ascii="Times New Roman" w:hAnsi="Times New Roman"/>
        </w:rPr>
        <w:t xml:space="preserve"> </w:t>
      </w:r>
      <w:r w:rsidRPr="003A6DB0">
        <w:rPr>
          <w:rFonts w:ascii="Times New Roman" w:hAnsi="Times New Roman"/>
        </w:rPr>
        <w:t>a) contrariar dispositivo desta Constituição ou negar vigência de tratado ou lei federal;</w:t>
      </w:r>
      <w:r>
        <w:rPr>
          <w:rFonts w:ascii="Times New Roman" w:hAnsi="Times New Roman"/>
        </w:rPr>
        <w:t xml:space="preserve"> </w:t>
      </w:r>
      <w:r w:rsidRPr="003A6DB0">
        <w:rPr>
          <w:rFonts w:ascii="Times New Roman" w:hAnsi="Times New Roman"/>
        </w:rPr>
        <w:t>b) declarar a inconstitucionalidade de tratado ou lei federal;</w:t>
      </w:r>
      <w:r>
        <w:rPr>
          <w:rFonts w:ascii="Times New Roman" w:hAnsi="Times New Roman"/>
        </w:rPr>
        <w:t xml:space="preserve"> </w:t>
      </w:r>
      <w:r w:rsidRPr="003A6DB0">
        <w:rPr>
          <w:rFonts w:ascii="Times New Roman" w:hAnsi="Times New Roman"/>
        </w:rPr>
        <w:t>c) julgar válida lei ou ato do gov</w:t>
      </w:r>
      <w:r>
        <w:rPr>
          <w:rFonts w:ascii="Times New Roman" w:hAnsi="Times New Roman"/>
        </w:rPr>
        <w:t>e</w:t>
      </w:r>
      <w:r w:rsidRPr="003A6DB0">
        <w:rPr>
          <w:rFonts w:ascii="Times New Roman" w:hAnsi="Times New Roman"/>
        </w:rPr>
        <w:t>rno local contestado em face da Constituição ou de lei federal; ou</w:t>
      </w:r>
      <w:r>
        <w:rPr>
          <w:rFonts w:ascii="Times New Roman" w:hAnsi="Times New Roman"/>
        </w:rPr>
        <w:t xml:space="preserve"> </w:t>
      </w:r>
      <w:r w:rsidRPr="003A6DB0">
        <w:rPr>
          <w:rFonts w:ascii="Times New Roman" w:hAnsi="Times New Roman"/>
        </w:rPr>
        <w:t>d) der à lei federal interpretação divergente da que lhe tenha dado outro Tribunal ou o pr</w:t>
      </w:r>
      <w:r>
        <w:rPr>
          <w:rFonts w:ascii="Times New Roman" w:hAnsi="Times New Roman"/>
        </w:rPr>
        <w:t>óprio Supremo Tribunal Federal.</w:t>
      </w:r>
    </w:p>
    <w:p w:rsidR="00D549BC" w:rsidRDefault="00D549BC" w:rsidP="003A6DB0">
      <w:pPr>
        <w:pStyle w:val="FootnoteText"/>
        <w:ind w:firstLine="0"/>
      </w:pPr>
      <w:r w:rsidRPr="003A6DB0">
        <w:rPr>
          <w:rFonts w:ascii="Times New Roman" w:hAnsi="Times New Roman"/>
          <w:i/>
        </w:rPr>
        <w:t>Parágrafo único</w:t>
      </w:r>
      <w:r w:rsidRPr="003A6DB0">
        <w:rPr>
          <w:rFonts w:ascii="Times New Roman" w:hAnsi="Times New Roman"/>
        </w:rPr>
        <w:t xml:space="preserve">. </w:t>
      </w:r>
      <w:r w:rsidRPr="003A6DB0">
        <w:rPr>
          <w:rFonts w:ascii="Times New Roman" w:hAnsi="Times New Roman"/>
          <w:b/>
          <w:i/>
        </w:rPr>
        <w:t>As causas a que se refere o item III, alíneas a e d, d</w:t>
      </w:r>
      <w:r>
        <w:rPr>
          <w:rFonts w:ascii="Times New Roman" w:hAnsi="Times New Roman"/>
          <w:b/>
          <w:i/>
        </w:rPr>
        <w:t>e</w:t>
      </w:r>
      <w:r w:rsidRPr="003A6DB0">
        <w:rPr>
          <w:rFonts w:ascii="Times New Roman" w:hAnsi="Times New Roman"/>
          <w:b/>
          <w:i/>
        </w:rPr>
        <w:t>ste artigo, serão indicadas pelo Supremo Tribunal Federal no regimento interno, que atenderá à sua natureza, espécie ou valor pecuniário</w:t>
      </w:r>
      <w:r>
        <w:rPr>
          <w:rFonts w:ascii="Times New Roman" w:hAnsi="Times New Roman"/>
        </w:rPr>
        <w:t xml:space="preserve"> (grifos nossos). </w:t>
      </w:r>
    </w:p>
  </w:footnote>
  <w:footnote w:id="103">
    <w:p w:rsidR="00D549BC" w:rsidRDefault="00D549BC" w:rsidP="00D6737E">
      <w:pPr>
        <w:pStyle w:val="FootnoteText"/>
        <w:ind w:firstLine="0"/>
      </w:pPr>
      <w:r w:rsidRPr="00D6737E">
        <w:rPr>
          <w:rStyle w:val="FootnoteReference"/>
          <w:rFonts w:ascii="Times New Roman" w:hAnsi="Times New Roman"/>
        </w:rPr>
        <w:footnoteRef/>
      </w:r>
      <w:r w:rsidRPr="00D6737E">
        <w:rPr>
          <w:rFonts w:ascii="Times New Roman" w:hAnsi="Times New Roman"/>
        </w:rPr>
        <w:t xml:space="preserve"> </w:t>
      </w:r>
      <w:r>
        <w:rPr>
          <w:rFonts w:ascii="Times New Roman" w:hAnsi="Times New Roman"/>
        </w:rPr>
        <w:t xml:space="preserve">O artigo 344 do RISTF de 1970 previu que: “Êste Regimento entrará em vigor em 15 de outubro de 1970, revogadas as disposições em contrário”. (BRASIL. Supremo Tribunal Federal. Regimento Interno de 1970. Disponível em: </w:t>
      </w:r>
      <w:r w:rsidRPr="006A0A20">
        <w:rPr>
          <w:rFonts w:ascii="Times New Roman" w:hAnsi="Times New Roman"/>
        </w:rPr>
        <w:t>http://www.stf.jus.br/portal/cms/verTexto.asp?servico=bibliotecaConsultaProdutoBibliotecaRI&amp;pagina=1970</w:t>
      </w:r>
      <w:r>
        <w:rPr>
          <w:rFonts w:ascii="Times New Roman" w:hAnsi="Times New Roman"/>
        </w:rPr>
        <w:t xml:space="preserve">. Acesso em: 10 out. 2014. </w:t>
      </w:r>
    </w:p>
  </w:footnote>
  <w:footnote w:id="104">
    <w:p w:rsidR="00D549BC" w:rsidRDefault="00D549BC" w:rsidP="003F7E9F">
      <w:pPr>
        <w:pStyle w:val="FootnoteText"/>
        <w:ind w:firstLine="0"/>
      </w:pPr>
      <w:r w:rsidRPr="00202F3F">
        <w:rPr>
          <w:rStyle w:val="FootnoteReference"/>
          <w:rFonts w:ascii="Times New Roman" w:hAnsi="Times New Roman"/>
        </w:rPr>
        <w:footnoteRef/>
      </w:r>
      <w:r>
        <w:rPr>
          <w:rFonts w:ascii="Times New Roman" w:hAnsi="Times New Roman"/>
        </w:rPr>
        <w:t xml:space="preserve"> BRASIL. Supremo Tribunal Federal. Regimento Interno de 1970. Disponível em:      </w:t>
      </w:r>
      <w:r w:rsidRPr="003F7E9F">
        <w:rPr>
          <w:rFonts w:ascii="Times New Roman" w:hAnsi="Times New Roman"/>
        </w:rPr>
        <w:t>http://www.stf.jus.br/portal/cms/verTexto.asp?servico=bibliotecaConsult</w:t>
      </w:r>
      <w:r>
        <w:rPr>
          <w:rFonts w:ascii="Times New Roman" w:hAnsi="Times New Roman"/>
        </w:rPr>
        <w:t>aProdutoBibliotecaRI&amp;pagina=1970. Acesso em: 10 out. 2014.</w:t>
      </w:r>
    </w:p>
  </w:footnote>
  <w:footnote w:id="105">
    <w:p w:rsidR="00D549BC" w:rsidRDefault="00D549BC" w:rsidP="003F7E9F">
      <w:pPr>
        <w:pStyle w:val="FootnoteText"/>
        <w:ind w:firstLine="0"/>
      </w:pPr>
      <w:r w:rsidRPr="00892EA6">
        <w:rPr>
          <w:rStyle w:val="FootnoteReference"/>
          <w:rFonts w:ascii="Times New Roman" w:hAnsi="Times New Roman"/>
        </w:rPr>
        <w:footnoteRef/>
      </w:r>
      <w:r w:rsidRPr="00892EA6">
        <w:rPr>
          <w:rFonts w:ascii="Times New Roman" w:hAnsi="Times New Roman"/>
        </w:rPr>
        <w:t xml:space="preserve"> </w:t>
      </w:r>
      <w:r>
        <w:rPr>
          <w:rFonts w:ascii="Times New Roman" w:hAnsi="Times New Roman"/>
        </w:rPr>
        <w:t xml:space="preserve">Cf. ABREU, Iduna Weinert. </w:t>
      </w:r>
      <w:r w:rsidRPr="003F7E9F">
        <w:rPr>
          <w:rFonts w:ascii="Times New Roman" w:hAnsi="Times New Roman"/>
        </w:rPr>
        <w:t>A arguição de relevância da questão federal</w:t>
      </w:r>
      <w:r>
        <w:rPr>
          <w:rFonts w:ascii="Times New Roman" w:hAnsi="Times New Roman"/>
        </w:rPr>
        <w:t xml:space="preserve">. </w:t>
      </w:r>
      <w:r w:rsidRPr="003F7E9F">
        <w:rPr>
          <w:rFonts w:ascii="Times New Roman" w:hAnsi="Times New Roman"/>
          <w:b/>
        </w:rPr>
        <w:t>Revista de Informação Legislativa</w:t>
      </w:r>
      <w:r>
        <w:rPr>
          <w:rFonts w:ascii="Times New Roman" w:hAnsi="Times New Roman"/>
        </w:rPr>
        <w:t xml:space="preserve">, v. 16, n. 61, jan./mar. de 1979, p. 175. Disponível em: </w:t>
      </w:r>
      <w:r w:rsidRPr="003F7E9F">
        <w:rPr>
          <w:rFonts w:ascii="Times New Roman" w:hAnsi="Times New Roman"/>
        </w:rPr>
        <w:t>http://www2.senado.leg.br/bdsf/handle/id/181098</w:t>
      </w:r>
      <w:r>
        <w:rPr>
          <w:rFonts w:ascii="Times New Roman" w:hAnsi="Times New Roman"/>
        </w:rPr>
        <w:t>. Acesso em: 12 out. 2014.</w:t>
      </w:r>
    </w:p>
  </w:footnote>
  <w:footnote w:id="106">
    <w:p w:rsidR="00D549BC" w:rsidRDefault="00D549BC" w:rsidP="00C50FD3">
      <w:pPr>
        <w:pStyle w:val="FootnoteText"/>
        <w:ind w:firstLine="0"/>
      </w:pPr>
      <w:r w:rsidRPr="00C50FD3">
        <w:rPr>
          <w:rStyle w:val="FootnoteReference"/>
          <w:rFonts w:ascii="Times New Roman" w:hAnsi="Times New Roman"/>
        </w:rPr>
        <w:footnoteRef/>
      </w:r>
      <w:r w:rsidRPr="00C50FD3">
        <w:rPr>
          <w:rFonts w:ascii="Times New Roman" w:hAnsi="Times New Roman"/>
        </w:rPr>
        <w:t xml:space="preserve"> </w:t>
      </w:r>
      <w:r>
        <w:rPr>
          <w:rFonts w:ascii="Times New Roman" w:hAnsi="Times New Roman"/>
        </w:rPr>
        <w:t xml:space="preserve">Segundo </w:t>
      </w:r>
      <w:r w:rsidRPr="00C50FD3">
        <w:rPr>
          <w:rFonts w:ascii="Times New Roman" w:hAnsi="Times New Roman"/>
        </w:rPr>
        <w:t>SAMUEL MONTEIRO: “é o STF, por delegação expressa da Constituição Federal, a</w:t>
      </w:r>
      <w:r>
        <w:rPr>
          <w:rFonts w:ascii="Times New Roman" w:hAnsi="Times New Roman"/>
        </w:rPr>
        <w:t xml:space="preserve"> </w:t>
      </w:r>
      <w:r w:rsidRPr="00C50FD3">
        <w:rPr>
          <w:rFonts w:ascii="Times New Roman" w:hAnsi="Times New Roman"/>
        </w:rPr>
        <w:t>partir da CF/67, que detém a competência privativa, específica e derivada, para dizer, no seu RISTF, quais os</w:t>
      </w:r>
      <w:r>
        <w:rPr>
          <w:rFonts w:ascii="Times New Roman" w:hAnsi="Times New Roman"/>
        </w:rPr>
        <w:t xml:space="preserve"> </w:t>
      </w:r>
      <w:r w:rsidRPr="00C50FD3">
        <w:rPr>
          <w:rFonts w:ascii="Times New Roman" w:hAnsi="Times New Roman"/>
        </w:rPr>
        <w:t>casos em que, pelas alíneas a e d do art. 119, III, dessa Constituição Federal, é cabível a interposição de RE”</w:t>
      </w:r>
      <w:r>
        <w:rPr>
          <w:rFonts w:ascii="Times New Roman" w:hAnsi="Times New Roman"/>
        </w:rPr>
        <w:t xml:space="preserve"> </w:t>
      </w:r>
      <w:r w:rsidRPr="00C50FD3">
        <w:rPr>
          <w:rFonts w:ascii="Times New Roman" w:hAnsi="Times New Roman"/>
        </w:rPr>
        <w:t>(</w:t>
      </w:r>
      <w:r>
        <w:rPr>
          <w:rFonts w:ascii="Times New Roman" w:hAnsi="Times New Roman"/>
        </w:rPr>
        <w:t>MONTEIRO, Samuel.</w:t>
      </w:r>
      <w:r w:rsidRPr="00C50FD3">
        <w:rPr>
          <w:rFonts w:ascii="Times New Roman" w:hAnsi="Times New Roman"/>
        </w:rPr>
        <w:t xml:space="preserve"> </w:t>
      </w:r>
      <w:r w:rsidRPr="00C50FD3">
        <w:rPr>
          <w:rFonts w:ascii="Times New Roman" w:hAnsi="Times New Roman"/>
          <w:b/>
        </w:rPr>
        <w:t>Recurso Extraordinário e Arg</w:t>
      </w:r>
      <w:r>
        <w:rPr>
          <w:rFonts w:ascii="Times New Roman" w:hAnsi="Times New Roman"/>
          <w:b/>
        </w:rPr>
        <w:t>u</w:t>
      </w:r>
      <w:r w:rsidRPr="00C50FD3">
        <w:rPr>
          <w:rFonts w:ascii="Times New Roman" w:hAnsi="Times New Roman"/>
          <w:b/>
        </w:rPr>
        <w:t>ição de Relevância</w:t>
      </w:r>
      <w:r>
        <w:rPr>
          <w:rFonts w:ascii="Times New Roman" w:hAnsi="Times New Roman"/>
        </w:rPr>
        <w:t>. São Paulo:</w:t>
      </w:r>
      <w:r w:rsidRPr="00C50FD3">
        <w:rPr>
          <w:rFonts w:ascii="Times New Roman" w:hAnsi="Times New Roman"/>
        </w:rPr>
        <w:t xml:space="preserve"> Hemus,</w:t>
      </w:r>
      <w:r>
        <w:rPr>
          <w:rFonts w:ascii="Times New Roman" w:hAnsi="Times New Roman"/>
        </w:rPr>
        <w:t xml:space="preserve"> </w:t>
      </w:r>
      <w:r w:rsidRPr="00C50FD3">
        <w:rPr>
          <w:rFonts w:ascii="Times New Roman" w:hAnsi="Times New Roman"/>
        </w:rPr>
        <w:t>1987</w:t>
      </w:r>
      <w:r>
        <w:rPr>
          <w:rFonts w:ascii="Times New Roman" w:hAnsi="Times New Roman"/>
        </w:rPr>
        <w:t>,</w:t>
      </w:r>
      <w:r w:rsidRPr="00C50FD3">
        <w:rPr>
          <w:rFonts w:ascii="Times New Roman" w:hAnsi="Times New Roman"/>
        </w:rPr>
        <w:t xml:space="preserve"> p. 74).</w:t>
      </w:r>
    </w:p>
  </w:footnote>
  <w:footnote w:id="107">
    <w:p w:rsidR="00D549BC" w:rsidRDefault="00D549BC" w:rsidP="005A66CF">
      <w:pPr>
        <w:pStyle w:val="FootnoteText"/>
        <w:ind w:firstLine="0"/>
      </w:pPr>
      <w:r w:rsidRPr="005A66CF">
        <w:rPr>
          <w:rStyle w:val="FootnoteReference"/>
          <w:rFonts w:ascii="Times New Roman" w:hAnsi="Times New Roman"/>
        </w:rPr>
        <w:footnoteRef/>
      </w:r>
      <w:r>
        <w:rPr>
          <w:rFonts w:ascii="Times New Roman" w:hAnsi="Times New Roman"/>
        </w:rPr>
        <w:t xml:space="preserve"> BAPTISTA, N. Doreste. </w:t>
      </w:r>
      <w:r w:rsidRPr="00D70291">
        <w:rPr>
          <w:rFonts w:ascii="Times New Roman" w:hAnsi="Times New Roman"/>
          <w:b/>
        </w:rPr>
        <w:t>Da Arguição de Relevância no Recurso Extraordinário</w:t>
      </w:r>
      <w:r>
        <w:rPr>
          <w:rFonts w:ascii="Times New Roman" w:hAnsi="Times New Roman"/>
        </w:rPr>
        <w:t xml:space="preserve">. Rio de Janeiro: Forense, 1976, p. 31. </w:t>
      </w:r>
    </w:p>
  </w:footnote>
  <w:footnote w:id="108">
    <w:p w:rsidR="00D549BC" w:rsidRDefault="00D549BC" w:rsidP="00A86C3F">
      <w:pPr>
        <w:pStyle w:val="FootnoteText"/>
        <w:ind w:firstLine="0"/>
      </w:pPr>
      <w:r w:rsidRPr="00A86C3F">
        <w:rPr>
          <w:rStyle w:val="FootnoteReference"/>
          <w:rFonts w:ascii="Times New Roman" w:hAnsi="Times New Roman"/>
        </w:rPr>
        <w:footnoteRef/>
      </w:r>
      <w:r w:rsidRPr="00A86C3F">
        <w:rPr>
          <w:rFonts w:ascii="Times New Roman" w:hAnsi="Times New Roman"/>
        </w:rPr>
        <w:t xml:space="preserve"> </w:t>
      </w:r>
      <w:r>
        <w:rPr>
          <w:rFonts w:ascii="Times New Roman" w:hAnsi="Times New Roman"/>
        </w:rPr>
        <w:t>Segundo CÂNDIDO RANGEL DINAMARCO (</w:t>
      </w:r>
      <w:r>
        <w:rPr>
          <w:rFonts w:ascii="Times New Roman" w:hAnsi="Times New Roman"/>
          <w:i/>
        </w:rPr>
        <w:t>a</w:t>
      </w:r>
      <w:r w:rsidRPr="00A86C3F">
        <w:rPr>
          <w:rFonts w:ascii="Times New Roman" w:hAnsi="Times New Roman"/>
          <w:i/>
        </w:rPr>
        <w:t>pud</w:t>
      </w:r>
      <w:r>
        <w:rPr>
          <w:rFonts w:ascii="Times New Roman" w:hAnsi="Times New Roman"/>
        </w:rPr>
        <w:t xml:space="preserve"> MANCUSO, Rodolfo de Camargo. </w:t>
      </w:r>
      <w:r w:rsidRPr="00A86C3F">
        <w:rPr>
          <w:rFonts w:ascii="Times New Roman" w:hAnsi="Times New Roman"/>
          <w:i/>
        </w:rPr>
        <w:t>Op. Cit.</w:t>
      </w:r>
      <w:r>
        <w:rPr>
          <w:rFonts w:ascii="Times New Roman" w:hAnsi="Times New Roman"/>
        </w:rPr>
        <w:t xml:space="preserve">, p. 67): “Em todos os países, existe um sistema de seleção de causas e questões com acesso à sua Corte Suprema. Em via recursal evita-se que questões de fato sejam repropostas perante o órgão de cúpula, geralmente conceituado como instância de </w:t>
      </w:r>
      <w:r w:rsidRPr="00A86C3F">
        <w:rPr>
          <w:rFonts w:ascii="Times New Roman" w:hAnsi="Times New Roman"/>
          <w:i/>
        </w:rPr>
        <w:t>superposição</w:t>
      </w:r>
      <w:r>
        <w:rPr>
          <w:rFonts w:ascii="Times New Roman" w:hAnsi="Times New Roman"/>
        </w:rPr>
        <w:t xml:space="preserve">: sobrepõe-se a todos os demais órgãos judiciários e organismos judiciários (justiça comum, justiças especiais, justiça administrativa), mas aprecia exclusivamente </w:t>
      </w:r>
      <w:r w:rsidRPr="00A86C3F">
        <w:rPr>
          <w:rFonts w:ascii="Times New Roman" w:hAnsi="Times New Roman"/>
          <w:i/>
        </w:rPr>
        <w:t>questões jurídicas</w:t>
      </w:r>
      <w:r>
        <w:rPr>
          <w:rFonts w:ascii="Times New Roman" w:hAnsi="Times New Roman"/>
        </w:rPr>
        <w:t xml:space="preserve">, com influência mais direta ou menos direta, mais intensa ou menos intensa, sobre casos concretos em julgamento”.  </w:t>
      </w:r>
    </w:p>
  </w:footnote>
  <w:footnote w:id="109">
    <w:p w:rsidR="00D549BC" w:rsidRDefault="00D549BC" w:rsidP="00790EC6">
      <w:pPr>
        <w:pStyle w:val="FootnoteText"/>
        <w:ind w:firstLine="0"/>
      </w:pPr>
      <w:r w:rsidRPr="00EC127C">
        <w:rPr>
          <w:rStyle w:val="FootnoteReference"/>
          <w:rFonts w:ascii="Times New Roman" w:hAnsi="Times New Roman"/>
        </w:rPr>
        <w:footnoteRef/>
      </w:r>
      <w:r w:rsidRPr="00EC127C">
        <w:rPr>
          <w:rFonts w:ascii="Times New Roman" w:hAnsi="Times New Roman"/>
        </w:rPr>
        <w:t xml:space="preserve"> </w:t>
      </w:r>
      <w:r>
        <w:rPr>
          <w:rFonts w:ascii="Times New Roman" w:hAnsi="Times New Roman"/>
        </w:rPr>
        <w:t>Segundo BALEEIRO, Aliomar (</w:t>
      </w:r>
      <w:r>
        <w:rPr>
          <w:rFonts w:ascii="Times New Roman" w:hAnsi="Times New Roman"/>
          <w:i/>
        </w:rPr>
        <w:t>a</w:t>
      </w:r>
      <w:r w:rsidRPr="00D70291">
        <w:rPr>
          <w:rFonts w:ascii="Times New Roman" w:hAnsi="Times New Roman"/>
          <w:i/>
        </w:rPr>
        <w:t>pud</w:t>
      </w:r>
      <w:r>
        <w:rPr>
          <w:rFonts w:ascii="Times New Roman" w:hAnsi="Times New Roman"/>
        </w:rPr>
        <w:t xml:space="preserve"> BAPTISTA, N. Doreste.</w:t>
      </w:r>
      <w:r>
        <w:rPr>
          <w:rFonts w:ascii="Times New Roman" w:hAnsi="Times New Roman"/>
          <w:b/>
        </w:rPr>
        <w:t xml:space="preserve"> </w:t>
      </w:r>
      <w:r>
        <w:rPr>
          <w:rFonts w:ascii="Times New Roman" w:hAnsi="Times New Roman"/>
          <w:i/>
        </w:rPr>
        <w:t>Op. Cit.</w:t>
      </w:r>
      <w:r>
        <w:rPr>
          <w:rFonts w:ascii="Times New Roman" w:hAnsi="Times New Roman"/>
        </w:rPr>
        <w:t xml:space="preserve">, p. 27): “Em recente estudo de VÍTOR NUNES, a quem são reconhecidos os maiores méritos na instituição da </w:t>
      </w:r>
      <w:r w:rsidRPr="00D70291">
        <w:rPr>
          <w:rFonts w:ascii="Times New Roman" w:hAnsi="Times New Roman"/>
          <w:i/>
        </w:rPr>
        <w:t>Súmula</w:t>
      </w:r>
      <w:r>
        <w:rPr>
          <w:rFonts w:ascii="Times New Roman" w:hAnsi="Times New Roman"/>
        </w:rPr>
        <w:t xml:space="preserve">, há uma nota prévia acerca do </w:t>
      </w:r>
      <w:r w:rsidRPr="00D70291">
        <w:rPr>
          <w:rFonts w:ascii="Times New Roman" w:hAnsi="Times New Roman"/>
          <w:i/>
        </w:rPr>
        <w:t>restatement</w:t>
      </w:r>
      <w:r>
        <w:rPr>
          <w:rFonts w:ascii="Times New Roman" w:hAnsi="Times New Roman"/>
        </w:rPr>
        <w:t xml:space="preserve">, iniciativa do American Law Institute, em 1923. Sustenta ele que nesta época de ‘explosão judiciária’ a </w:t>
      </w:r>
      <w:r w:rsidRPr="00D70291">
        <w:rPr>
          <w:rFonts w:ascii="Times New Roman" w:hAnsi="Times New Roman"/>
          <w:i/>
        </w:rPr>
        <w:t>Súmula</w:t>
      </w:r>
      <w:r>
        <w:rPr>
          <w:rFonts w:ascii="Times New Roman" w:hAnsi="Times New Roman"/>
        </w:rPr>
        <w:t xml:space="preserve"> oferece vantagens sobre o </w:t>
      </w:r>
      <w:r w:rsidRPr="002114F9">
        <w:rPr>
          <w:rFonts w:ascii="Times New Roman" w:hAnsi="Times New Roman"/>
          <w:i/>
        </w:rPr>
        <w:t>restatement of the law</w:t>
      </w:r>
      <w:r>
        <w:rPr>
          <w:rFonts w:ascii="Times New Roman" w:hAnsi="Times New Roman"/>
        </w:rPr>
        <w:t xml:space="preserve">, a despeito do maior prestígio da jurisprudência num Direito apenas em parte codificado ou legislado, como o dos Estados Unidos”. </w:t>
      </w:r>
    </w:p>
  </w:footnote>
  <w:footnote w:id="110">
    <w:p w:rsidR="00D549BC" w:rsidRDefault="00D549BC" w:rsidP="000C3FE5">
      <w:pPr>
        <w:pStyle w:val="FootnoteText"/>
        <w:ind w:firstLine="0"/>
      </w:pPr>
      <w:r w:rsidRPr="000C3FE5">
        <w:rPr>
          <w:rStyle w:val="FootnoteReference"/>
          <w:rFonts w:ascii="Times New Roman" w:hAnsi="Times New Roman"/>
        </w:rPr>
        <w:footnoteRef/>
      </w:r>
      <w:r>
        <w:rPr>
          <w:rFonts w:ascii="Times New Roman" w:hAnsi="Times New Roman"/>
        </w:rPr>
        <w:t xml:space="preserve">“O outro aspecto da flexibilidade da solução sugerida pelo Supremo Tribunal consiste em deixar ao seu ponderado critério, mediante um requisito nôvo, a admissibilidade dos recursos extraordinários (os agravos estão na mesma chave) e dos recursos em mandado de segurança. Essa medida pode significar a solução definitiva do problema, porque, dos 7.849 feitos julgados em 1964, cêrca de 6.500 pertenciam ao conjunto daquelas três classes. Para aliviar o fardo correspondente a tais processos, </w:t>
      </w:r>
      <w:r w:rsidRPr="00E21EB9">
        <w:rPr>
          <w:rFonts w:ascii="Times New Roman" w:hAnsi="Times New Roman"/>
          <w:i/>
        </w:rPr>
        <w:t>pela verificação prévia de sua relevância</w:t>
      </w:r>
      <w:r>
        <w:rPr>
          <w:rFonts w:ascii="Times New Roman" w:hAnsi="Times New Roman"/>
        </w:rPr>
        <w:t xml:space="preserve">, o Supremo Tribunal não sugeriu uma solução artificial, ou que êle próprio houvesse imaginado. </w:t>
      </w:r>
      <w:r w:rsidRPr="00E21EB9">
        <w:rPr>
          <w:rFonts w:ascii="Times New Roman" w:hAnsi="Times New Roman"/>
          <w:i/>
        </w:rPr>
        <w:t>Inspirou-se na experiência da Côrte Suprema dos Estados Unidos</w:t>
      </w:r>
      <w:r>
        <w:rPr>
          <w:rFonts w:ascii="Times New Roman" w:hAnsi="Times New Roman"/>
        </w:rPr>
        <w:t xml:space="preserve">, consoante a reforma ali realizada, 1925, </w:t>
      </w:r>
      <w:r w:rsidRPr="00E21EB9">
        <w:rPr>
          <w:rFonts w:ascii="Times New Roman" w:hAnsi="Times New Roman"/>
          <w:i/>
        </w:rPr>
        <w:t>por sugestão dos próprios ministros</w:t>
      </w:r>
      <w:r>
        <w:rPr>
          <w:rFonts w:ascii="Times New Roman" w:hAnsi="Times New Roman"/>
          <w:i/>
        </w:rPr>
        <w:t>.</w:t>
      </w:r>
      <w:r>
        <w:rPr>
          <w:rFonts w:ascii="Times New Roman" w:hAnsi="Times New Roman"/>
        </w:rPr>
        <w:t>” (NUNES LEAL, Victor.</w:t>
      </w:r>
      <w:r w:rsidRPr="00DD28D5">
        <w:rPr>
          <w:rFonts w:ascii="Times New Roman" w:hAnsi="Times New Roman"/>
          <w:b/>
        </w:rPr>
        <w:t xml:space="preserve"> </w:t>
      </w:r>
      <w:r w:rsidRPr="00EA2F29">
        <w:rPr>
          <w:rFonts w:ascii="Times New Roman" w:hAnsi="Times New Roman"/>
        </w:rPr>
        <w:t>Aspectos da Reforma Judiciária</w:t>
      </w:r>
      <w:r>
        <w:rPr>
          <w:rFonts w:ascii="Times New Roman" w:hAnsi="Times New Roman"/>
        </w:rPr>
        <w:t xml:space="preserve">. </w:t>
      </w:r>
      <w:r w:rsidRPr="00EA2F29">
        <w:rPr>
          <w:rFonts w:ascii="Times New Roman" w:hAnsi="Times New Roman"/>
          <w:b/>
        </w:rPr>
        <w:t>Revista de Informação Legislativa</w:t>
      </w:r>
      <w:r>
        <w:rPr>
          <w:rFonts w:ascii="Times New Roman" w:hAnsi="Times New Roman"/>
        </w:rPr>
        <w:t xml:space="preserve">, </w:t>
      </w:r>
      <w:r w:rsidRPr="00DD28D5">
        <w:rPr>
          <w:rFonts w:ascii="Times New Roman" w:hAnsi="Times New Roman"/>
        </w:rPr>
        <w:t>v. 2, n. 7, set. 1965</w:t>
      </w:r>
      <w:r>
        <w:rPr>
          <w:rFonts w:ascii="Times New Roman" w:hAnsi="Times New Roman"/>
        </w:rPr>
        <w:t xml:space="preserve">, p. 37. Disponível em: </w:t>
      </w:r>
      <w:r w:rsidRPr="00EA2F29">
        <w:rPr>
          <w:rFonts w:ascii="Times New Roman" w:hAnsi="Times New Roman"/>
          <w:shd w:val="clear" w:color="auto" w:fill="FFFFFF"/>
        </w:rPr>
        <w:t>http://www2.senado.leg.br/bdsf/item/id/180663</w:t>
      </w:r>
      <w:r>
        <w:rPr>
          <w:rFonts w:ascii="Times New Roman" w:hAnsi="Times New Roman"/>
        </w:rPr>
        <w:t xml:space="preserve">. Acesso em: 12 out. 2014. Grifos nossos) </w:t>
      </w:r>
    </w:p>
  </w:footnote>
  <w:footnote w:id="111">
    <w:p w:rsidR="00D549BC" w:rsidRDefault="00D549BC" w:rsidP="002D03CC">
      <w:pPr>
        <w:pStyle w:val="FootnoteText"/>
        <w:ind w:firstLine="0"/>
      </w:pPr>
      <w:r w:rsidRPr="002D03CC">
        <w:rPr>
          <w:rStyle w:val="FootnoteReference"/>
          <w:rFonts w:ascii="Times New Roman" w:hAnsi="Times New Roman"/>
        </w:rPr>
        <w:footnoteRef/>
      </w:r>
      <w:r w:rsidRPr="002D03CC">
        <w:rPr>
          <w:rFonts w:ascii="Times New Roman" w:hAnsi="Times New Roman"/>
        </w:rPr>
        <w:t xml:space="preserve"> </w:t>
      </w:r>
      <w:r>
        <w:rPr>
          <w:rFonts w:ascii="Times New Roman" w:hAnsi="Times New Roman"/>
        </w:rPr>
        <w:t xml:space="preserve">Vale relembrar que, antes da Emenda Regimental nº 3/75, o rol do art. 308 do RISTF/1970 tinha apenas quatro incisos, conforme visto anteriormente, número esse que dobrou em 1975. </w:t>
      </w:r>
    </w:p>
  </w:footnote>
  <w:footnote w:id="112">
    <w:p w:rsidR="00D549BC" w:rsidRDefault="00D549BC" w:rsidP="0019310F">
      <w:pPr>
        <w:pStyle w:val="FootnoteText"/>
        <w:ind w:firstLine="0"/>
      </w:pPr>
      <w:r w:rsidRPr="0019310F">
        <w:rPr>
          <w:rStyle w:val="FootnoteReference"/>
          <w:rFonts w:ascii="Times New Roman" w:hAnsi="Times New Roman"/>
        </w:rPr>
        <w:footnoteRef/>
      </w:r>
      <w:r w:rsidRPr="0019310F">
        <w:rPr>
          <w:rFonts w:ascii="Times New Roman" w:hAnsi="Times New Roman"/>
        </w:rPr>
        <w:t xml:space="preserve"> </w:t>
      </w:r>
      <w:r>
        <w:rPr>
          <w:rFonts w:ascii="Times New Roman" w:hAnsi="Times New Roman"/>
        </w:rPr>
        <w:t xml:space="preserve">BRASIL. Supremo Tribunal Federal. Emenda Regimental nº 3, de 12 de junho de 1975. Disponível em:                         </w:t>
      </w:r>
      <w:r w:rsidRPr="00BF1EF2">
        <w:rPr>
          <w:rFonts w:ascii="Times New Roman" w:hAnsi="Times New Roman"/>
        </w:rPr>
        <w:t>http://www.stf.jus.br/portal/cms/verTexto.asp?servico=bibliotecaConsultaProdutoBibliotecaRI&amp;pagina=1970Emenda3</w:t>
      </w:r>
      <w:r>
        <w:rPr>
          <w:rFonts w:ascii="Times New Roman" w:hAnsi="Times New Roman"/>
        </w:rPr>
        <w:t xml:space="preserve">. Acesso em: 10 out. 2014 (grifos nossos). </w:t>
      </w:r>
    </w:p>
  </w:footnote>
  <w:footnote w:id="113">
    <w:p w:rsidR="00D549BC" w:rsidRDefault="00D549BC" w:rsidP="00E673B9">
      <w:pPr>
        <w:pStyle w:val="FootnoteText"/>
        <w:ind w:firstLine="0"/>
      </w:pPr>
      <w:r w:rsidRPr="00E673B9">
        <w:rPr>
          <w:rStyle w:val="FootnoteReference"/>
          <w:rFonts w:ascii="Times New Roman" w:hAnsi="Times New Roman"/>
        </w:rPr>
        <w:footnoteRef/>
      </w:r>
      <w:r w:rsidRPr="00E673B9">
        <w:rPr>
          <w:rFonts w:ascii="Times New Roman" w:hAnsi="Times New Roman"/>
        </w:rPr>
        <w:t xml:space="preserve"> </w:t>
      </w:r>
      <w:r>
        <w:rPr>
          <w:rFonts w:ascii="Times New Roman" w:hAnsi="Times New Roman"/>
        </w:rPr>
        <w:t xml:space="preserve">MANCUSO, Rodolfo de Camargo. </w:t>
      </w:r>
      <w:r w:rsidRPr="00E673B9">
        <w:rPr>
          <w:rFonts w:ascii="Times New Roman" w:hAnsi="Times New Roman"/>
          <w:i/>
        </w:rPr>
        <w:t>Op</w:t>
      </w:r>
      <w:r>
        <w:rPr>
          <w:rFonts w:ascii="Times New Roman" w:hAnsi="Times New Roman"/>
        </w:rPr>
        <w:t xml:space="preserve">. </w:t>
      </w:r>
      <w:r w:rsidRPr="00E673B9">
        <w:rPr>
          <w:rFonts w:ascii="Times New Roman" w:hAnsi="Times New Roman"/>
          <w:i/>
        </w:rPr>
        <w:t>Cit</w:t>
      </w:r>
      <w:r>
        <w:rPr>
          <w:rFonts w:ascii="Times New Roman" w:hAnsi="Times New Roman"/>
        </w:rPr>
        <w:t xml:space="preserve">., p. 65. </w:t>
      </w:r>
    </w:p>
  </w:footnote>
  <w:footnote w:id="114">
    <w:p w:rsidR="00D549BC" w:rsidRDefault="00D549BC" w:rsidP="00E673B9">
      <w:pPr>
        <w:pStyle w:val="FootnoteText"/>
        <w:ind w:firstLine="0"/>
      </w:pPr>
      <w:r w:rsidRPr="00E673B9">
        <w:rPr>
          <w:rStyle w:val="FootnoteReference"/>
          <w:rFonts w:ascii="Times New Roman" w:hAnsi="Times New Roman"/>
        </w:rPr>
        <w:footnoteRef/>
      </w:r>
      <w:r>
        <w:rPr>
          <w:rFonts w:ascii="Times New Roman" w:hAnsi="Times New Roman"/>
        </w:rPr>
        <w:t xml:space="preserve"> Segundo HUGO DE CARVALHO: “os advogados têm sofrido na empreitada de </w:t>
      </w:r>
      <w:r w:rsidRPr="00E673B9">
        <w:rPr>
          <w:rFonts w:ascii="Times New Roman" w:hAnsi="Times New Roman"/>
        </w:rPr>
        <w:t>descobrir o que realmente seja relevante questão federal. A sessão do Conselho é secreta, a</w:t>
      </w:r>
      <w:r>
        <w:rPr>
          <w:rFonts w:ascii="Times New Roman" w:hAnsi="Times New Roman"/>
        </w:rPr>
        <w:t xml:space="preserve"> </w:t>
      </w:r>
      <w:r w:rsidRPr="00E673B9">
        <w:rPr>
          <w:rFonts w:ascii="Times New Roman" w:hAnsi="Times New Roman"/>
        </w:rPr>
        <w:t>decisão não é motivada. Não há como perceber qual a orientação dominante</w:t>
      </w:r>
      <w:r>
        <w:rPr>
          <w:rFonts w:ascii="Times New Roman" w:hAnsi="Times New Roman"/>
        </w:rPr>
        <w:t xml:space="preserve">” (MAGALHÃES, Hugo de Carvalho Ramos. </w:t>
      </w:r>
      <w:r w:rsidRPr="009C59CB">
        <w:rPr>
          <w:rFonts w:ascii="Times New Roman" w:hAnsi="Times New Roman"/>
        </w:rPr>
        <w:t>O recurso extraordinário no cível, seus pressupostos, condições e juízo de admissibilidade.</w:t>
      </w:r>
      <w:r>
        <w:rPr>
          <w:rFonts w:ascii="Times New Roman" w:hAnsi="Times New Roman"/>
        </w:rPr>
        <w:t xml:space="preserve"> </w:t>
      </w:r>
      <w:r w:rsidRPr="009C59CB">
        <w:rPr>
          <w:rFonts w:ascii="Times New Roman" w:hAnsi="Times New Roman"/>
        </w:rPr>
        <w:t>In:</w:t>
      </w:r>
      <w:r>
        <w:rPr>
          <w:rFonts w:ascii="Times New Roman" w:hAnsi="Times New Roman"/>
        </w:rPr>
        <w:t xml:space="preserve"> </w:t>
      </w:r>
      <w:r w:rsidRPr="009C59CB">
        <w:rPr>
          <w:rFonts w:ascii="Times New Roman" w:hAnsi="Times New Roman"/>
          <w:b/>
        </w:rPr>
        <w:t>RePro 49</w:t>
      </w:r>
      <w:r>
        <w:rPr>
          <w:rFonts w:ascii="Times New Roman" w:hAnsi="Times New Roman"/>
        </w:rPr>
        <w:t xml:space="preserve">, São Paulo, 1988, p. 227). </w:t>
      </w:r>
    </w:p>
  </w:footnote>
  <w:footnote w:id="115">
    <w:p w:rsidR="00D549BC" w:rsidRDefault="00D549BC" w:rsidP="00B8163C">
      <w:pPr>
        <w:pStyle w:val="FootnoteText"/>
        <w:ind w:firstLine="0"/>
      </w:pPr>
      <w:r w:rsidRPr="000A6942">
        <w:rPr>
          <w:rStyle w:val="FootnoteReference"/>
          <w:rFonts w:ascii="Times New Roman" w:hAnsi="Times New Roman"/>
        </w:rPr>
        <w:footnoteRef/>
      </w:r>
      <w:r w:rsidRPr="000A6942">
        <w:rPr>
          <w:rFonts w:ascii="Times New Roman" w:hAnsi="Times New Roman"/>
        </w:rPr>
        <w:t xml:space="preserve"> </w:t>
      </w:r>
      <w:r>
        <w:rPr>
          <w:rFonts w:ascii="Times New Roman" w:hAnsi="Times New Roman"/>
        </w:rPr>
        <w:t>Nesse sentido, deve-se conferir o discurso proferido pelo Desembargador Federal Carlos Eduardo Thompson Flores Lenz, em 4 de outubro de 2000, no Instituto dos Advogados do Rio Grande do Sul: “</w:t>
      </w:r>
      <w:r w:rsidRPr="00B8163C">
        <w:rPr>
          <w:rFonts w:ascii="Times New Roman" w:hAnsi="Times New Roman"/>
        </w:rPr>
        <w:t xml:space="preserve">Em 1974, o Supremo Tribunal Federal escolhe Carlos Thompson Flores para presidir a Comissão Especial, integrada pelos Ministros Rodrigues de Alckmin (Relator) e Xavier de Albuquerque, encarregada de redigir esse histórico documento, até hoje considerado o mais completo estudo realizado no Brasil acerca da denominada </w:t>
      </w:r>
      <w:r>
        <w:rPr>
          <w:rFonts w:ascii="Times New Roman" w:hAnsi="Times New Roman"/>
        </w:rPr>
        <w:t>‘crise da Justiça’</w:t>
      </w:r>
      <w:r w:rsidRPr="00B8163C">
        <w:rPr>
          <w:rFonts w:ascii="Times New Roman" w:hAnsi="Times New Roman"/>
        </w:rPr>
        <w:t>.</w:t>
      </w:r>
      <w:r>
        <w:rPr>
          <w:rFonts w:ascii="Times New Roman" w:hAnsi="Times New Roman"/>
        </w:rPr>
        <w:t xml:space="preserve"> (...) </w:t>
      </w:r>
      <w:r w:rsidRPr="00B8163C">
        <w:rPr>
          <w:rFonts w:ascii="Times New Roman" w:hAnsi="Times New Roman"/>
        </w:rPr>
        <w:t>Nele</w:t>
      </w:r>
      <w:r>
        <w:rPr>
          <w:rFonts w:ascii="Times New Roman" w:hAnsi="Times New Roman"/>
        </w:rPr>
        <w:t xml:space="preserve"> [o documento elaborado pela Comissão]</w:t>
      </w:r>
      <w:r w:rsidRPr="00B8163C">
        <w:rPr>
          <w:rFonts w:ascii="Times New Roman" w:hAnsi="Times New Roman"/>
        </w:rPr>
        <w:t xml:space="preserve"> os objetivos da Reforma Judiciária vinham expressos em palavras lapidares, verbis:</w:t>
      </w:r>
      <w:r>
        <w:rPr>
          <w:rFonts w:ascii="Times New Roman" w:hAnsi="Times New Roman"/>
        </w:rPr>
        <w:t xml:space="preserve"> ‘</w:t>
      </w:r>
      <w:r w:rsidRPr="00B8163C">
        <w:rPr>
          <w:rFonts w:ascii="Times New Roman" w:hAnsi="Times New Roman"/>
        </w:rPr>
        <w:t>Quer-se que o Poder Judiciário se torne apto a acompanhar as exigências do desenvolvimento do País e que seja instrumento eficiente de garantia da ordem jurídica. Quer-se que se eliminem as delongas no exercício da atividade judiciária. Quer-se que as decisões do Poder Judiciário encerrem critérios exatos de Justiça. Quer-se que a atividade punitiva se exerça com observância das garantias da defesa, com o respeito à pessoa do acusado e com a aplicação de sanções adequadas. Quer-se que à independência dos magistrados corresponda o exato cumprimento dos deveres do cargo. Quer-se que os jurisdicionados encontrem, no Poder Judiciário, a segura e rápida proteção e restauração de seus direitos, seja qual for a pessoa ou autoridad</w:t>
      </w:r>
      <w:r>
        <w:rPr>
          <w:rFonts w:ascii="Times New Roman" w:hAnsi="Times New Roman"/>
        </w:rPr>
        <w:t xml:space="preserve">e que os ameace ou ofenda’. </w:t>
      </w:r>
      <w:r w:rsidRPr="00B8163C">
        <w:rPr>
          <w:rFonts w:ascii="Times New Roman" w:hAnsi="Times New Roman"/>
        </w:rPr>
        <w:t>A promulgação da Emenda Constitucional nº 7, em 13 de abril de 1977, nas circunstâncias que estão presentes na memória de todos, constituiu o primeiro passo para a Reforma do Poder Judiciário, infelizmente, jamais concretizada em sua inteireza, como pr</w:t>
      </w:r>
      <w:r>
        <w:rPr>
          <w:rFonts w:ascii="Times New Roman" w:hAnsi="Times New Roman"/>
        </w:rPr>
        <w:t xml:space="preserve">opugnavam os seus idealizadores (BRASIL. Planalto. </w:t>
      </w:r>
      <w:r w:rsidRPr="00084C23">
        <w:rPr>
          <w:rFonts w:ascii="Times New Roman" w:hAnsi="Times New Roman"/>
        </w:rPr>
        <w:t>Panteão dos Clássicos</w:t>
      </w:r>
      <w:r>
        <w:rPr>
          <w:rFonts w:ascii="Times New Roman" w:hAnsi="Times New Roman"/>
        </w:rPr>
        <w:t xml:space="preserve">. Disponível em: </w:t>
      </w:r>
      <w:r w:rsidRPr="003A62F0">
        <w:rPr>
          <w:rFonts w:ascii="Times New Roman" w:hAnsi="Times New Roman"/>
        </w:rPr>
        <w:t>http://www.planalto.gov.br/ccivil_03/revista/Rev_68/panteao/panteao.htm</w:t>
      </w:r>
      <w:r>
        <w:rPr>
          <w:rFonts w:ascii="Times New Roman" w:hAnsi="Times New Roman"/>
        </w:rPr>
        <w:t xml:space="preserve">. Acesso em: 15 out. 2014). </w:t>
      </w:r>
    </w:p>
  </w:footnote>
  <w:footnote w:id="116">
    <w:p w:rsidR="00D549BC" w:rsidRDefault="00D549BC" w:rsidP="00367686">
      <w:pPr>
        <w:pStyle w:val="FootnoteText"/>
        <w:ind w:firstLine="0"/>
      </w:pPr>
      <w:r w:rsidRPr="00367686">
        <w:rPr>
          <w:rStyle w:val="FootnoteReference"/>
          <w:rFonts w:ascii="Times New Roman" w:hAnsi="Times New Roman"/>
        </w:rPr>
        <w:footnoteRef/>
      </w:r>
      <w:r>
        <w:rPr>
          <w:rFonts w:ascii="Times New Roman" w:hAnsi="Times New Roman"/>
        </w:rPr>
        <w:t xml:space="preserve"> BRASIL. Planalto. </w:t>
      </w:r>
      <w:r w:rsidRPr="00084C23">
        <w:rPr>
          <w:rFonts w:ascii="Times New Roman" w:hAnsi="Times New Roman"/>
        </w:rPr>
        <w:t>Emenda Constitucional nº 7, de 13 abril de 1977</w:t>
      </w:r>
      <w:r>
        <w:rPr>
          <w:rFonts w:ascii="Times New Roman" w:hAnsi="Times New Roman"/>
        </w:rPr>
        <w:t xml:space="preserve">. Disponível em: </w:t>
      </w:r>
      <w:r w:rsidRPr="003A62F0">
        <w:rPr>
          <w:rFonts w:ascii="Times New Roman" w:hAnsi="Times New Roman"/>
        </w:rPr>
        <w:t>https://www.planalto.gov.br/ccivil_03/Constituicao/Emendas/Emc_anterior1988/emc07-77.htm</w:t>
      </w:r>
      <w:r>
        <w:rPr>
          <w:rFonts w:ascii="Times New Roman" w:hAnsi="Times New Roman"/>
        </w:rPr>
        <w:t>. Acesso em: 15 out. 2014.</w:t>
      </w:r>
    </w:p>
  </w:footnote>
  <w:footnote w:id="117">
    <w:p w:rsidR="00D549BC" w:rsidRDefault="00D549BC" w:rsidP="00804404">
      <w:pPr>
        <w:pStyle w:val="FootnoteText"/>
        <w:ind w:firstLine="0"/>
      </w:pPr>
      <w:r w:rsidRPr="00F82625">
        <w:rPr>
          <w:rStyle w:val="FootnoteReference"/>
          <w:rFonts w:ascii="Times New Roman" w:hAnsi="Times New Roman"/>
        </w:rPr>
        <w:footnoteRef/>
      </w:r>
      <w:r w:rsidRPr="00F82625">
        <w:rPr>
          <w:rFonts w:ascii="Times New Roman" w:hAnsi="Times New Roman"/>
        </w:rPr>
        <w:t xml:space="preserve"> </w:t>
      </w:r>
      <w:r>
        <w:rPr>
          <w:rFonts w:ascii="Times New Roman" w:hAnsi="Times New Roman"/>
        </w:rPr>
        <w:t xml:space="preserve">Art. 325. Salvo nos casos de ofensa à Constituição, manifesta divergência com a Súmula do Supremo Tribunal Federal, ou relevância da questão federal, não caberá o recurso extraordinário a que alude o seu art. 119, § 1º, das decisões proferidas: (...) IX - </w:t>
      </w:r>
      <w:r w:rsidRPr="00804404">
        <w:rPr>
          <w:rFonts w:ascii="Times New Roman" w:hAnsi="Times New Roman"/>
        </w:rPr>
        <w:t>nas revisões</w:t>
      </w:r>
      <w:r>
        <w:rPr>
          <w:rFonts w:ascii="Times New Roman" w:hAnsi="Times New Roman"/>
        </w:rPr>
        <w:t xml:space="preserve"> </w:t>
      </w:r>
      <w:r w:rsidRPr="00804404">
        <w:rPr>
          <w:rFonts w:ascii="Times New Roman" w:hAnsi="Times New Roman"/>
        </w:rPr>
        <w:t>criminais dos processos de que trata o inciso I e nas ações rescisórias de decisões proferidas nos processos</w:t>
      </w:r>
      <w:r>
        <w:rPr>
          <w:rFonts w:ascii="Times New Roman" w:hAnsi="Times New Roman"/>
        </w:rPr>
        <w:t xml:space="preserve"> </w:t>
      </w:r>
      <w:r w:rsidRPr="00804404">
        <w:rPr>
          <w:rFonts w:ascii="Times New Roman" w:hAnsi="Times New Roman"/>
        </w:rPr>
        <w:t>enumerados nos incisos III, IV, V, VI, VII e VIII</w:t>
      </w:r>
      <w:r>
        <w:rPr>
          <w:rFonts w:ascii="Times New Roman" w:hAnsi="Times New Roman"/>
        </w:rPr>
        <w:t xml:space="preserve">. (BRASIL. Supremo Tribunal Federal. Regimento Interno de 27 de outubro de 1980. Disponível em: </w:t>
      </w:r>
      <w:r w:rsidRPr="00452B7E">
        <w:rPr>
          <w:rFonts w:ascii="Times New Roman" w:hAnsi="Times New Roman"/>
        </w:rPr>
        <w:t>http://www.stf.jus.br/arquivo/cms/legislacaoRegimentoInterno/anexo/REGIMENTOINTERNO19801.pdf</w:t>
      </w:r>
      <w:r>
        <w:rPr>
          <w:rFonts w:ascii="Times New Roman" w:hAnsi="Times New Roman"/>
        </w:rPr>
        <w:t xml:space="preserve">. Acesso em: 11 out. 2014).  </w:t>
      </w:r>
    </w:p>
  </w:footnote>
  <w:footnote w:id="118">
    <w:p w:rsidR="00D549BC" w:rsidRDefault="00D549BC" w:rsidP="00B36097">
      <w:pPr>
        <w:pStyle w:val="FootnoteText"/>
        <w:ind w:firstLine="0"/>
      </w:pPr>
      <w:r w:rsidRPr="00F64CC6">
        <w:rPr>
          <w:rStyle w:val="FootnoteReference"/>
          <w:rFonts w:ascii="Times New Roman" w:hAnsi="Times New Roman"/>
        </w:rPr>
        <w:footnoteRef/>
      </w:r>
      <w:r w:rsidRPr="00F64CC6">
        <w:rPr>
          <w:rFonts w:ascii="Times New Roman" w:hAnsi="Times New Roman"/>
        </w:rPr>
        <w:t xml:space="preserve"> </w:t>
      </w:r>
      <w:r>
        <w:rPr>
          <w:rFonts w:ascii="Times New Roman" w:hAnsi="Times New Roman"/>
        </w:rPr>
        <w:t xml:space="preserve">ARRUDA ALVIM NETO, José Manoel de. </w:t>
      </w:r>
      <w:r w:rsidRPr="00B36097">
        <w:rPr>
          <w:rFonts w:ascii="Times New Roman" w:hAnsi="Times New Roman"/>
          <w:b/>
        </w:rPr>
        <w:t>A Arguição de Relevância no Recurso Extraordinário</w:t>
      </w:r>
      <w:r>
        <w:rPr>
          <w:rFonts w:ascii="Times New Roman" w:hAnsi="Times New Roman"/>
        </w:rPr>
        <w:t>. São Paulo:</w:t>
      </w:r>
      <w:r w:rsidRPr="00B36097">
        <w:rPr>
          <w:rFonts w:ascii="Times New Roman" w:hAnsi="Times New Roman"/>
        </w:rPr>
        <w:t xml:space="preserve"> R</w:t>
      </w:r>
      <w:r>
        <w:rPr>
          <w:rFonts w:ascii="Times New Roman" w:hAnsi="Times New Roman"/>
        </w:rPr>
        <w:t xml:space="preserve">evista dos </w:t>
      </w:r>
      <w:r w:rsidRPr="00B36097">
        <w:rPr>
          <w:rFonts w:ascii="Times New Roman" w:hAnsi="Times New Roman"/>
        </w:rPr>
        <w:t>T</w:t>
      </w:r>
      <w:r>
        <w:rPr>
          <w:rFonts w:ascii="Times New Roman" w:hAnsi="Times New Roman"/>
        </w:rPr>
        <w:t>ribunais, 1</w:t>
      </w:r>
      <w:r w:rsidRPr="00B36097">
        <w:rPr>
          <w:rFonts w:ascii="Times New Roman" w:hAnsi="Times New Roman"/>
        </w:rPr>
        <w:t>988</w:t>
      </w:r>
      <w:r>
        <w:rPr>
          <w:rFonts w:ascii="Times New Roman" w:hAnsi="Times New Roman"/>
        </w:rPr>
        <w:t xml:space="preserve">, p. 25. </w:t>
      </w:r>
    </w:p>
  </w:footnote>
  <w:footnote w:id="119">
    <w:p w:rsidR="00D549BC" w:rsidRDefault="00D549BC" w:rsidP="0009570A">
      <w:pPr>
        <w:pStyle w:val="FootnoteText"/>
        <w:ind w:firstLine="0"/>
        <w:rPr>
          <w:rFonts w:ascii="Times New Roman" w:hAnsi="Times New Roman"/>
        </w:rPr>
      </w:pPr>
      <w:r w:rsidRPr="0009570A">
        <w:rPr>
          <w:rStyle w:val="FootnoteReference"/>
          <w:rFonts w:ascii="Times New Roman" w:hAnsi="Times New Roman"/>
        </w:rPr>
        <w:footnoteRef/>
      </w:r>
      <w:r>
        <w:rPr>
          <w:rFonts w:ascii="Times New Roman" w:hAnsi="Times New Roman"/>
        </w:rPr>
        <w:t xml:space="preserve"> </w:t>
      </w:r>
      <w:r w:rsidRPr="0009570A">
        <w:rPr>
          <w:rFonts w:ascii="Times New Roman" w:hAnsi="Times New Roman"/>
        </w:rPr>
        <w:t>Art. 327. Ao Supremo Tribunal Federal, em sessão de Conselho, compete privativamente</w:t>
      </w:r>
      <w:r>
        <w:rPr>
          <w:rFonts w:ascii="Times New Roman" w:hAnsi="Times New Roman"/>
        </w:rPr>
        <w:t xml:space="preserve"> </w:t>
      </w:r>
      <w:r w:rsidRPr="0009570A">
        <w:rPr>
          <w:rFonts w:ascii="Times New Roman" w:hAnsi="Times New Roman"/>
        </w:rPr>
        <w:t>o exame da arguição de relevância da questão federal.</w:t>
      </w:r>
      <w:r>
        <w:rPr>
          <w:rFonts w:ascii="Times New Roman" w:hAnsi="Times New Roman"/>
        </w:rPr>
        <w:t xml:space="preserve"> </w:t>
      </w:r>
    </w:p>
    <w:p w:rsidR="00D549BC" w:rsidRDefault="00D549BC" w:rsidP="0009570A">
      <w:pPr>
        <w:pStyle w:val="FootnoteText"/>
        <w:ind w:firstLine="0"/>
      </w:pPr>
      <w:r>
        <w:rPr>
          <w:rFonts w:ascii="Times New Roman" w:hAnsi="Times New Roman"/>
        </w:rPr>
        <w:t xml:space="preserve">§ </w:t>
      </w:r>
      <w:r w:rsidRPr="0009570A">
        <w:rPr>
          <w:rFonts w:ascii="Times New Roman" w:hAnsi="Times New Roman"/>
        </w:rPr>
        <w:t>1º Entende-se relevante a questão federal qu</w:t>
      </w:r>
      <w:r>
        <w:rPr>
          <w:rFonts w:ascii="Times New Roman" w:hAnsi="Times New Roman"/>
        </w:rPr>
        <w:t>e, pelos reflexos na ordem jurí</w:t>
      </w:r>
      <w:r w:rsidRPr="0009570A">
        <w:rPr>
          <w:rFonts w:ascii="Times New Roman" w:hAnsi="Times New Roman"/>
        </w:rPr>
        <w:t>dica, e considerados os aspectos morais, econômicos, políticos ou sociais da causa,</w:t>
      </w:r>
      <w:r>
        <w:rPr>
          <w:rFonts w:ascii="Times New Roman" w:hAnsi="Times New Roman"/>
        </w:rPr>
        <w:t xml:space="preserve"> </w:t>
      </w:r>
      <w:r w:rsidRPr="0009570A">
        <w:rPr>
          <w:rFonts w:ascii="Times New Roman" w:hAnsi="Times New Roman"/>
        </w:rPr>
        <w:t>exigir a apreciação do recurso extraordinário pelo Tribunal.</w:t>
      </w:r>
      <w:r>
        <w:rPr>
          <w:rFonts w:ascii="Times New Roman" w:hAnsi="Times New Roman"/>
        </w:rPr>
        <w:t xml:space="preserve"> </w:t>
      </w:r>
    </w:p>
  </w:footnote>
  <w:footnote w:id="120">
    <w:p w:rsidR="00D549BC" w:rsidRDefault="00D549BC" w:rsidP="00AB03F6">
      <w:pPr>
        <w:pStyle w:val="FootnoteText"/>
        <w:ind w:firstLine="0"/>
      </w:pPr>
      <w:r w:rsidRPr="00AB03F6">
        <w:rPr>
          <w:rStyle w:val="FootnoteReference"/>
          <w:rFonts w:ascii="Times New Roman" w:hAnsi="Times New Roman"/>
        </w:rPr>
        <w:footnoteRef/>
      </w:r>
      <w:r w:rsidRPr="00AB03F6">
        <w:rPr>
          <w:rFonts w:ascii="Times New Roman" w:hAnsi="Times New Roman"/>
        </w:rPr>
        <w:t xml:space="preserve"> </w:t>
      </w:r>
      <w:r>
        <w:rPr>
          <w:rFonts w:ascii="Times New Roman" w:hAnsi="Times New Roman"/>
        </w:rPr>
        <w:t xml:space="preserve">ARRUDA ALVIM NETO, José Manoel de. </w:t>
      </w:r>
      <w:r w:rsidRPr="00173EA0">
        <w:rPr>
          <w:rFonts w:ascii="Times New Roman" w:hAnsi="Times New Roman"/>
          <w:i/>
        </w:rPr>
        <w:t>Op</w:t>
      </w:r>
      <w:r>
        <w:rPr>
          <w:rFonts w:ascii="Times New Roman" w:hAnsi="Times New Roman"/>
        </w:rPr>
        <w:t xml:space="preserve">. </w:t>
      </w:r>
      <w:r w:rsidRPr="00173EA0">
        <w:rPr>
          <w:rFonts w:ascii="Times New Roman" w:hAnsi="Times New Roman"/>
          <w:i/>
        </w:rPr>
        <w:t>Cit</w:t>
      </w:r>
      <w:r>
        <w:rPr>
          <w:rFonts w:ascii="Times New Roman" w:hAnsi="Times New Roman"/>
        </w:rPr>
        <w:t xml:space="preserve">., p. 86-87. </w:t>
      </w:r>
    </w:p>
  </w:footnote>
  <w:footnote w:id="121">
    <w:p w:rsidR="00D549BC" w:rsidRDefault="00D549BC" w:rsidP="00A26510">
      <w:pPr>
        <w:pStyle w:val="FootnoteText"/>
        <w:ind w:firstLine="0"/>
        <w:rPr>
          <w:rFonts w:ascii="Times New Roman" w:hAnsi="Times New Roman"/>
        </w:rPr>
      </w:pPr>
      <w:r w:rsidRPr="00A26510">
        <w:rPr>
          <w:rStyle w:val="FootnoteReference"/>
          <w:rFonts w:ascii="Times New Roman" w:hAnsi="Times New Roman"/>
        </w:rPr>
        <w:footnoteRef/>
      </w:r>
      <w:r>
        <w:rPr>
          <w:rFonts w:ascii="Times New Roman" w:hAnsi="Times New Roman"/>
        </w:rPr>
        <w:t xml:space="preserve"> Art. 328. A argu</w:t>
      </w:r>
      <w:r w:rsidRPr="00A26510">
        <w:rPr>
          <w:rFonts w:ascii="Times New Roman" w:hAnsi="Times New Roman"/>
        </w:rPr>
        <w:t>ição de relevância da questão federal será feita em capítulo</w:t>
      </w:r>
      <w:r>
        <w:rPr>
          <w:rFonts w:ascii="Times New Roman" w:hAnsi="Times New Roman"/>
        </w:rPr>
        <w:t xml:space="preserve"> </w:t>
      </w:r>
      <w:r w:rsidRPr="00A26510">
        <w:rPr>
          <w:rFonts w:ascii="Times New Roman" w:hAnsi="Times New Roman"/>
        </w:rPr>
        <w:t>destacado na petição de recurso extraordinário, onde o recorrente indicará, para o</w:t>
      </w:r>
      <w:r>
        <w:rPr>
          <w:rFonts w:ascii="Times New Roman" w:hAnsi="Times New Roman"/>
        </w:rPr>
        <w:t xml:space="preserve"> </w:t>
      </w:r>
      <w:r w:rsidRPr="00A26510">
        <w:rPr>
          <w:rFonts w:ascii="Times New Roman" w:hAnsi="Times New Roman"/>
        </w:rPr>
        <w:t>caso de ser necessária a formação de instrumento, as peças que entenda devam</w:t>
      </w:r>
      <w:r>
        <w:rPr>
          <w:rFonts w:ascii="Times New Roman" w:hAnsi="Times New Roman"/>
        </w:rPr>
        <w:t xml:space="preserve"> </w:t>
      </w:r>
      <w:r w:rsidRPr="00A26510">
        <w:rPr>
          <w:rFonts w:ascii="Times New Roman" w:hAnsi="Times New Roman"/>
        </w:rPr>
        <w:t>integrá-lo, mencionando obrigatoriamente a sentença de primeiro grau, o acórdão</w:t>
      </w:r>
      <w:r>
        <w:rPr>
          <w:rFonts w:ascii="Times New Roman" w:hAnsi="Times New Roman"/>
        </w:rPr>
        <w:t xml:space="preserve"> </w:t>
      </w:r>
      <w:r w:rsidRPr="00A26510">
        <w:rPr>
          <w:rFonts w:ascii="Times New Roman" w:hAnsi="Times New Roman"/>
        </w:rPr>
        <w:t>recorrido, a própria petição de recurso extraordinário e o despacho resultante do</w:t>
      </w:r>
      <w:r>
        <w:rPr>
          <w:rFonts w:ascii="Times New Roman" w:hAnsi="Times New Roman"/>
        </w:rPr>
        <w:t xml:space="preserve"> </w:t>
      </w:r>
      <w:r w:rsidRPr="00A26510">
        <w:rPr>
          <w:rFonts w:ascii="Times New Roman" w:hAnsi="Times New Roman"/>
        </w:rPr>
        <w:t>exame de admissibilidade.</w:t>
      </w:r>
      <w:r>
        <w:rPr>
          <w:rFonts w:ascii="Times New Roman" w:hAnsi="Times New Roman"/>
        </w:rPr>
        <w:t xml:space="preserve"> </w:t>
      </w:r>
    </w:p>
    <w:p w:rsidR="00D549BC" w:rsidRDefault="00D549BC" w:rsidP="00A26510">
      <w:pPr>
        <w:pStyle w:val="FootnoteText"/>
        <w:ind w:firstLine="0"/>
        <w:rPr>
          <w:rFonts w:ascii="Times New Roman" w:hAnsi="Times New Roman"/>
        </w:rPr>
      </w:pPr>
      <w:r>
        <w:rPr>
          <w:rFonts w:ascii="Times New Roman" w:hAnsi="Times New Roman"/>
        </w:rPr>
        <w:t>(...)</w:t>
      </w:r>
    </w:p>
    <w:p w:rsidR="00D549BC" w:rsidRPr="00A26510" w:rsidRDefault="00D549BC" w:rsidP="00A26510">
      <w:pPr>
        <w:pStyle w:val="FootnoteText"/>
        <w:ind w:firstLine="0"/>
        <w:rPr>
          <w:rFonts w:ascii="Times New Roman" w:hAnsi="Times New Roman"/>
        </w:rPr>
      </w:pPr>
      <w:r w:rsidRPr="00A26510">
        <w:rPr>
          <w:rFonts w:ascii="Times New Roman" w:hAnsi="Times New Roman"/>
        </w:rPr>
        <w:t>§ 5º No Supremo Tribunal Federal serão observadas as regras seguintes:</w:t>
      </w:r>
    </w:p>
    <w:p w:rsidR="00D549BC" w:rsidRDefault="00D549BC" w:rsidP="00A26510">
      <w:pPr>
        <w:pStyle w:val="FootnoteText"/>
        <w:ind w:firstLine="0"/>
        <w:rPr>
          <w:rFonts w:ascii="Times New Roman" w:hAnsi="Times New Roman"/>
        </w:rPr>
      </w:pPr>
      <w:r w:rsidRPr="00A26510">
        <w:rPr>
          <w:rFonts w:ascii="Times New Roman" w:hAnsi="Times New Roman"/>
        </w:rPr>
        <w:t>I – subindo a arg</w:t>
      </w:r>
      <w:r>
        <w:rPr>
          <w:rFonts w:ascii="Times New Roman" w:hAnsi="Times New Roman"/>
        </w:rPr>
        <w:t>u</w:t>
      </w:r>
      <w:r w:rsidRPr="00A26510">
        <w:rPr>
          <w:rFonts w:ascii="Times New Roman" w:hAnsi="Times New Roman"/>
        </w:rPr>
        <w:t>ição nos autos originais ou no traslado do agravo, haverá</w:t>
      </w:r>
      <w:r>
        <w:rPr>
          <w:rFonts w:ascii="Times New Roman" w:hAnsi="Times New Roman"/>
        </w:rPr>
        <w:t xml:space="preserve"> </w:t>
      </w:r>
      <w:r w:rsidRPr="00A26510">
        <w:rPr>
          <w:rFonts w:ascii="Times New Roman" w:hAnsi="Times New Roman"/>
        </w:rPr>
        <w:t>registro e numeração do recurso extraordinário ou do agravo de instrumento,</w:t>
      </w:r>
      <w:r>
        <w:rPr>
          <w:rFonts w:ascii="Times New Roman" w:hAnsi="Times New Roman"/>
        </w:rPr>
        <w:t xml:space="preserve"> </w:t>
      </w:r>
      <w:r w:rsidRPr="00A26510">
        <w:rPr>
          <w:rFonts w:ascii="Times New Roman" w:hAnsi="Times New Roman"/>
        </w:rPr>
        <w:t>seguidos de registro e numeração da arg</w:t>
      </w:r>
      <w:r>
        <w:rPr>
          <w:rFonts w:ascii="Times New Roman" w:hAnsi="Times New Roman"/>
        </w:rPr>
        <w:t>u</w:t>
      </w:r>
      <w:r w:rsidRPr="00A26510">
        <w:rPr>
          <w:rFonts w:ascii="Times New Roman" w:hAnsi="Times New Roman"/>
        </w:rPr>
        <w:t>ição de relevância da ques</w:t>
      </w:r>
      <w:r>
        <w:rPr>
          <w:rFonts w:ascii="Times New Roman" w:hAnsi="Times New Roman"/>
        </w:rPr>
        <w:t xml:space="preserve">tão federal; </w:t>
      </w:r>
    </w:p>
    <w:p w:rsidR="00D549BC" w:rsidRPr="00A26510" w:rsidRDefault="00D549BC" w:rsidP="00A26510">
      <w:pPr>
        <w:pStyle w:val="FootnoteText"/>
        <w:ind w:firstLine="0"/>
        <w:rPr>
          <w:rFonts w:ascii="Times New Roman" w:hAnsi="Times New Roman"/>
        </w:rPr>
      </w:pPr>
      <w:r w:rsidRPr="00A26510">
        <w:rPr>
          <w:rFonts w:ascii="Times New Roman" w:hAnsi="Times New Roman"/>
        </w:rPr>
        <w:t>II – subindo a arg</w:t>
      </w:r>
      <w:r>
        <w:rPr>
          <w:rFonts w:ascii="Times New Roman" w:hAnsi="Times New Roman"/>
        </w:rPr>
        <w:t>u</w:t>
      </w:r>
      <w:r w:rsidRPr="00A26510">
        <w:rPr>
          <w:rFonts w:ascii="Times New Roman" w:hAnsi="Times New Roman"/>
        </w:rPr>
        <w:t xml:space="preserve">ição em instrumento próprio, </w:t>
      </w:r>
      <w:r>
        <w:rPr>
          <w:rFonts w:ascii="Times New Roman" w:hAnsi="Times New Roman"/>
        </w:rPr>
        <w:t>será este registrado como argui</w:t>
      </w:r>
      <w:r w:rsidRPr="00A26510">
        <w:rPr>
          <w:rFonts w:ascii="Times New Roman" w:hAnsi="Times New Roman"/>
        </w:rPr>
        <w:t>ção de relevância da questão fede</w:t>
      </w:r>
      <w:r>
        <w:rPr>
          <w:rFonts w:ascii="Times New Roman" w:hAnsi="Times New Roman"/>
        </w:rPr>
        <w:t>ral, com a numeração pertinente;</w:t>
      </w:r>
    </w:p>
    <w:p w:rsidR="00D549BC" w:rsidRDefault="00D549BC" w:rsidP="00A26510">
      <w:pPr>
        <w:pStyle w:val="FootnoteText"/>
        <w:ind w:firstLine="0"/>
        <w:rPr>
          <w:rFonts w:ascii="Times New Roman" w:hAnsi="Times New Roman"/>
        </w:rPr>
      </w:pPr>
      <w:r w:rsidRPr="00A26510">
        <w:rPr>
          <w:rFonts w:ascii="Times New Roman" w:hAnsi="Times New Roman"/>
        </w:rPr>
        <w:t>III – em qualquer caso, preparar-se-á um extrato da arg</w:t>
      </w:r>
      <w:r>
        <w:rPr>
          <w:rFonts w:ascii="Times New Roman" w:hAnsi="Times New Roman"/>
        </w:rPr>
        <w:t>u</w:t>
      </w:r>
      <w:r w:rsidRPr="00A26510">
        <w:rPr>
          <w:rFonts w:ascii="Times New Roman" w:hAnsi="Times New Roman"/>
        </w:rPr>
        <w:t>ição de relevância para</w:t>
      </w:r>
      <w:r>
        <w:rPr>
          <w:rFonts w:ascii="Times New Roman" w:hAnsi="Times New Roman"/>
        </w:rPr>
        <w:t xml:space="preserve"> </w:t>
      </w:r>
      <w:r w:rsidRPr="00A26510">
        <w:rPr>
          <w:rFonts w:ascii="Times New Roman" w:hAnsi="Times New Roman"/>
        </w:rPr>
        <w:t>distribuição a todos os Ministros, com referência à sessão do Conselho em que</w:t>
      </w:r>
      <w:r>
        <w:rPr>
          <w:rFonts w:ascii="Times New Roman" w:hAnsi="Times New Roman"/>
        </w:rPr>
        <w:t xml:space="preserve"> será apreciada; </w:t>
      </w:r>
    </w:p>
    <w:p w:rsidR="00D549BC" w:rsidRPr="00A26510" w:rsidRDefault="00D549BC" w:rsidP="00A26510">
      <w:pPr>
        <w:pStyle w:val="FootnoteText"/>
        <w:ind w:firstLine="0"/>
        <w:rPr>
          <w:rFonts w:ascii="Times New Roman" w:hAnsi="Times New Roman"/>
        </w:rPr>
      </w:pPr>
      <w:r w:rsidRPr="00A26510">
        <w:rPr>
          <w:rFonts w:ascii="Times New Roman" w:hAnsi="Times New Roman"/>
        </w:rPr>
        <w:t>IV – as arg</w:t>
      </w:r>
      <w:r>
        <w:rPr>
          <w:rFonts w:ascii="Times New Roman" w:hAnsi="Times New Roman"/>
        </w:rPr>
        <w:t>u</w:t>
      </w:r>
      <w:r w:rsidRPr="00A26510">
        <w:rPr>
          <w:rFonts w:ascii="Times New Roman" w:hAnsi="Times New Roman"/>
        </w:rPr>
        <w:t>ições de relevância serão, por sua ordem numérica, distribuídas</w:t>
      </w:r>
      <w:r>
        <w:rPr>
          <w:rFonts w:ascii="Times New Roman" w:hAnsi="Times New Roman"/>
        </w:rPr>
        <w:t xml:space="preserve"> </w:t>
      </w:r>
      <w:r w:rsidRPr="00A26510">
        <w:rPr>
          <w:rFonts w:ascii="Times New Roman" w:hAnsi="Times New Roman"/>
        </w:rPr>
        <w:t>aos Ministros, a partir do mais moderno no Tribunal, e, em caso de impedimento,</w:t>
      </w:r>
      <w:r>
        <w:rPr>
          <w:rFonts w:ascii="Times New Roman" w:hAnsi="Times New Roman"/>
        </w:rPr>
        <w:t xml:space="preserve"> haverá compensação imediata;</w:t>
      </w:r>
    </w:p>
    <w:p w:rsidR="00D549BC" w:rsidRPr="00A26510" w:rsidRDefault="00D549BC" w:rsidP="00A26510">
      <w:pPr>
        <w:pStyle w:val="FootnoteText"/>
        <w:ind w:firstLine="0"/>
        <w:rPr>
          <w:rFonts w:ascii="Times New Roman" w:hAnsi="Times New Roman"/>
        </w:rPr>
      </w:pPr>
      <w:r w:rsidRPr="00A26510">
        <w:rPr>
          <w:rFonts w:ascii="Times New Roman" w:hAnsi="Times New Roman"/>
        </w:rPr>
        <w:t>V – cabe ao Ministro a que for distribuída a ar</w:t>
      </w:r>
      <w:r>
        <w:rPr>
          <w:rFonts w:ascii="Times New Roman" w:hAnsi="Times New Roman"/>
        </w:rPr>
        <w:t>guição de relevância apresentá-</w:t>
      </w:r>
      <w:r w:rsidRPr="00A26510">
        <w:rPr>
          <w:rFonts w:ascii="Times New Roman" w:hAnsi="Times New Roman"/>
        </w:rPr>
        <w:t>la ao Conselho na sessão designada para seu exame, ou, em caso de ausência</w:t>
      </w:r>
      <w:r>
        <w:rPr>
          <w:rFonts w:ascii="Times New Roman" w:hAnsi="Times New Roman"/>
        </w:rPr>
        <w:t xml:space="preserve"> </w:t>
      </w:r>
      <w:r w:rsidRPr="00A26510">
        <w:rPr>
          <w:rFonts w:ascii="Times New Roman" w:hAnsi="Times New Roman"/>
        </w:rPr>
        <w:t>eventua</w:t>
      </w:r>
      <w:r>
        <w:rPr>
          <w:rFonts w:ascii="Times New Roman" w:hAnsi="Times New Roman"/>
        </w:rPr>
        <w:t>l, na primeira a que comparecer;</w:t>
      </w:r>
    </w:p>
    <w:p w:rsidR="00D549BC" w:rsidRPr="00A26510" w:rsidRDefault="00D549BC" w:rsidP="00A26510">
      <w:pPr>
        <w:pStyle w:val="FootnoteText"/>
        <w:ind w:firstLine="0"/>
        <w:rPr>
          <w:rFonts w:ascii="Times New Roman" w:hAnsi="Times New Roman"/>
        </w:rPr>
      </w:pPr>
      <w:r w:rsidRPr="00A26510">
        <w:rPr>
          <w:rFonts w:ascii="Times New Roman" w:hAnsi="Times New Roman"/>
        </w:rPr>
        <w:t>VI – o exame da arg</w:t>
      </w:r>
      <w:r>
        <w:rPr>
          <w:rFonts w:ascii="Times New Roman" w:hAnsi="Times New Roman"/>
        </w:rPr>
        <w:t>u</w:t>
      </w:r>
      <w:r w:rsidRPr="00A26510">
        <w:rPr>
          <w:rFonts w:ascii="Times New Roman" w:hAnsi="Times New Roman"/>
        </w:rPr>
        <w:t>ição de relevância precederá sempre o julgamento do</w:t>
      </w:r>
      <w:r>
        <w:rPr>
          <w:rFonts w:ascii="Times New Roman" w:hAnsi="Times New Roman"/>
        </w:rPr>
        <w:t xml:space="preserve"> </w:t>
      </w:r>
      <w:r w:rsidRPr="00A26510">
        <w:rPr>
          <w:rFonts w:ascii="Times New Roman" w:hAnsi="Times New Roman"/>
        </w:rPr>
        <w:t>recu</w:t>
      </w:r>
      <w:r>
        <w:rPr>
          <w:rFonts w:ascii="Times New Roman" w:hAnsi="Times New Roman"/>
        </w:rPr>
        <w:t>rso extraordinário ou do agravo;</w:t>
      </w:r>
    </w:p>
    <w:p w:rsidR="00D549BC" w:rsidRPr="00A26510" w:rsidRDefault="00D549BC" w:rsidP="00A26510">
      <w:pPr>
        <w:pStyle w:val="FootnoteText"/>
        <w:ind w:firstLine="0"/>
        <w:rPr>
          <w:rFonts w:ascii="Times New Roman" w:hAnsi="Times New Roman"/>
        </w:rPr>
      </w:pPr>
      <w:r w:rsidRPr="00A26510">
        <w:rPr>
          <w:rFonts w:ascii="Times New Roman" w:hAnsi="Times New Roman"/>
        </w:rPr>
        <w:t>VII – estará acolhida a arguição de relevância se nesse sentido se manifestarem</w:t>
      </w:r>
      <w:r>
        <w:rPr>
          <w:rFonts w:ascii="Times New Roman" w:hAnsi="Times New Roman"/>
        </w:rPr>
        <w:t xml:space="preserve"> </w:t>
      </w:r>
      <w:r w:rsidRPr="00A26510">
        <w:rPr>
          <w:rFonts w:ascii="Times New Roman" w:hAnsi="Times New Roman"/>
        </w:rPr>
        <w:t>quatro ou mais Ministros, sendo a decisão do Conselho,</w:t>
      </w:r>
      <w:r>
        <w:rPr>
          <w:rFonts w:ascii="Times New Roman" w:hAnsi="Times New Roman"/>
        </w:rPr>
        <w:t xml:space="preserve"> em qualquer caso, irrecorrível;</w:t>
      </w:r>
    </w:p>
    <w:p w:rsidR="00D549BC" w:rsidRDefault="00D549BC" w:rsidP="00A26510">
      <w:pPr>
        <w:pStyle w:val="FootnoteText"/>
        <w:ind w:firstLine="0"/>
      </w:pPr>
      <w:r w:rsidRPr="00A26510">
        <w:rPr>
          <w:rFonts w:ascii="Times New Roman" w:hAnsi="Times New Roman"/>
        </w:rPr>
        <w:t xml:space="preserve">VIII – </w:t>
      </w:r>
      <w:r w:rsidRPr="004B0BAE">
        <w:rPr>
          <w:rFonts w:ascii="Times New Roman" w:hAnsi="Times New Roman"/>
          <w:i/>
        </w:rPr>
        <w:t>a ata da sessão do Conselho será publicada para ciência dos inter</w:t>
      </w:r>
      <w:r>
        <w:rPr>
          <w:rFonts w:ascii="Times New Roman" w:hAnsi="Times New Roman"/>
          <w:i/>
        </w:rPr>
        <w:t>essados, relacionando-se as argu</w:t>
      </w:r>
      <w:r w:rsidRPr="004B0BAE">
        <w:rPr>
          <w:rFonts w:ascii="Times New Roman" w:hAnsi="Times New Roman"/>
          <w:i/>
        </w:rPr>
        <w:t>ições acolhidas no todo ou em parte, e as rejeitadas, mencionada, no primeiro caso, a questão federal havida como relevante</w:t>
      </w:r>
      <w:r>
        <w:rPr>
          <w:rFonts w:ascii="Times New Roman" w:hAnsi="Times New Roman"/>
        </w:rPr>
        <w:t>.</w:t>
      </w:r>
    </w:p>
  </w:footnote>
  <w:footnote w:id="122">
    <w:p w:rsidR="00D549BC" w:rsidRDefault="00D549BC" w:rsidP="004B2FC3">
      <w:pPr>
        <w:pStyle w:val="FootnoteText"/>
        <w:ind w:firstLine="0"/>
      </w:pPr>
      <w:r w:rsidRPr="004B2FC3">
        <w:rPr>
          <w:rStyle w:val="FootnoteReference"/>
          <w:rFonts w:ascii="Times New Roman" w:hAnsi="Times New Roman"/>
        </w:rPr>
        <w:footnoteRef/>
      </w:r>
      <w:r w:rsidRPr="004B2FC3">
        <w:rPr>
          <w:rFonts w:ascii="Times New Roman" w:hAnsi="Times New Roman"/>
        </w:rPr>
        <w:t xml:space="preserve"> </w:t>
      </w:r>
      <w:r>
        <w:rPr>
          <w:rFonts w:ascii="Times New Roman" w:hAnsi="Times New Roman"/>
        </w:rPr>
        <w:t xml:space="preserve">Nesse sentido, oportuna a fala de N. DORESTE BAPTISTA: “Parece-nos, porém, que o alude de recursos que assoberba o alto Pretório decorre, em primeiro lugar, do natural inconformismo de quem perde. Enquanto houver uma instância recursal, o vencido não deixará de a ela suplicar. Em segundo lugar, o desconhecimento, talvez pela maioria, da razão mesma que informa o recurso extraordinário. Embora o Supremo Tribunal não se limite ‘a anular a decisão viciada por um erro de direito, mas decide ele próprio a controvérsia quando possível’, na verdade não se pode perder de vista que sua missão, como instância extraordinária, transcende das lindes da causa. Como instância excepcional de recurso, a razão primeira da sua existência não é senão a unidade do sistema jurídico” (BAPTISTA, N. Doreste. </w:t>
      </w:r>
      <w:r w:rsidRPr="000D1B66">
        <w:rPr>
          <w:rFonts w:ascii="Times New Roman" w:hAnsi="Times New Roman"/>
          <w:i/>
        </w:rPr>
        <w:t>Op</w:t>
      </w:r>
      <w:r>
        <w:rPr>
          <w:rFonts w:ascii="Times New Roman" w:hAnsi="Times New Roman"/>
        </w:rPr>
        <w:t xml:space="preserve">. </w:t>
      </w:r>
      <w:r w:rsidRPr="000D1B66">
        <w:rPr>
          <w:rFonts w:ascii="Times New Roman" w:hAnsi="Times New Roman"/>
          <w:i/>
        </w:rPr>
        <w:t>Cit</w:t>
      </w:r>
      <w:r>
        <w:rPr>
          <w:rFonts w:ascii="Times New Roman" w:hAnsi="Times New Roman"/>
        </w:rPr>
        <w:t xml:space="preserve">., p. 41). </w:t>
      </w:r>
    </w:p>
  </w:footnote>
  <w:footnote w:id="123">
    <w:p w:rsidR="00D549BC" w:rsidRDefault="00D549BC" w:rsidP="00F40AE8">
      <w:pPr>
        <w:pStyle w:val="FootnoteText"/>
        <w:ind w:firstLine="0"/>
      </w:pPr>
      <w:r w:rsidRPr="00F40AE8">
        <w:rPr>
          <w:rStyle w:val="FootnoteReference"/>
          <w:rFonts w:ascii="Times New Roman" w:hAnsi="Times New Roman"/>
        </w:rPr>
        <w:footnoteRef/>
      </w:r>
      <w:r>
        <w:rPr>
          <w:rFonts w:ascii="Times New Roman" w:hAnsi="Times New Roman"/>
        </w:rPr>
        <w:t xml:space="preserve"> “</w:t>
      </w:r>
      <w:r w:rsidRPr="00F40AE8">
        <w:rPr>
          <w:rFonts w:ascii="Times New Roman" w:hAnsi="Times New Roman"/>
        </w:rPr>
        <w:t xml:space="preserve">O requisito da repercussão geral configura-se como vetor para aferir a transcendência da matéria e, assim, reduzir a demanda processual deste órgão, já que não tem mais sentido deixar a cúpula do Poder Judiciário apreciar questões particulares, que deveriam ter sido debatidas nas instâncias inferiores. A inspiração pátria para o mencionado requisito de admissibilidade recursal, apesar das diferenças procedimentais, veio da Emenda nº 7 à Carta de 1967-69, que criou a </w:t>
      </w:r>
      <w:r>
        <w:rPr>
          <w:rFonts w:ascii="Times New Roman" w:hAnsi="Times New Roman"/>
        </w:rPr>
        <w:t>‘</w:t>
      </w:r>
      <w:r w:rsidRPr="00F40AE8">
        <w:rPr>
          <w:rFonts w:ascii="Times New Roman" w:hAnsi="Times New Roman"/>
        </w:rPr>
        <w:t>arguição d</w:t>
      </w:r>
      <w:r>
        <w:rPr>
          <w:rFonts w:ascii="Times New Roman" w:hAnsi="Times New Roman"/>
        </w:rPr>
        <w:t>e relevância da questão federal’</w:t>
      </w:r>
      <w:r w:rsidRPr="00F40AE8">
        <w:rPr>
          <w:rFonts w:ascii="Times New Roman" w:hAnsi="Times New Roman"/>
        </w:rPr>
        <w:t xml:space="preserve"> como condição para apreciação do recurso extraordinário</w:t>
      </w:r>
      <w:r>
        <w:rPr>
          <w:rFonts w:ascii="Times New Roman" w:hAnsi="Times New Roman"/>
        </w:rPr>
        <w:t xml:space="preserve">” (AGRA, Walber de Moura. </w:t>
      </w:r>
      <w:r w:rsidRPr="00F40AE8">
        <w:rPr>
          <w:rFonts w:ascii="Times New Roman" w:hAnsi="Times New Roman"/>
          <w:b/>
        </w:rPr>
        <w:t>Curso de Direito Constitucional</w:t>
      </w:r>
      <w:r>
        <w:rPr>
          <w:rFonts w:ascii="Times New Roman" w:hAnsi="Times New Roman"/>
        </w:rPr>
        <w:t xml:space="preserve">. 8. ed. Rio de Janeiro: Forense, 2014, p. 714). </w:t>
      </w:r>
    </w:p>
  </w:footnote>
  <w:footnote w:id="124">
    <w:p w:rsidR="00D549BC" w:rsidRPr="006576F1" w:rsidRDefault="00D549BC" w:rsidP="006576F1">
      <w:pPr>
        <w:pStyle w:val="FootnoteText"/>
        <w:ind w:firstLine="0"/>
        <w:rPr>
          <w:rFonts w:ascii="Times New Roman" w:hAnsi="Times New Roman"/>
        </w:rPr>
      </w:pPr>
      <w:r w:rsidRPr="007D44B0">
        <w:rPr>
          <w:rStyle w:val="FootnoteReference"/>
          <w:rFonts w:ascii="Times New Roman" w:hAnsi="Times New Roman"/>
        </w:rPr>
        <w:footnoteRef/>
      </w:r>
      <w:r w:rsidRPr="007D44B0">
        <w:rPr>
          <w:rFonts w:ascii="Times New Roman" w:hAnsi="Times New Roman"/>
        </w:rPr>
        <w:t xml:space="preserve"> </w:t>
      </w:r>
      <w:r>
        <w:rPr>
          <w:rFonts w:ascii="Times New Roman" w:hAnsi="Times New Roman"/>
        </w:rPr>
        <w:t xml:space="preserve">Logo, o RE interposto ao fundamento de ofensa à Constituição ficava dispensado da demonstração da </w:t>
      </w:r>
      <w:r w:rsidRPr="007D44B0">
        <w:rPr>
          <w:rFonts w:ascii="Times New Roman" w:hAnsi="Times New Roman"/>
          <w:i/>
        </w:rPr>
        <w:t>arguição de relevância</w:t>
      </w:r>
      <w:r>
        <w:rPr>
          <w:rFonts w:ascii="Times New Roman" w:hAnsi="Times New Roman"/>
        </w:rPr>
        <w:t xml:space="preserve"> (esta, aplicável apenas às questões federais). Nesse sentido, o art.</w:t>
      </w:r>
      <w:r w:rsidRPr="006576F1">
        <w:rPr>
          <w:rFonts w:ascii="Times New Roman" w:hAnsi="Times New Roman"/>
        </w:rPr>
        <w:t xml:space="preserve"> 325</w:t>
      </w:r>
      <w:r>
        <w:rPr>
          <w:rFonts w:ascii="Times New Roman" w:hAnsi="Times New Roman"/>
        </w:rPr>
        <w:t>, I</w:t>
      </w:r>
      <w:r w:rsidRPr="006576F1">
        <w:rPr>
          <w:rFonts w:ascii="Times New Roman" w:hAnsi="Times New Roman"/>
        </w:rPr>
        <w:t xml:space="preserve"> do RISTF/1980, </w:t>
      </w:r>
      <w:r w:rsidRPr="006576F1">
        <w:rPr>
          <w:rFonts w:ascii="Times New Roman" w:hAnsi="Times New Roman"/>
          <w:i/>
        </w:rPr>
        <w:t>verbis</w:t>
      </w:r>
      <w:r w:rsidRPr="006576F1">
        <w:rPr>
          <w:rFonts w:ascii="Times New Roman" w:hAnsi="Times New Roman"/>
        </w:rPr>
        <w:t xml:space="preserve">: </w:t>
      </w:r>
      <w:r>
        <w:rPr>
          <w:rFonts w:ascii="Times New Roman" w:hAnsi="Times New Roman"/>
        </w:rPr>
        <w:t>“n</w:t>
      </w:r>
      <w:r w:rsidRPr="006576F1">
        <w:rPr>
          <w:rFonts w:ascii="Times New Roman" w:hAnsi="Times New Roman"/>
        </w:rPr>
        <w:t xml:space="preserve">as hipóteses das alíneas </w:t>
      </w:r>
      <w:r>
        <w:rPr>
          <w:rFonts w:ascii="Times New Roman" w:hAnsi="Times New Roman"/>
        </w:rPr>
        <w:t>‘a’</w:t>
      </w:r>
      <w:r w:rsidRPr="006576F1">
        <w:rPr>
          <w:rFonts w:ascii="Times New Roman" w:hAnsi="Times New Roman"/>
        </w:rPr>
        <w:t xml:space="preserve"> e </w:t>
      </w:r>
      <w:r>
        <w:rPr>
          <w:rFonts w:ascii="Times New Roman" w:hAnsi="Times New Roman"/>
        </w:rPr>
        <w:t>‘d’</w:t>
      </w:r>
      <w:r w:rsidRPr="006576F1">
        <w:rPr>
          <w:rFonts w:ascii="Times New Roman" w:hAnsi="Times New Roman"/>
        </w:rPr>
        <w:t xml:space="preserve"> do inciso III do artigo 119 da Constituição Federal, cabe recurso extraordinário:</w:t>
      </w:r>
    </w:p>
    <w:p w:rsidR="00D549BC" w:rsidRDefault="00D549BC" w:rsidP="006576F1">
      <w:pPr>
        <w:pStyle w:val="FootnoteText"/>
        <w:ind w:firstLine="0"/>
      </w:pPr>
      <w:r w:rsidRPr="006576F1">
        <w:rPr>
          <w:rFonts w:ascii="Times New Roman" w:hAnsi="Times New Roman"/>
        </w:rPr>
        <w:t>I - nos casos de ofensa à Constituição Federal</w:t>
      </w:r>
      <w:r>
        <w:rPr>
          <w:rFonts w:ascii="Times New Roman" w:hAnsi="Times New Roman"/>
        </w:rPr>
        <w:t xml:space="preserve">”.  </w:t>
      </w:r>
    </w:p>
  </w:footnote>
  <w:footnote w:id="125">
    <w:p w:rsidR="00D549BC" w:rsidRDefault="00D549BC" w:rsidP="00C4677B">
      <w:pPr>
        <w:pStyle w:val="FootnoteText"/>
        <w:ind w:firstLine="0"/>
      </w:pPr>
      <w:r w:rsidRPr="00C4677B">
        <w:rPr>
          <w:rStyle w:val="FootnoteReference"/>
          <w:rFonts w:ascii="Times New Roman" w:hAnsi="Times New Roman"/>
        </w:rPr>
        <w:footnoteRef/>
      </w:r>
      <w:r w:rsidRPr="00C4677B">
        <w:rPr>
          <w:rFonts w:ascii="Times New Roman" w:hAnsi="Times New Roman"/>
        </w:rPr>
        <w:t xml:space="preserve"> </w:t>
      </w:r>
      <w:r w:rsidRPr="001373C8">
        <w:rPr>
          <w:rFonts w:ascii="Times New Roman" w:hAnsi="Times New Roman"/>
        </w:rPr>
        <w:t>ALVES, José Carlos Moreira</w:t>
      </w:r>
      <w:r>
        <w:rPr>
          <w:rFonts w:ascii="Times New Roman" w:hAnsi="Times New Roman"/>
        </w:rPr>
        <w:t xml:space="preserve">. </w:t>
      </w:r>
      <w:r w:rsidRPr="00C4677B">
        <w:rPr>
          <w:rFonts w:ascii="Times New Roman" w:hAnsi="Times New Roman"/>
          <w:i/>
        </w:rPr>
        <w:t>Op</w:t>
      </w:r>
      <w:r>
        <w:rPr>
          <w:rFonts w:ascii="Times New Roman" w:hAnsi="Times New Roman"/>
        </w:rPr>
        <w:t xml:space="preserve">. </w:t>
      </w:r>
      <w:r w:rsidRPr="00C4677B">
        <w:rPr>
          <w:rFonts w:ascii="Times New Roman" w:hAnsi="Times New Roman"/>
          <w:i/>
        </w:rPr>
        <w:t>Cit</w:t>
      </w:r>
      <w:r>
        <w:rPr>
          <w:rFonts w:ascii="Times New Roman" w:hAnsi="Times New Roman"/>
        </w:rPr>
        <w:t xml:space="preserve">., p. 610. </w:t>
      </w:r>
    </w:p>
  </w:footnote>
  <w:footnote w:id="126">
    <w:p w:rsidR="00D549BC" w:rsidRDefault="00D549BC" w:rsidP="005568BF">
      <w:pPr>
        <w:pStyle w:val="FootnoteText"/>
        <w:ind w:firstLine="0"/>
        <w:rPr>
          <w:rFonts w:ascii="Times New Roman" w:hAnsi="Times New Roman"/>
        </w:rPr>
      </w:pPr>
      <w:r w:rsidRPr="005568BF">
        <w:rPr>
          <w:rStyle w:val="FootnoteReference"/>
          <w:rFonts w:ascii="Times New Roman" w:hAnsi="Times New Roman"/>
        </w:rPr>
        <w:footnoteRef/>
      </w:r>
      <w:r w:rsidRPr="005568BF">
        <w:rPr>
          <w:rFonts w:ascii="Times New Roman" w:hAnsi="Times New Roman"/>
        </w:rPr>
        <w:t xml:space="preserve"> </w:t>
      </w:r>
      <w:r>
        <w:rPr>
          <w:rFonts w:ascii="Times New Roman" w:hAnsi="Times New Roman"/>
        </w:rPr>
        <w:t>São as palavras do Min. Djaci Falcão: “A arguição de relevância da questão federal, apreciada em conselho, por todos os ministros, não obstante as críticas que lhe são feitas, principalmente em razão do julgamento secreto e não expressamente motivado, tem sido um instrumento político-jurídico útil ao processamento do recurso extraordinário. Basta ver a sua evolução numérica, de 647 em 1976 para 1.178, 1.719, 2.427, etc., até 5.979 em 1987, como registram os nossos dados estatísticos. Ao lado disso, enquanto no último ano houve 7.927 agravos de instrumento contra despacho denegatório de recurso extraordinário, sendo providos 807, de 5.979 arguições de relevância foram acolhidas 1.121. Portanto, num percentual superior ao dos agravos de instrumento providos.</w:t>
      </w:r>
    </w:p>
    <w:p w:rsidR="00D549BC" w:rsidRDefault="00D549BC" w:rsidP="005568BF">
      <w:pPr>
        <w:pStyle w:val="FootnoteText"/>
        <w:ind w:firstLine="0"/>
      </w:pPr>
      <w:r>
        <w:rPr>
          <w:rFonts w:ascii="Times New Roman" w:hAnsi="Times New Roman"/>
        </w:rPr>
        <w:t>Com isso, não nego que estivesse a merecer uma reformulação, após a experiência haurida ao logo de 13 anos. Todavia, não subsiste no projeto a figura da relevância da questão federal, seja por adoção de processo autônomo, ou como prévio requisito do recurso extraordinário”. FALCÃO, Djaci.</w:t>
      </w:r>
      <w:r w:rsidRPr="005568BF">
        <w:rPr>
          <w:rFonts w:ascii="Times New Roman" w:hAnsi="Times New Roman"/>
        </w:rPr>
        <w:t xml:space="preserve"> </w:t>
      </w:r>
      <w:r w:rsidRPr="003E4948">
        <w:rPr>
          <w:rFonts w:ascii="Times New Roman" w:hAnsi="Times New Roman"/>
        </w:rPr>
        <w:t>O Poder Judiciário e a nova Carta Constitucional.</w:t>
      </w:r>
      <w:r>
        <w:rPr>
          <w:rFonts w:ascii="Times New Roman" w:hAnsi="Times New Roman"/>
        </w:rPr>
        <w:t xml:space="preserve"> </w:t>
      </w:r>
      <w:r w:rsidRPr="003E4948">
        <w:rPr>
          <w:rFonts w:ascii="Times New Roman" w:hAnsi="Times New Roman"/>
          <w:b/>
        </w:rPr>
        <w:t>Revista de Processo</w:t>
      </w:r>
      <w:r w:rsidRPr="005568BF">
        <w:rPr>
          <w:rFonts w:ascii="Times New Roman" w:hAnsi="Times New Roman"/>
        </w:rPr>
        <w:t>,</w:t>
      </w:r>
      <w:r>
        <w:rPr>
          <w:rFonts w:ascii="Times New Roman" w:hAnsi="Times New Roman"/>
        </w:rPr>
        <w:t xml:space="preserve"> nº 53, 1</w:t>
      </w:r>
      <w:r w:rsidRPr="005568BF">
        <w:rPr>
          <w:rFonts w:ascii="Times New Roman" w:hAnsi="Times New Roman"/>
        </w:rPr>
        <w:t>989</w:t>
      </w:r>
      <w:r>
        <w:rPr>
          <w:rFonts w:ascii="Times New Roman" w:hAnsi="Times New Roman"/>
        </w:rPr>
        <w:t>, p. 206.</w:t>
      </w:r>
    </w:p>
  </w:footnote>
  <w:footnote w:id="127">
    <w:p w:rsidR="00D549BC" w:rsidRDefault="00D549BC" w:rsidP="00BB1E28">
      <w:pPr>
        <w:pStyle w:val="FootnoteText"/>
        <w:ind w:firstLine="0"/>
      </w:pPr>
      <w:r w:rsidRPr="00BB1E28">
        <w:rPr>
          <w:rStyle w:val="FootnoteReference"/>
          <w:rFonts w:ascii="Times New Roman" w:hAnsi="Times New Roman"/>
        </w:rPr>
        <w:footnoteRef/>
      </w:r>
      <w:r w:rsidRPr="00BB1E28">
        <w:rPr>
          <w:rFonts w:ascii="Times New Roman" w:hAnsi="Times New Roman"/>
        </w:rPr>
        <w:t xml:space="preserve"> </w:t>
      </w:r>
      <w:r>
        <w:rPr>
          <w:rFonts w:ascii="Times New Roman" w:hAnsi="Times New Roman"/>
        </w:rPr>
        <w:t xml:space="preserve">A Assembleia Nacional Constituinte foi convocada por meio da Emenda Constitucional nº 26, de 27 de novembro de 1985, e instalada posteriormente em 1º de fevereiro de 1987, na sede do Congresso Nacional (art. 1º da EC nº 26/85), sob presidência interina do Presidente do Supremo Tribunal Federal, o qual ficou responsável pela eleição do novo presidente da Assembleia (art. 2º da EC nº 26/85, </w:t>
      </w:r>
      <w:r w:rsidRPr="002A5A03">
        <w:rPr>
          <w:rFonts w:ascii="Times New Roman" w:hAnsi="Times New Roman"/>
          <w:i/>
        </w:rPr>
        <w:t>verbis</w:t>
      </w:r>
      <w:r>
        <w:rPr>
          <w:rFonts w:ascii="Times New Roman" w:hAnsi="Times New Roman"/>
        </w:rPr>
        <w:t>: “</w:t>
      </w:r>
      <w:r w:rsidRPr="002A5A03">
        <w:rPr>
          <w:rFonts w:ascii="Times New Roman" w:hAnsi="Times New Roman"/>
        </w:rPr>
        <w:t>O Presidente do Supremo Tribu</w:t>
      </w:r>
      <w:r>
        <w:rPr>
          <w:rFonts w:ascii="Times New Roman" w:hAnsi="Times New Roman"/>
        </w:rPr>
        <w:t>nal Federal instalará a Assemble</w:t>
      </w:r>
      <w:r w:rsidRPr="002A5A03">
        <w:rPr>
          <w:rFonts w:ascii="Times New Roman" w:hAnsi="Times New Roman"/>
        </w:rPr>
        <w:t>ia Nacional Constituinte e dirigirá a sessão de eleição do seu Presidente</w:t>
      </w:r>
      <w:r>
        <w:rPr>
          <w:rFonts w:ascii="Times New Roman" w:hAnsi="Times New Roman"/>
        </w:rPr>
        <w:t>”)</w:t>
      </w:r>
      <w:r w:rsidRPr="002A5A03">
        <w:rPr>
          <w:rFonts w:ascii="Times New Roman" w:hAnsi="Times New Roman"/>
        </w:rPr>
        <w:t>.</w:t>
      </w:r>
      <w:r>
        <w:rPr>
          <w:rFonts w:ascii="Times New Roman" w:hAnsi="Times New Roman"/>
        </w:rPr>
        <w:t xml:space="preserve"> </w:t>
      </w:r>
    </w:p>
  </w:footnote>
  <w:footnote w:id="128">
    <w:p w:rsidR="00D549BC" w:rsidRDefault="00D549BC" w:rsidP="0023776B">
      <w:pPr>
        <w:pStyle w:val="FootnoteText"/>
        <w:ind w:firstLine="0"/>
      </w:pPr>
      <w:r w:rsidRPr="0023776B">
        <w:rPr>
          <w:rStyle w:val="FootnoteReference"/>
          <w:rFonts w:ascii="Times New Roman" w:hAnsi="Times New Roman"/>
        </w:rPr>
        <w:footnoteRef/>
      </w:r>
      <w:r w:rsidRPr="0023776B">
        <w:rPr>
          <w:rFonts w:ascii="Times New Roman" w:hAnsi="Times New Roman"/>
        </w:rPr>
        <w:t xml:space="preserve"> </w:t>
      </w:r>
      <w:r>
        <w:rPr>
          <w:rFonts w:ascii="Times New Roman" w:hAnsi="Times New Roman"/>
        </w:rPr>
        <w:t xml:space="preserve">Cf. </w:t>
      </w:r>
      <w:r w:rsidRPr="001373C8">
        <w:rPr>
          <w:rFonts w:ascii="Times New Roman" w:hAnsi="Times New Roman"/>
        </w:rPr>
        <w:t>ALVES, José Carlos Moreira</w:t>
      </w:r>
      <w:r>
        <w:rPr>
          <w:rFonts w:ascii="Times New Roman" w:hAnsi="Times New Roman"/>
        </w:rPr>
        <w:t xml:space="preserve">. </w:t>
      </w:r>
      <w:r w:rsidRPr="00C4677B">
        <w:rPr>
          <w:rFonts w:ascii="Times New Roman" w:hAnsi="Times New Roman"/>
          <w:i/>
        </w:rPr>
        <w:t>Op</w:t>
      </w:r>
      <w:r>
        <w:rPr>
          <w:rFonts w:ascii="Times New Roman" w:hAnsi="Times New Roman"/>
        </w:rPr>
        <w:t xml:space="preserve">. </w:t>
      </w:r>
      <w:r w:rsidRPr="00C4677B">
        <w:rPr>
          <w:rFonts w:ascii="Times New Roman" w:hAnsi="Times New Roman"/>
          <w:i/>
        </w:rPr>
        <w:t>Cit</w:t>
      </w:r>
      <w:r>
        <w:rPr>
          <w:rFonts w:ascii="Times New Roman" w:hAnsi="Times New Roman"/>
        </w:rPr>
        <w:t xml:space="preserve">., p. 610-611. </w:t>
      </w:r>
    </w:p>
  </w:footnote>
  <w:footnote w:id="129">
    <w:p w:rsidR="00D549BC" w:rsidRDefault="00D549BC" w:rsidP="00D442ED">
      <w:pPr>
        <w:pStyle w:val="FootnoteText"/>
        <w:ind w:firstLine="0"/>
      </w:pPr>
      <w:r w:rsidRPr="00D442ED">
        <w:rPr>
          <w:rStyle w:val="FootnoteReference"/>
          <w:rFonts w:ascii="Times New Roman" w:hAnsi="Times New Roman"/>
        </w:rPr>
        <w:footnoteRef/>
      </w:r>
      <w:r w:rsidRPr="00D442ED">
        <w:rPr>
          <w:rFonts w:ascii="Times New Roman" w:hAnsi="Times New Roman"/>
        </w:rPr>
        <w:t xml:space="preserve"> </w:t>
      </w:r>
      <w:r>
        <w:rPr>
          <w:rFonts w:ascii="Times New Roman" w:hAnsi="Times New Roman"/>
        </w:rPr>
        <w:t xml:space="preserve">MANCUSO, Rodolfo de Camargo. </w:t>
      </w:r>
      <w:r w:rsidRPr="00C12713">
        <w:rPr>
          <w:rFonts w:ascii="Times New Roman" w:hAnsi="Times New Roman"/>
          <w:i/>
        </w:rPr>
        <w:t>Op</w:t>
      </w:r>
      <w:r>
        <w:rPr>
          <w:rFonts w:ascii="Times New Roman" w:hAnsi="Times New Roman"/>
        </w:rPr>
        <w:t xml:space="preserve">. </w:t>
      </w:r>
      <w:r w:rsidRPr="00C12713">
        <w:rPr>
          <w:rFonts w:ascii="Times New Roman" w:hAnsi="Times New Roman"/>
          <w:i/>
        </w:rPr>
        <w:t>Cit</w:t>
      </w:r>
      <w:r>
        <w:rPr>
          <w:rFonts w:ascii="Times New Roman" w:hAnsi="Times New Roman"/>
        </w:rPr>
        <w:t xml:space="preserve">., p. 82-83. </w:t>
      </w:r>
    </w:p>
  </w:footnote>
  <w:footnote w:id="130">
    <w:p w:rsidR="00D549BC" w:rsidRDefault="00D549BC" w:rsidP="00B460FF">
      <w:pPr>
        <w:pStyle w:val="FootnoteText"/>
        <w:ind w:firstLine="0"/>
      </w:pPr>
      <w:r w:rsidRPr="00B460FF">
        <w:rPr>
          <w:rStyle w:val="FootnoteReference"/>
          <w:rFonts w:ascii="Times New Roman" w:hAnsi="Times New Roman"/>
        </w:rPr>
        <w:footnoteRef/>
      </w:r>
      <w:r w:rsidRPr="00B460FF">
        <w:rPr>
          <w:rFonts w:ascii="Times New Roman" w:hAnsi="Times New Roman"/>
        </w:rPr>
        <w:t xml:space="preserve"> </w:t>
      </w:r>
      <w:r>
        <w:rPr>
          <w:rFonts w:ascii="Times New Roman" w:hAnsi="Times New Roman"/>
        </w:rPr>
        <w:t xml:space="preserve">SILVA, José Afonso da. </w:t>
      </w:r>
      <w:r w:rsidRPr="0014370F">
        <w:rPr>
          <w:rFonts w:ascii="Times New Roman" w:hAnsi="Times New Roman"/>
          <w:i/>
          <w:lang w:val="en-US"/>
        </w:rPr>
        <w:t>Op</w:t>
      </w:r>
      <w:r w:rsidRPr="0014370F">
        <w:rPr>
          <w:rFonts w:ascii="Times New Roman" w:hAnsi="Times New Roman"/>
          <w:lang w:val="en-US"/>
        </w:rPr>
        <w:t xml:space="preserve">. </w:t>
      </w:r>
      <w:r w:rsidRPr="0014370F">
        <w:rPr>
          <w:rFonts w:ascii="Times New Roman" w:hAnsi="Times New Roman"/>
          <w:i/>
          <w:lang w:val="en-US"/>
        </w:rPr>
        <w:t>Cit</w:t>
      </w:r>
      <w:r w:rsidRPr="0014370F">
        <w:rPr>
          <w:rFonts w:ascii="Times New Roman" w:hAnsi="Times New Roman"/>
          <w:lang w:val="en-US"/>
        </w:rPr>
        <w:t xml:space="preserve">., p. 454-456. </w:t>
      </w:r>
    </w:p>
  </w:footnote>
  <w:footnote w:id="131">
    <w:p w:rsidR="00D549BC" w:rsidRDefault="00D549BC" w:rsidP="00B90AAB">
      <w:pPr>
        <w:pStyle w:val="FootnoteText"/>
        <w:ind w:firstLine="0"/>
      </w:pPr>
      <w:r w:rsidRPr="00B90AAB">
        <w:rPr>
          <w:rStyle w:val="FootnoteReference"/>
          <w:rFonts w:ascii="Times New Roman" w:hAnsi="Times New Roman"/>
        </w:rPr>
        <w:footnoteRef/>
      </w:r>
      <w:r w:rsidRPr="00925E3E">
        <w:rPr>
          <w:rFonts w:ascii="Times New Roman" w:hAnsi="Times New Roman"/>
          <w:lang w:val="en-US"/>
        </w:rPr>
        <w:t xml:space="preserve"> Ibid., p. 478. </w:t>
      </w:r>
    </w:p>
  </w:footnote>
  <w:footnote w:id="132">
    <w:p w:rsidR="00D549BC" w:rsidRDefault="00D549BC" w:rsidP="003A634B">
      <w:pPr>
        <w:pStyle w:val="FootnoteText"/>
        <w:ind w:firstLine="0"/>
      </w:pPr>
      <w:r w:rsidRPr="003A634B">
        <w:rPr>
          <w:rStyle w:val="FootnoteReference"/>
          <w:rFonts w:ascii="Times New Roman" w:hAnsi="Times New Roman"/>
        </w:rPr>
        <w:footnoteRef/>
      </w:r>
      <w:r w:rsidRPr="003A634B">
        <w:rPr>
          <w:rFonts w:ascii="Times New Roman" w:hAnsi="Times New Roman"/>
        </w:rPr>
        <w:t xml:space="preserve"> </w:t>
      </w:r>
      <w:r>
        <w:rPr>
          <w:rFonts w:ascii="Times New Roman" w:hAnsi="Times New Roman"/>
        </w:rPr>
        <w:t xml:space="preserve">Acerca da composição do STJ, oportuna as palavras de RODOLFO MANCUSO: “Fato é que hoje temos o STJ, nos moldes como o preconizara a Comissão Provisória de Estudos Constitucionais, instituída pelo Dec. 91.450, de 18.7.85, presidida pelo Sen. Afonso Arinos. Quiçá, prevendo o notável fluxo de processos que chegariam à Corte, os constituintes, de indústria, previram que o STJ compõe-se de </w:t>
      </w:r>
      <w:r w:rsidRPr="003A634B">
        <w:rPr>
          <w:rFonts w:ascii="Times New Roman" w:hAnsi="Times New Roman"/>
          <w:i/>
        </w:rPr>
        <w:t>no mínimo</w:t>
      </w:r>
      <w:r>
        <w:rPr>
          <w:rFonts w:ascii="Times New Roman" w:hAnsi="Times New Roman"/>
        </w:rPr>
        <w:t xml:space="preserve"> 33 Ministros (CF, art. 104). ‘Se se tornar necessário’, ressalvava o Min. Carlos Velloso, ‘então que se peça o aumento do número de juízes’” (MANCUSO, Rodolfo de Camargo. </w:t>
      </w:r>
      <w:r w:rsidRPr="00753D6A">
        <w:rPr>
          <w:rFonts w:ascii="Times New Roman" w:hAnsi="Times New Roman"/>
          <w:i/>
        </w:rPr>
        <w:t>Op</w:t>
      </w:r>
      <w:r>
        <w:rPr>
          <w:rFonts w:ascii="Times New Roman" w:hAnsi="Times New Roman"/>
        </w:rPr>
        <w:t xml:space="preserve">. </w:t>
      </w:r>
      <w:r w:rsidRPr="00753D6A">
        <w:rPr>
          <w:rFonts w:ascii="Times New Roman" w:hAnsi="Times New Roman"/>
          <w:i/>
        </w:rPr>
        <w:t>Cit</w:t>
      </w:r>
      <w:r>
        <w:rPr>
          <w:rFonts w:ascii="Times New Roman" w:hAnsi="Times New Roman"/>
        </w:rPr>
        <w:t xml:space="preserve">., p. 87). </w:t>
      </w:r>
    </w:p>
  </w:footnote>
  <w:footnote w:id="133">
    <w:p w:rsidR="00D549BC" w:rsidRDefault="00D549BC" w:rsidP="006961BF">
      <w:pPr>
        <w:pStyle w:val="FootnoteText"/>
        <w:ind w:firstLine="0"/>
      </w:pPr>
      <w:r w:rsidRPr="006961BF">
        <w:rPr>
          <w:rStyle w:val="FootnoteReference"/>
          <w:rFonts w:ascii="Times New Roman" w:hAnsi="Times New Roman"/>
        </w:rPr>
        <w:footnoteRef/>
      </w:r>
      <w:r w:rsidRPr="006961BF">
        <w:rPr>
          <w:rFonts w:ascii="Times New Roman" w:hAnsi="Times New Roman"/>
        </w:rPr>
        <w:t xml:space="preserve"> </w:t>
      </w:r>
      <w:r>
        <w:rPr>
          <w:rFonts w:ascii="Times New Roman" w:hAnsi="Times New Roman"/>
        </w:rPr>
        <w:t>Anteriormente à EC nº 45 de 2004, a aprovação dos nomeados ao STJ se dava por maioria simples. Esta era a redação originária do parágrafo único do art. 104 da CRFB/88: “</w:t>
      </w:r>
      <w:r w:rsidRPr="006961BF">
        <w:rPr>
          <w:rFonts w:ascii="Times New Roman" w:hAnsi="Times New Roman"/>
        </w:rPr>
        <w:t xml:space="preserve">Os Ministros do Superior Tribunal de Justiça serão nomeados pelo Presidente da República, dentre brasileiros com mais de trinta e cinco e menos de sessenta e cinco anos, de notável saber jurídico e reputação ilibada, </w:t>
      </w:r>
      <w:r w:rsidRPr="006961BF">
        <w:rPr>
          <w:rFonts w:ascii="Times New Roman" w:hAnsi="Times New Roman"/>
          <w:i/>
        </w:rPr>
        <w:t>depois de aprovada a escolha pelo Senado Federal</w:t>
      </w:r>
      <w:r>
        <w:rPr>
          <w:rFonts w:ascii="Times New Roman" w:hAnsi="Times New Roman"/>
        </w:rPr>
        <w:t xml:space="preserve">”.  </w:t>
      </w:r>
    </w:p>
  </w:footnote>
  <w:footnote w:id="134">
    <w:p w:rsidR="00D549BC" w:rsidRDefault="00D549BC" w:rsidP="007758E5">
      <w:pPr>
        <w:pStyle w:val="FootnoteText"/>
        <w:ind w:firstLine="0"/>
      </w:pPr>
      <w:r w:rsidRPr="007758E5">
        <w:rPr>
          <w:rStyle w:val="FootnoteReference"/>
          <w:rFonts w:ascii="Times New Roman" w:hAnsi="Times New Roman"/>
        </w:rPr>
        <w:footnoteRef/>
      </w:r>
      <w:r w:rsidRPr="007758E5">
        <w:rPr>
          <w:rFonts w:ascii="Times New Roman" w:hAnsi="Times New Roman"/>
        </w:rPr>
        <w:t xml:space="preserve"> </w:t>
      </w:r>
      <w:r>
        <w:rPr>
          <w:rFonts w:ascii="Times New Roman" w:hAnsi="Times New Roman"/>
        </w:rPr>
        <w:t>Segundo BRUNO DANTAS: “</w:t>
      </w:r>
      <w:r w:rsidRPr="007758E5">
        <w:rPr>
          <w:rFonts w:ascii="Times New Roman" w:hAnsi="Times New Roman"/>
        </w:rPr>
        <w:t xml:space="preserve">No âmbito dos recursos excepcionais, </w:t>
      </w:r>
      <w:r w:rsidRPr="007758E5">
        <w:rPr>
          <w:rFonts w:ascii="Times New Roman" w:hAnsi="Times New Roman"/>
          <w:i/>
        </w:rPr>
        <w:t>o pressuposto constitucional</w:t>
      </w:r>
      <w:r w:rsidRPr="007758E5">
        <w:rPr>
          <w:rFonts w:ascii="Times New Roman" w:hAnsi="Times New Roman"/>
        </w:rPr>
        <w:t xml:space="preserve"> de que as </w:t>
      </w:r>
      <w:r w:rsidRPr="007758E5">
        <w:rPr>
          <w:rFonts w:ascii="Times New Roman" w:hAnsi="Times New Roman"/>
          <w:i/>
        </w:rPr>
        <w:t>causas</w:t>
      </w:r>
      <w:r w:rsidRPr="007758E5">
        <w:rPr>
          <w:rFonts w:ascii="Times New Roman" w:hAnsi="Times New Roman"/>
        </w:rPr>
        <w:t xml:space="preserve"> tenham </w:t>
      </w:r>
      <w:r w:rsidRPr="007758E5">
        <w:rPr>
          <w:rFonts w:ascii="Times New Roman" w:hAnsi="Times New Roman"/>
          <w:i/>
        </w:rPr>
        <w:t xml:space="preserve">efetivamente </w:t>
      </w:r>
      <w:r w:rsidRPr="007758E5">
        <w:rPr>
          <w:rFonts w:ascii="Times New Roman" w:hAnsi="Times New Roman"/>
        </w:rPr>
        <w:t>sido</w:t>
      </w:r>
      <w:r>
        <w:rPr>
          <w:rFonts w:ascii="Times New Roman" w:hAnsi="Times New Roman"/>
        </w:rPr>
        <w:t xml:space="preserve"> </w:t>
      </w:r>
      <w:r w:rsidRPr="007758E5">
        <w:rPr>
          <w:rFonts w:ascii="Times New Roman" w:hAnsi="Times New Roman"/>
          <w:i/>
        </w:rPr>
        <w:t>decididas</w:t>
      </w:r>
      <w:r w:rsidRPr="007758E5">
        <w:rPr>
          <w:rFonts w:ascii="Times New Roman" w:hAnsi="Times New Roman"/>
        </w:rPr>
        <w:t xml:space="preserve"> quer significar que o ponto sobre o qual o recorrente</w:t>
      </w:r>
      <w:r>
        <w:rPr>
          <w:rFonts w:ascii="Times New Roman" w:hAnsi="Times New Roman"/>
        </w:rPr>
        <w:t xml:space="preserve"> </w:t>
      </w:r>
      <w:r w:rsidRPr="007758E5">
        <w:rPr>
          <w:rFonts w:ascii="Times New Roman" w:hAnsi="Times New Roman"/>
        </w:rPr>
        <w:t>deseja que o STJ ou o STF se pronuncie deve estar contido no</w:t>
      </w:r>
      <w:r>
        <w:rPr>
          <w:rFonts w:ascii="Times New Roman" w:hAnsi="Times New Roman"/>
        </w:rPr>
        <w:t xml:space="preserve"> </w:t>
      </w:r>
      <w:r w:rsidRPr="007758E5">
        <w:rPr>
          <w:rFonts w:ascii="Times New Roman" w:hAnsi="Times New Roman"/>
        </w:rPr>
        <w:t>bojo da decisão recorrida</w:t>
      </w:r>
      <w:r>
        <w:rPr>
          <w:rFonts w:ascii="Times New Roman" w:hAnsi="Times New Roman"/>
        </w:rPr>
        <w:t xml:space="preserve">” (DANTAS, Bruno. </w:t>
      </w:r>
      <w:r w:rsidRPr="007758E5">
        <w:rPr>
          <w:rFonts w:ascii="Times New Roman" w:hAnsi="Times New Roman"/>
          <w:b/>
        </w:rPr>
        <w:t>Repercussão geral</w:t>
      </w:r>
      <w:r w:rsidRPr="007758E5">
        <w:rPr>
          <w:rFonts w:ascii="Times New Roman" w:hAnsi="Times New Roman"/>
        </w:rPr>
        <w:t>: perspectivas histórica, dogmática e de direito comparado – questões processuais.</w:t>
      </w:r>
      <w:r>
        <w:rPr>
          <w:rFonts w:ascii="Times New Roman" w:hAnsi="Times New Roman"/>
        </w:rPr>
        <w:t xml:space="preserve"> 2.</w:t>
      </w:r>
      <w:r w:rsidRPr="007758E5">
        <w:rPr>
          <w:rFonts w:ascii="Times New Roman" w:hAnsi="Times New Roman"/>
        </w:rPr>
        <w:t xml:space="preserve"> ed</w:t>
      </w:r>
      <w:r>
        <w:rPr>
          <w:rFonts w:ascii="Times New Roman" w:hAnsi="Times New Roman"/>
        </w:rPr>
        <w:t xml:space="preserve">. </w:t>
      </w:r>
      <w:r w:rsidRPr="007758E5">
        <w:rPr>
          <w:rFonts w:ascii="Times New Roman" w:hAnsi="Times New Roman"/>
        </w:rPr>
        <w:t>São Paulo: Revista dos Tribunais, 2010</w:t>
      </w:r>
      <w:r>
        <w:rPr>
          <w:rFonts w:ascii="Times New Roman" w:hAnsi="Times New Roman"/>
        </w:rPr>
        <w:t xml:space="preserve">, p. 175, grifos nossos). </w:t>
      </w:r>
    </w:p>
  </w:footnote>
  <w:footnote w:id="135">
    <w:p w:rsidR="00D549BC" w:rsidRDefault="00D549BC" w:rsidP="006C5A00">
      <w:pPr>
        <w:pStyle w:val="FootnoteText"/>
        <w:ind w:firstLine="0"/>
      </w:pPr>
      <w:r w:rsidRPr="006C5A00">
        <w:rPr>
          <w:rStyle w:val="FootnoteReference"/>
          <w:rFonts w:ascii="Times New Roman" w:hAnsi="Times New Roman"/>
        </w:rPr>
        <w:footnoteRef/>
      </w:r>
      <w:r w:rsidRPr="006C5A00">
        <w:rPr>
          <w:rFonts w:ascii="Times New Roman" w:hAnsi="Times New Roman"/>
        </w:rPr>
        <w:t xml:space="preserve"> </w:t>
      </w:r>
      <w:r>
        <w:rPr>
          <w:rFonts w:ascii="Times New Roman" w:hAnsi="Times New Roman"/>
        </w:rPr>
        <w:t xml:space="preserve">Súmula 203 do </w:t>
      </w:r>
      <w:r w:rsidRPr="006C5A00">
        <w:rPr>
          <w:rFonts w:ascii="Times New Roman" w:hAnsi="Times New Roman"/>
        </w:rPr>
        <w:t>STJ: “Não cabe recurso especial contra decisão proferida por órgão de segundo grau dos Juizados Especiais”.</w:t>
      </w:r>
    </w:p>
  </w:footnote>
  <w:footnote w:id="136">
    <w:p w:rsidR="00D549BC" w:rsidRDefault="00D549BC" w:rsidP="003B19FB">
      <w:pPr>
        <w:pStyle w:val="FootnoteText"/>
        <w:ind w:firstLine="0"/>
      </w:pPr>
      <w:r w:rsidRPr="003B19FB">
        <w:rPr>
          <w:rStyle w:val="FootnoteReference"/>
          <w:rFonts w:ascii="Times New Roman" w:hAnsi="Times New Roman"/>
        </w:rPr>
        <w:footnoteRef/>
      </w:r>
      <w:r w:rsidRPr="003B19FB">
        <w:rPr>
          <w:rFonts w:ascii="Times New Roman" w:hAnsi="Times New Roman"/>
        </w:rPr>
        <w:t xml:space="preserve"> Art. 105. Compete ao Superior Tribunal de Justiça:</w:t>
      </w:r>
      <w:r>
        <w:rPr>
          <w:rFonts w:ascii="Times New Roman" w:hAnsi="Times New Roman"/>
        </w:rPr>
        <w:t xml:space="preserve"> </w:t>
      </w:r>
      <w:r w:rsidRPr="003B19FB">
        <w:rPr>
          <w:rFonts w:ascii="Times New Roman" w:hAnsi="Times New Roman"/>
        </w:rPr>
        <w:t>I - processar e julgar, originariamente:</w:t>
      </w:r>
      <w:r>
        <w:rPr>
          <w:rFonts w:ascii="Times New Roman" w:hAnsi="Times New Roman"/>
        </w:rPr>
        <w:t xml:space="preserve"> </w:t>
      </w:r>
      <w:r w:rsidRPr="00E958BA">
        <w:rPr>
          <w:rFonts w:ascii="Times New Roman" w:hAnsi="Times New Roman"/>
          <w:i/>
        </w:rPr>
        <w:t>f</w:t>
      </w:r>
      <w:r w:rsidRPr="00E958BA">
        <w:rPr>
          <w:rFonts w:ascii="Times New Roman" w:hAnsi="Times New Roman"/>
        </w:rPr>
        <w:t xml:space="preserve">) </w:t>
      </w:r>
      <w:r w:rsidRPr="00E958BA">
        <w:rPr>
          <w:rFonts w:ascii="Times New Roman" w:hAnsi="Times New Roman"/>
          <w:i/>
        </w:rPr>
        <w:t>a reclamação para a preservação de sua competência e garantia da autoridade de suas decisões</w:t>
      </w:r>
      <w:r>
        <w:rPr>
          <w:rFonts w:ascii="Times New Roman" w:hAnsi="Times New Roman"/>
        </w:rPr>
        <w:t xml:space="preserve"> (grifos nossos). </w:t>
      </w:r>
    </w:p>
  </w:footnote>
  <w:footnote w:id="137">
    <w:p w:rsidR="00D549BC" w:rsidRDefault="00D549BC" w:rsidP="00E83698">
      <w:pPr>
        <w:pStyle w:val="FootnoteText"/>
        <w:ind w:firstLine="0"/>
      </w:pPr>
      <w:r w:rsidRPr="00AF6938">
        <w:rPr>
          <w:rStyle w:val="FootnoteReference"/>
          <w:rFonts w:ascii="Times New Roman" w:hAnsi="Times New Roman"/>
        </w:rPr>
        <w:footnoteRef/>
      </w:r>
      <w:r w:rsidRPr="00AF6938">
        <w:rPr>
          <w:rFonts w:ascii="Times New Roman" w:hAnsi="Times New Roman"/>
        </w:rPr>
        <w:t xml:space="preserve"> RE 571</w:t>
      </w:r>
      <w:r>
        <w:rPr>
          <w:rFonts w:ascii="Times New Roman" w:hAnsi="Times New Roman"/>
        </w:rPr>
        <w:t>.</w:t>
      </w:r>
      <w:r w:rsidRPr="00AF6938">
        <w:rPr>
          <w:rFonts w:ascii="Times New Roman" w:hAnsi="Times New Roman"/>
        </w:rPr>
        <w:t>572 ED / BA - BAHIA EMB.</w:t>
      </w:r>
      <w:r>
        <w:rPr>
          <w:rFonts w:ascii="Times New Roman" w:hAnsi="Times New Roman"/>
        </w:rPr>
        <w:t xml:space="preserve"> </w:t>
      </w:r>
      <w:r w:rsidRPr="00AF6938">
        <w:rPr>
          <w:rFonts w:ascii="Times New Roman" w:hAnsi="Times New Roman"/>
        </w:rPr>
        <w:t>DECL.</w:t>
      </w:r>
      <w:r>
        <w:rPr>
          <w:rFonts w:ascii="Times New Roman" w:hAnsi="Times New Roman"/>
        </w:rPr>
        <w:t xml:space="preserve"> </w:t>
      </w:r>
      <w:r w:rsidRPr="00AF6938">
        <w:rPr>
          <w:rFonts w:ascii="Times New Roman" w:hAnsi="Times New Roman"/>
        </w:rPr>
        <w:t>NO RECURSO EXTRAORDINÁRIO</w:t>
      </w:r>
      <w:r>
        <w:rPr>
          <w:rFonts w:ascii="Times New Roman" w:hAnsi="Times New Roman"/>
        </w:rPr>
        <w:t xml:space="preserve"> </w:t>
      </w:r>
      <w:r w:rsidRPr="00AF6938">
        <w:rPr>
          <w:rFonts w:ascii="Times New Roman" w:hAnsi="Times New Roman"/>
        </w:rPr>
        <w:t>Relator(a):  Min. E</w:t>
      </w:r>
      <w:r>
        <w:rPr>
          <w:rFonts w:ascii="Times New Roman" w:hAnsi="Times New Roman"/>
        </w:rPr>
        <w:t>llen</w:t>
      </w:r>
      <w:r w:rsidRPr="00AF6938">
        <w:rPr>
          <w:rFonts w:ascii="Times New Roman" w:hAnsi="Times New Roman"/>
        </w:rPr>
        <w:t xml:space="preserve"> G</w:t>
      </w:r>
      <w:r>
        <w:rPr>
          <w:rFonts w:ascii="Times New Roman" w:hAnsi="Times New Roman"/>
        </w:rPr>
        <w:t xml:space="preserve">racie </w:t>
      </w:r>
      <w:r w:rsidRPr="00AF6938">
        <w:rPr>
          <w:rFonts w:ascii="Times New Roman" w:hAnsi="Times New Roman"/>
        </w:rPr>
        <w:t>J</w:t>
      </w:r>
      <w:r>
        <w:rPr>
          <w:rFonts w:ascii="Times New Roman" w:hAnsi="Times New Roman"/>
        </w:rPr>
        <w:t xml:space="preserve">ulgamento:  26/08/2009 </w:t>
      </w:r>
      <w:r w:rsidRPr="00AF6938">
        <w:rPr>
          <w:rFonts w:ascii="Times New Roman" w:hAnsi="Times New Roman"/>
        </w:rPr>
        <w:t>Órgão Julgador:  Tribunal Pleno</w:t>
      </w:r>
      <w:r>
        <w:rPr>
          <w:rFonts w:ascii="Times New Roman" w:hAnsi="Times New Roman"/>
        </w:rPr>
        <w:t xml:space="preserve">. </w:t>
      </w:r>
      <w:r w:rsidRPr="00AF6938">
        <w:rPr>
          <w:rFonts w:ascii="Times New Roman" w:hAnsi="Times New Roman"/>
        </w:rPr>
        <w:t>Ementa</w:t>
      </w:r>
      <w:r>
        <w:rPr>
          <w:rFonts w:ascii="Times New Roman" w:hAnsi="Times New Roman"/>
        </w:rPr>
        <w:t>.</w:t>
      </w:r>
      <w:r w:rsidRPr="00AF6938">
        <w:rPr>
          <w:rFonts w:ascii="Times New Roman" w:hAnsi="Times New Roman"/>
        </w:rPr>
        <w:t xml:space="preserve"> EMBARGOS DE DECLARAÇÃO. RECURSO EXTRAORDINÁRIO. AUSÊNCIA DE OMISSÃO NO ACÓRDÃO EMBARGADO. JURISPRUDÊNCIA DO SUPERIOR TRIBUNAL DE JUSTIÇA. APLICAÇÃO ÀS CONTROVÉRSIAS SUBMETIDAS AOS JUIZADOS ESPECIAIS ESTADUAIS. RECLAMAÇÃO PARA O SUPERIOR TRIBUNAL DE JUSTIÇA. CABIMENTO EXCEPCIONAL ENQUANTO NÃO CRIADO, POR LEI FEDERAL, O ÓRGÃO UNIFORMIZADOR. 1. No julgamento do recurso extraordinário interposto pela embargante, o Plenário desta Suprema Corte apreciou satisfatoriamente os pontos por ela questionados, tendo concluído: que constitui questão infraconstitucional a discriminação dos pulsos telefônicos excedentes nas contas telefônicas; que compete à Justiça Estadual a sua apreciação; e que é possível o julgamento da referida matéria no âmbito dos juizados em virtude da ausência de complexidade probatória. Não há, assim, qualquer omissão a ser sanada. 2. Quanto ao pedido de aplicação da jurisprudência do Superior Tribunal de Justiça, observe-se que aquela egrégia Corte foi incumbida pela Carta Magna da missão de uniformizar a interpretação da legislação infraconstitucional, embora seja inadmissível a interposição de recurso especial contra as decisões proferidas pelas turmas recursais dos juizados especiais. 3. No âmbito federal, a Lei 10.259/2001 criou a Turma de Uniformização da Jurisprudência, que pode ser acionada quando a decisão da turma recursal contrariar a jurisprudência do STJ. É possível, ainda, a provocação dessa Corte Superior após o julgamento da matéria pela citada Turma de Uniformização. 4. Inexistência de órgão uniformizador no âmbito dos juizados estaduais, circunstância que inviabiliza a aplicação da jurisprudência do STJ. Risco de manutenção de decisões divergentes quanto à interpretação da legislação federal, gerando insegurança jurídica e uma prestação jurisdicional incompleta, em decorrência da inexistência de outro meio eficaz para resolvê-la. 5. Embargos declaratórios acolhidos apenas para declarar o cabimento, em caráter excepcional, da reclamação prevista no art. 105, I, f, da Constituição Federal, para fazer prevalecer, até a criação da turma de uniformização dos juizados especiais estaduais, a jurisprudência do Superior Tribunal de Justiça na interpretação da legislação infraconstitucional.</w:t>
      </w:r>
      <w:r>
        <w:rPr>
          <w:rFonts w:ascii="Times New Roman" w:hAnsi="Times New Roman"/>
        </w:rPr>
        <w:t xml:space="preserve"> </w:t>
      </w:r>
      <w:r w:rsidRPr="00AF6938">
        <w:rPr>
          <w:rFonts w:ascii="Times New Roman" w:hAnsi="Times New Roman"/>
        </w:rPr>
        <w:t>Decisão</w:t>
      </w:r>
      <w:r>
        <w:rPr>
          <w:rFonts w:ascii="Times New Roman" w:hAnsi="Times New Roman"/>
        </w:rPr>
        <w:t xml:space="preserve">: </w:t>
      </w:r>
      <w:r w:rsidRPr="00AF6938">
        <w:rPr>
          <w:rFonts w:ascii="Times New Roman" w:hAnsi="Times New Roman"/>
        </w:rPr>
        <w:t>O Tribunal, por maioria, acolheu os embargos de declaração</w:t>
      </w:r>
      <w:r>
        <w:rPr>
          <w:rFonts w:ascii="Times New Roman" w:hAnsi="Times New Roman"/>
        </w:rPr>
        <w:t xml:space="preserve"> </w:t>
      </w:r>
      <w:r w:rsidRPr="00AF6938">
        <w:rPr>
          <w:rFonts w:ascii="Times New Roman" w:hAnsi="Times New Roman"/>
        </w:rPr>
        <w:t>para prestar os esclarecimentos constantes do voto da Relatora e</w:t>
      </w:r>
      <w:r>
        <w:rPr>
          <w:rFonts w:ascii="Times New Roman" w:hAnsi="Times New Roman"/>
        </w:rPr>
        <w:t xml:space="preserve"> </w:t>
      </w:r>
      <w:r w:rsidRPr="00AF6938">
        <w:rPr>
          <w:rFonts w:ascii="Times New Roman" w:hAnsi="Times New Roman"/>
        </w:rPr>
        <w:t xml:space="preserve">   determinou a comunicação à Presidência do Superior Tribunal de</w:t>
      </w:r>
      <w:r>
        <w:rPr>
          <w:rFonts w:ascii="Times New Roman" w:hAnsi="Times New Roman"/>
        </w:rPr>
        <w:t xml:space="preserve"> </w:t>
      </w:r>
      <w:r w:rsidRPr="00AF6938">
        <w:rPr>
          <w:rFonts w:ascii="Times New Roman" w:hAnsi="Times New Roman"/>
        </w:rPr>
        <w:t xml:space="preserve">   Justiça, vencidos os Senhores Ministros Marco Aurélio e Carlos</w:t>
      </w:r>
      <w:r>
        <w:rPr>
          <w:rFonts w:ascii="Times New Roman" w:hAnsi="Times New Roman"/>
        </w:rPr>
        <w:t xml:space="preserve"> </w:t>
      </w:r>
      <w:r w:rsidRPr="00AF6938">
        <w:rPr>
          <w:rFonts w:ascii="Times New Roman" w:hAnsi="Times New Roman"/>
        </w:rPr>
        <w:t xml:space="preserve">   Britto. Votou o Presidente, Ministro Gilmar Mendes. Ausentes,</w:t>
      </w:r>
      <w:r>
        <w:rPr>
          <w:rFonts w:ascii="Times New Roman" w:hAnsi="Times New Roman"/>
        </w:rPr>
        <w:t xml:space="preserve"> </w:t>
      </w:r>
      <w:r w:rsidRPr="00AF6938">
        <w:rPr>
          <w:rFonts w:ascii="Times New Roman" w:hAnsi="Times New Roman"/>
        </w:rPr>
        <w:t>neste julgamento, o Senhor Ministro Eros Grau e, licenciados, os</w:t>
      </w:r>
      <w:r>
        <w:rPr>
          <w:rFonts w:ascii="Times New Roman" w:hAnsi="Times New Roman"/>
        </w:rPr>
        <w:t xml:space="preserve"> </w:t>
      </w:r>
      <w:r w:rsidRPr="00AF6938">
        <w:rPr>
          <w:rFonts w:ascii="Times New Roman" w:hAnsi="Times New Roman"/>
        </w:rPr>
        <w:t>Senhores Ministros Joaquim Barbosa e Menezes Direito. Plenário,</w:t>
      </w:r>
      <w:r>
        <w:rPr>
          <w:rFonts w:ascii="Times New Roman" w:hAnsi="Times New Roman"/>
        </w:rPr>
        <w:t xml:space="preserve"> </w:t>
      </w:r>
      <w:r w:rsidRPr="00AF6938">
        <w:rPr>
          <w:rFonts w:ascii="Times New Roman" w:hAnsi="Times New Roman"/>
        </w:rPr>
        <w:t>26.08.2009.</w:t>
      </w:r>
      <w:r>
        <w:rPr>
          <w:rFonts w:ascii="Times New Roman" w:hAnsi="Times New Roman"/>
        </w:rPr>
        <w:t xml:space="preserve"> (BRASIL. </w:t>
      </w:r>
      <w:r w:rsidRPr="00246B64">
        <w:rPr>
          <w:rFonts w:ascii="Times New Roman" w:hAnsi="Times New Roman"/>
        </w:rPr>
        <w:t>Supremo Tribunal Federal.</w:t>
      </w:r>
      <w:r>
        <w:rPr>
          <w:rFonts w:ascii="Times New Roman" w:hAnsi="Times New Roman"/>
        </w:rPr>
        <w:t xml:space="preserve"> </w:t>
      </w:r>
      <w:r w:rsidRPr="00DF1E55">
        <w:rPr>
          <w:rFonts w:ascii="Times New Roman" w:hAnsi="Times New Roman"/>
        </w:rPr>
        <w:t>Emb. Decl. no recurso extraordinário 571.572 – 8 Bahia.</w:t>
      </w:r>
      <w:r>
        <w:rPr>
          <w:rFonts w:ascii="Times New Roman" w:hAnsi="Times New Roman"/>
        </w:rPr>
        <w:t xml:space="preserve"> Disponível em: </w:t>
      </w:r>
      <w:r w:rsidRPr="00246B64">
        <w:rPr>
          <w:rFonts w:ascii="Times New Roman" w:hAnsi="Times New Roman"/>
        </w:rPr>
        <w:t>http://redir.stf.jus.br/paginadorpub/paginador.jsp?docTP=AC&amp;docID=606378</w:t>
      </w:r>
      <w:r>
        <w:rPr>
          <w:rFonts w:ascii="Times New Roman" w:hAnsi="Times New Roman"/>
        </w:rPr>
        <w:t xml:space="preserve">. Acesso em: 13 out. 2014). </w:t>
      </w:r>
    </w:p>
  </w:footnote>
  <w:footnote w:id="138">
    <w:p w:rsidR="00D549BC" w:rsidRDefault="00D549BC" w:rsidP="009631CB">
      <w:pPr>
        <w:pStyle w:val="FootnoteText"/>
        <w:ind w:firstLine="0"/>
      </w:pPr>
      <w:r w:rsidRPr="00625CFE">
        <w:rPr>
          <w:rStyle w:val="FootnoteReference"/>
          <w:rFonts w:ascii="Times New Roman" w:hAnsi="Times New Roman"/>
        </w:rPr>
        <w:footnoteRef/>
      </w:r>
      <w:r w:rsidRPr="00625CFE">
        <w:rPr>
          <w:rFonts w:ascii="Times New Roman" w:hAnsi="Times New Roman"/>
        </w:rPr>
        <w:t xml:space="preserve"> Está em tramitação na Câmara dos Deputados o Projeto de Lei 4.723 de 2004, assinado pelo então Ministro da Justiça Marcio Thomaz Bastos, que acrescenta à Lei 9.099/95 a Seção XIII-A no Capítulo II, dispondo sobre a uniformização de jurisprudência no âmbito dos Juizados Especiais Cível e Criminal. Tal PL já foi aprovado pelo Senado Federal (PLC – Projeto de Lei da Câmara, nº 16 de 2007) em 2010, porém encontra-se parado desde 17 de agosto de 2011, na Comissão de Constituição e Justiça e de Cidadania (CCJC) da Câmara dos Deputados. Certamente, se concretizada, a alteração proporcionará, a exemplo da esfera federal (v. art. 14 da Lei 10.259/01), a possibilidade de se obter, por meio de pedido de uniformização de jurisprudência, a revisão dos julgados oriundos das Turmas Recursais, atualmente, quase soberanas em matéria de direito federal infraconstitucional. A tramitação do PL 4.723/04 está disponível, bem como o texto do projeto, em:</w:t>
      </w:r>
      <w:r w:rsidRPr="00625CFE">
        <w:t xml:space="preserve"> </w:t>
      </w:r>
      <w:r w:rsidRPr="00625CFE">
        <w:rPr>
          <w:rFonts w:ascii="Times New Roman" w:hAnsi="Times New Roman"/>
        </w:rPr>
        <w:t xml:space="preserve">http://www.camara.gov.br/proposicoesWeb/fichadetramitacao?idProposicao=274425. </w:t>
      </w:r>
    </w:p>
  </w:footnote>
  <w:footnote w:id="139">
    <w:p w:rsidR="00D549BC" w:rsidRDefault="00D549BC" w:rsidP="002675FF">
      <w:pPr>
        <w:pStyle w:val="FootnoteText"/>
        <w:ind w:firstLine="0"/>
      </w:pPr>
      <w:r w:rsidRPr="009004B7">
        <w:rPr>
          <w:rStyle w:val="FootnoteReference"/>
          <w:rFonts w:ascii="Times New Roman" w:hAnsi="Times New Roman"/>
        </w:rPr>
        <w:footnoteRef/>
      </w:r>
      <w:r>
        <w:rPr>
          <w:rFonts w:ascii="Times New Roman" w:hAnsi="Times New Roman"/>
        </w:rPr>
        <w:t xml:space="preserve"> Inteiro teor da Resolução nº 12/2009 do STJ disponível em: </w:t>
      </w:r>
      <w:r w:rsidRPr="000603CC">
        <w:rPr>
          <w:rFonts w:ascii="Times New Roman" w:hAnsi="Times New Roman"/>
        </w:rPr>
        <w:t>http://bdjur.stj.jus.br/xmlui/handle/2011/26389?show=full</w:t>
      </w:r>
      <w:r>
        <w:rPr>
          <w:rFonts w:ascii="Times New Roman" w:hAnsi="Times New Roman"/>
        </w:rPr>
        <w:t xml:space="preserve">.  </w:t>
      </w:r>
    </w:p>
  </w:footnote>
  <w:footnote w:id="140">
    <w:p w:rsidR="00D549BC" w:rsidRPr="00F62265" w:rsidRDefault="00D549BC" w:rsidP="00F62265">
      <w:pPr>
        <w:pStyle w:val="FootnoteText"/>
        <w:ind w:firstLine="0"/>
        <w:rPr>
          <w:rFonts w:ascii="Times New Roman" w:hAnsi="Times New Roman"/>
        </w:rPr>
      </w:pPr>
      <w:r w:rsidRPr="00F62265">
        <w:rPr>
          <w:rStyle w:val="FootnoteReference"/>
          <w:rFonts w:ascii="Times New Roman" w:hAnsi="Times New Roman"/>
        </w:rPr>
        <w:footnoteRef/>
      </w:r>
      <w:r>
        <w:rPr>
          <w:rFonts w:ascii="Times New Roman" w:hAnsi="Times New Roman"/>
        </w:rPr>
        <w:t xml:space="preserve"> </w:t>
      </w:r>
      <w:r w:rsidRPr="00F62265">
        <w:rPr>
          <w:rFonts w:ascii="Times New Roman" w:hAnsi="Times New Roman"/>
        </w:rPr>
        <w:t xml:space="preserve">Art. 14. Caberá pedido de uniformização de interpretação de lei federal </w:t>
      </w:r>
      <w:r w:rsidRPr="007E7328">
        <w:rPr>
          <w:rFonts w:ascii="Times New Roman" w:hAnsi="Times New Roman"/>
          <w:i/>
        </w:rPr>
        <w:t>quando houver divergência entre decisões sobre questões de direito material proferidas por Turmas Recursais na interpretação da lei</w:t>
      </w:r>
      <w:r w:rsidRPr="00F62265">
        <w:rPr>
          <w:rFonts w:ascii="Times New Roman" w:hAnsi="Times New Roman"/>
        </w:rPr>
        <w:t>.</w:t>
      </w:r>
      <w:r>
        <w:rPr>
          <w:rFonts w:ascii="Times New Roman" w:hAnsi="Times New Roman"/>
        </w:rPr>
        <w:t xml:space="preserve"> </w:t>
      </w:r>
    </w:p>
    <w:p w:rsidR="00D549BC" w:rsidRPr="00F62265" w:rsidRDefault="00D549BC" w:rsidP="00F62265">
      <w:pPr>
        <w:pStyle w:val="FootnoteText"/>
        <w:ind w:firstLine="0"/>
        <w:rPr>
          <w:rFonts w:ascii="Times New Roman" w:hAnsi="Times New Roman"/>
        </w:rPr>
      </w:pPr>
      <w:r>
        <w:rPr>
          <w:rFonts w:ascii="Times New Roman" w:hAnsi="Times New Roman"/>
        </w:rPr>
        <w:t>§ 1º</w:t>
      </w:r>
      <w:r w:rsidRPr="00F62265">
        <w:rPr>
          <w:rFonts w:ascii="Times New Roman" w:hAnsi="Times New Roman"/>
        </w:rPr>
        <w:t xml:space="preserve"> O pedido fundado em divergência entre Turmas da mesma Região será julgado em reunião conjunta das Turmas em conflito, sob a presidência do Juiz Coordenador.</w:t>
      </w:r>
    </w:p>
    <w:p w:rsidR="00D549BC" w:rsidRPr="00F62265" w:rsidRDefault="00D549BC" w:rsidP="00F62265">
      <w:pPr>
        <w:pStyle w:val="FootnoteText"/>
        <w:ind w:firstLine="0"/>
        <w:rPr>
          <w:rFonts w:ascii="Times New Roman" w:hAnsi="Times New Roman"/>
        </w:rPr>
      </w:pPr>
      <w:r>
        <w:rPr>
          <w:rFonts w:ascii="Times New Roman" w:hAnsi="Times New Roman"/>
        </w:rPr>
        <w:t>§ 2º</w:t>
      </w:r>
      <w:r w:rsidRPr="00F62265">
        <w:rPr>
          <w:rFonts w:ascii="Times New Roman" w:hAnsi="Times New Roman"/>
        </w:rPr>
        <w:t xml:space="preserve"> O pedido fundado em divergência entre decisões de turmas de diferentes regiões ou da proferida em contrariedade a súmula ou jurisprudência dominante do STJ será julgado por Turma de Uniformização, integrada por juízes de Turmas Recursais, sob a presidência do Coordenador da Justiça Federal.</w:t>
      </w:r>
    </w:p>
    <w:p w:rsidR="00D549BC" w:rsidRPr="00F62265" w:rsidRDefault="00D549BC" w:rsidP="00F62265">
      <w:pPr>
        <w:pStyle w:val="FootnoteText"/>
        <w:ind w:firstLine="0"/>
        <w:rPr>
          <w:rFonts w:ascii="Times New Roman" w:hAnsi="Times New Roman"/>
        </w:rPr>
      </w:pPr>
      <w:r>
        <w:rPr>
          <w:rFonts w:ascii="Times New Roman" w:hAnsi="Times New Roman"/>
        </w:rPr>
        <w:t>§ 3º</w:t>
      </w:r>
      <w:r w:rsidRPr="00F62265">
        <w:rPr>
          <w:rFonts w:ascii="Times New Roman" w:hAnsi="Times New Roman"/>
        </w:rPr>
        <w:t xml:space="preserve"> A reunião de juízes domiciliados em cidades diversas será feita pela via eletrônica.</w:t>
      </w:r>
    </w:p>
    <w:p w:rsidR="00D549BC" w:rsidRPr="00F62265" w:rsidRDefault="00D549BC" w:rsidP="00F62265">
      <w:pPr>
        <w:pStyle w:val="FootnoteText"/>
        <w:ind w:firstLine="0"/>
        <w:rPr>
          <w:rFonts w:ascii="Times New Roman" w:hAnsi="Times New Roman"/>
        </w:rPr>
      </w:pPr>
      <w:r>
        <w:rPr>
          <w:rFonts w:ascii="Times New Roman" w:hAnsi="Times New Roman"/>
        </w:rPr>
        <w:t>§ 4º</w:t>
      </w:r>
      <w:r w:rsidRPr="00F62265">
        <w:rPr>
          <w:rFonts w:ascii="Times New Roman" w:hAnsi="Times New Roman"/>
        </w:rPr>
        <w:t xml:space="preserve"> </w:t>
      </w:r>
      <w:r w:rsidRPr="007E7328">
        <w:rPr>
          <w:rFonts w:ascii="Times New Roman" w:hAnsi="Times New Roman"/>
          <w:i/>
        </w:rPr>
        <w:t>Quando a orientação acolhida pela Turma de Uniformização, em questões de direito material, contrariar súmula ou jurisprudência dominante no Superior Tribunal de Justiça - STJ, a parte interessada poderá provocar a manifestação deste, que dirimirá a divergência</w:t>
      </w:r>
      <w:r w:rsidRPr="00F62265">
        <w:rPr>
          <w:rFonts w:ascii="Times New Roman" w:hAnsi="Times New Roman"/>
        </w:rPr>
        <w:t>.</w:t>
      </w:r>
    </w:p>
    <w:p w:rsidR="00D549BC" w:rsidRPr="00F62265" w:rsidRDefault="00D549BC" w:rsidP="00F62265">
      <w:pPr>
        <w:pStyle w:val="FootnoteText"/>
        <w:ind w:firstLine="0"/>
        <w:rPr>
          <w:rFonts w:ascii="Times New Roman" w:hAnsi="Times New Roman"/>
        </w:rPr>
      </w:pPr>
      <w:r>
        <w:rPr>
          <w:rFonts w:ascii="Times New Roman" w:hAnsi="Times New Roman"/>
        </w:rPr>
        <w:t>§ 5º No caso do § 4º</w:t>
      </w:r>
      <w:r w:rsidRPr="00F62265">
        <w:rPr>
          <w:rFonts w:ascii="Times New Roman" w:hAnsi="Times New Roman"/>
        </w:rPr>
        <w:t>, presente a plausibilidade do direito invocado e havendo fundado receio de dano de difícil reparação, poderá o relator conceder, de ofício ou a requerimento do interessado, medida liminar determinando a suspensão dos processos nos quais a controvérsia esteja estabelecida.</w:t>
      </w:r>
    </w:p>
    <w:p w:rsidR="00D549BC" w:rsidRPr="00F62265" w:rsidRDefault="00D549BC" w:rsidP="00F62265">
      <w:pPr>
        <w:pStyle w:val="FootnoteText"/>
        <w:ind w:firstLine="0"/>
        <w:rPr>
          <w:rFonts w:ascii="Times New Roman" w:hAnsi="Times New Roman"/>
        </w:rPr>
      </w:pPr>
      <w:r>
        <w:rPr>
          <w:rFonts w:ascii="Times New Roman" w:hAnsi="Times New Roman"/>
        </w:rPr>
        <w:t>§ 6º</w:t>
      </w:r>
      <w:r w:rsidRPr="00F62265">
        <w:rPr>
          <w:rFonts w:ascii="Times New Roman" w:hAnsi="Times New Roman"/>
        </w:rPr>
        <w:t xml:space="preserve"> Eventuais pedidos de uniformiza</w:t>
      </w:r>
      <w:r>
        <w:rPr>
          <w:rFonts w:ascii="Times New Roman" w:hAnsi="Times New Roman"/>
        </w:rPr>
        <w:t>ção idênticos, recebidos subsequ</w:t>
      </w:r>
      <w:r w:rsidRPr="00F62265">
        <w:rPr>
          <w:rFonts w:ascii="Times New Roman" w:hAnsi="Times New Roman"/>
        </w:rPr>
        <w:t>entemente em quaisquer Turmas Recursais, ficarão retidos nos autos, aguardando-se pronunciamento do Superior Tribunal de Justiça.</w:t>
      </w:r>
    </w:p>
    <w:p w:rsidR="00D549BC" w:rsidRPr="00F62265" w:rsidRDefault="00D549BC" w:rsidP="00F62265">
      <w:pPr>
        <w:pStyle w:val="FootnoteText"/>
        <w:ind w:firstLine="0"/>
        <w:rPr>
          <w:rFonts w:ascii="Times New Roman" w:hAnsi="Times New Roman"/>
        </w:rPr>
      </w:pPr>
      <w:r>
        <w:rPr>
          <w:rFonts w:ascii="Times New Roman" w:hAnsi="Times New Roman"/>
        </w:rPr>
        <w:t>§ 7º</w:t>
      </w:r>
      <w:r w:rsidRPr="00F62265">
        <w:rPr>
          <w:rFonts w:ascii="Times New Roman" w:hAnsi="Times New Roman"/>
        </w:rPr>
        <w:t xml:space="preserve"> Se necessário, o relator pedirá informações ao Presidente da Turma Recursal ou Coordenador da Turma de Uniformização e ouvirá o Ministério Público, no prazo de cinco dias. Eventuais interessados, ainda que não sejam partes no processo, poderão se manifestar, no prazo de trinta dias.</w:t>
      </w:r>
    </w:p>
    <w:p w:rsidR="00D549BC" w:rsidRPr="00F62265" w:rsidRDefault="00D549BC" w:rsidP="00F62265">
      <w:pPr>
        <w:pStyle w:val="FootnoteText"/>
        <w:ind w:firstLine="0"/>
        <w:rPr>
          <w:rFonts w:ascii="Times New Roman" w:hAnsi="Times New Roman"/>
        </w:rPr>
      </w:pPr>
      <w:r>
        <w:rPr>
          <w:rFonts w:ascii="Times New Roman" w:hAnsi="Times New Roman"/>
        </w:rPr>
        <w:t>§ 8º</w:t>
      </w:r>
      <w:r w:rsidRPr="00F62265">
        <w:rPr>
          <w:rFonts w:ascii="Times New Roman" w:hAnsi="Times New Roman"/>
        </w:rPr>
        <w:t xml:space="preserve"> Decorr</w:t>
      </w:r>
      <w:r>
        <w:rPr>
          <w:rFonts w:ascii="Times New Roman" w:hAnsi="Times New Roman"/>
        </w:rPr>
        <w:t>idos os prazos referidos no § 7º</w:t>
      </w:r>
      <w:r w:rsidRPr="00F62265">
        <w:rPr>
          <w:rFonts w:ascii="Times New Roman" w:hAnsi="Times New Roman"/>
        </w:rPr>
        <w:t>, o relator incluirá o pedido em pauta na Seção, com preferência sobre todos os demais feitos, ressalvados os processos com réus presos, os habeas corpus e os mandados de segurança.</w:t>
      </w:r>
    </w:p>
    <w:p w:rsidR="00D549BC" w:rsidRDefault="00D549BC" w:rsidP="00F62265">
      <w:pPr>
        <w:pStyle w:val="FootnoteText"/>
        <w:ind w:firstLine="0"/>
        <w:rPr>
          <w:rFonts w:ascii="Times New Roman" w:hAnsi="Times New Roman"/>
        </w:rPr>
      </w:pPr>
      <w:r>
        <w:rPr>
          <w:rFonts w:ascii="Times New Roman" w:hAnsi="Times New Roman"/>
        </w:rPr>
        <w:t>§ 9º</w:t>
      </w:r>
      <w:r w:rsidRPr="00F62265">
        <w:rPr>
          <w:rFonts w:ascii="Times New Roman" w:hAnsi="Times New Roman"/>
        </w:rPr>
        <w:t xml:space="preserve"> Publicado o acórdão respectivo, os p</w:t>
      </w:r>
      <w:r>
        <w:rPr>
          <w:rFonts w:ascii="Times New Roman" w:hAnsi="Times New Roman"/>
        </w:rPr>
        <w:t>edidos retidos referidos no § 6º</w:t>
      </w:r>
      <w:r w:rsidRPr="00F62265">
        <w:rPr>
          <w:rFonts w:ascii="Times New Roman" w:hAnsi="Times New Roman"/>
        </w:rPr>
        <w:t xml:space="preserve"> serão apreciados pelas Turmas Recursais, que poderão exercer juízo de retratação ou declará-los prejudicados, se veicularem tese não acolhida pelo Superior Tribunal de Justiça.</w:t>
      </w:r>
      <w:r>
        <w:rPr>
          <w:rFonts w:ascii="Times New Roman" w:hAnsi="Times New Roman"/>
        </w:rPr>
        <w:t xml:space="preserve"> </w:t>
      </w:r>
    </w:p>
    <w:p w:rsidR="00D549BC" w:rsidRPr="00F375EF" w:rsidRDefault="00D549BC" w:rsidP="00F62265">
      <w:pPr>
        <w:pStyle w:val="FootnoteText"/>
        <w:ind w:firstLine="0"/>
        <w:rPr>
          <w:rFonts w:ascii="Times New Roman" w:hAnsi="Times New Roman"/>
        </w:rPr>
      </w:pPr>
      <w:r w:rsidRPr="00F62265">
        <w:rPr>
          <w:rFonts w:ascii="Times New Roman" w:hAnsi="Times New Roman"/>
        </w:rPr>
        <w:t>§ 10</w:t>
      </w:r>
      <w:r w:rsidRPr="00F375EF">
        <w:rPr>
          <w:rFonts w:ascii="Times New Roman" w:hAnsi="Times New Roman"/>
        </w:rPr>
        <w:t xml:space="preserve">. Os Tribunais Regionais, o Superior Tribunal de Justiça e o Supremo Tribunal Federal, no âmbito de suas competências, expedirão normas regulamentando a composição dos órgãos e os procedimentos a serem adotados para o processamento e o julgamento do pedido de uniformização e do recurso extraordinário. (BRASIL. Planalto. Lei 10.259, de 12 de julho de 2001. Disponível em: http://www.planalto.gov.br/ccivil_03/leis/leis_2001/l10259.htm. Acesso em: 13 out. 2014 – grifos nossos). </w:t>
      </w:r>
    </w:p>
    <w:p w:rsidR="00D549BC" w:rsidRPr="00F62265" w:rsidRDefault="00D549BC" w:rsidP="00F62265">
      <w:pPr>
        <w:pStyle w:val="FootnoteText"/>
        <w:ind w:firstLine="0"/>
        <w:rPr>
          <w:rFonts w:ascii="Times New Roman" w:hAnsi="Times New Roman"/>
        </w:rPr>
      </w:pPr>
    </w:p>
    <w:p w:rsidR="00D549BC" w:rsidRDefault="00D549BC" w:rsidP="00F62265">
      <w:pPr>
        <w:pStyle w:val="FootnoteText"/>
        <w:ind w:firstLine="0"/>
      </w:pPr>
    </w:p>
  </w:footnote>
  <w:footnote w:id="141">
    <w:p w:rsidR="00D549BC" w:rsidRDefault="00D549BC" w:rsidP="000A6E11">
      <w:pPr>
        <w:pStyle w:val="FootnoteText"/>
        <w:ind w:firstLine="0"/>
      </w:pPr>
      <w:r w:rsidRPr="000A6E11">
        <w:rPr>
          <w:rStyle w:val="FootnoteReference"/>
          <w:rFonts w:ascii="Times New Roman" w:hAnsi="Times New Roman"/>
        </w:rPr>
        <w:footnoteRef/>
      </w:r>
      <w:r w:rsidRPr="000A6E11">
        <w:rPr>
          <w:rFonts w:ascii="Times New Roman" w:hAnsi="Times New Roman"/>
        </w:rPr>
        <w:t xml:space="preserve"> </w:t>
      </w:r>
      <w:r>
        <w:rPr>
          <w:rFonts w:ascii="Times New Roman" w:hAnsi="Times New Roman"/>
        </w:rPr>
        <w:t xml:space="preserve">Somente a partir do ano de 2002, o STJ começou a divulgar suas estatísticas processuais, assim como os números de acordo com cada classe processual. Antes de 2002, não há dados específicos acerca da distribuição por classe processual, apenas de forma genérica, isto é, a soma de todos os processos indistintamente desde 1989 até 2001.  </w:t>
      </w:r>
    </w:p>
  </w:footnote>
  <w:footnote w:id="142">
    <w:p w:rsidR="00D549BC" w:rsidRDefault="00D549BC" w:rsidP="009816CA">
      <w:pPr>
        <w:pStyle w:val="FootnoteText"/>
        <w:ind w:firstLine="0"/>
      </w:pPr>
      <w:r w:rsidRPr="00086F23">
        <w:rPr>
          <w:rStyle w:val="FootnoteReference"/>
          <w:rFonts w:ascii="Times New Roman" w:hAnsi="Times New Roman"/>
        </w:rPr>
        <w:footnoteRef/>
      </w:r>
      <w:r w:rsidRPr="00086F23">
        <w:rPr>
          <w:rFonts w:ascii="Times New Roman" w:hAnsi="Times New Roman"/>
        </w:rPr>
        <w:t xml:space="preserve"> </w:t>
      </w:r>
      <w:r>
        <w:rPr>
          <w:rFonts w:ascii="Times New Roman" w:hAnsi="Times New Roman"/>
        </w:rPr>
        <w:t xml:space="preserve">Dados estatísticos disponíveis em: </w:t>
      </w:r>
      <w:r w:rsidRPr="002F35B1">
        <w:rPr>
          <w:rFonts w:ascii="Times New Roman" w:hAnsi="Times New Roman"/>
        </w:rPr>
        <w:t>http://www.stj.jus.br/webstj/Processo/Boletim/?vPortalAreaPai=183&amp;vPortalArea=584.</w:t>
      </w:r>
      <w:r>
        <w:rPr>
          <w:rFonts w:ascii="Times New Roman" w:hAnsi="Times New Roman"/>
        </w:rPr>
        <w:t xml:space="preserve"> Acesso em: 1 mar. 2015. </w:t>
      </w:r>
    </w:p>
  </w:footnote>
  <w:footnote w:id="143">
    <w:p w:rsidR="00D549BC" w:rsidRPr="007134C4" w:rsidRDefault="00D549BC" w:rsidP="007134C4">
      <w:pPr>
        <w:pStyle w:val="FootnoteText"/>
        <w:ind w:firstLine="0"/>
        <w:rPr>
          <w:rFonts w:ascii="Times New Roman" w:hAnsi="Times New Roman"/>
        </w:rPr>
      </w:pPr>
      <w:r w:rsidRPr="007134C4">
        <w:rPr>
          <w:rStyle w:val="FootnoteReference"/>
          <w:rFonts w:ascii="Times New Roman" w:hAnsi="Times New Roman"/>
        </w:rPr>
        <w:footnoteRef/>
      </w:r>
      <w:r>
        <w:rPr>
          <w:rFonts w:ascii="Times New Roman" w:hAnsi="Times New Roman"/>
        </w:rPr>
        <w:t xml:space="preserve"> </w:t>
      </w:r>
      <w:r w:rsidRPr="007134C4">
        <w:rPr>
          <w:rFonts w:ascii="Times New Roman" w:hAnsi="Times New Roman"/>
        </w:rPr>
        <w:t>Art. 543-C. Quando houver multiplicidade de recursos com fundamento em idêntica questão de direito, o recurso especial será processado nos termos deste artigo. (Incluído pela Lei nº 11.672, de 2008).</w:t>
      </w:r>
    </w:p>
    <w:p w:rsidR="00D549BC" w:rsidRPr="007134C4" w:rsidRDefault="00D549BC" w:rsidP="007134C4">
      <w:pPr>
        <w:pStyle w:val="FootnoteText"/>
        <w:ind w:firstLine="0"/>
        <w:rPr>
          <w:rFonts w:ascii="Times New Roman" w:hAnsi="Times New Roman"/>
        </w:rPr>
      </w:pPr>
      <w:r>
        <w:rPr>
          <w:rFonts w:ascii="Times New Roman" w:hAnsi="Times New Roman"/>
        </w:rPr>
        <w:t xml:space="preserve">§ 1º </w:t>
      </w:r>
      <w:r w:rsidRPr="007134C4">
        <w:rPr>
          <w:rFonts w:ascii="Times New Roman" w:hAnsi="Times New Roman"/>
        </w:rPr>
        <w:t xml:space="preserve">Caberá ao presidente do tribunal de origem admitir um ou mais recursos representativos da controvérsia, os quais serão encaminhados ao Superior Tribunal de Justiça, ficando suspensos os demais recursos especiais até o pronunciamento definitivo do Superior Tribunal de Justiça. </w:t>
      </w:r>
    </w:p>
    <w:p w:rsidR="00D549BC" w:rsidRDefault="00D549BC" w:rsidP="007134C4">
      <w:pPr>
        <w:pStyle w:val="FootnoteText"/>
        <w:ind w:firstLine="0"/>
        <w:rPr>
          <w:rFonts w:ascii="Times New Roman" w:hAnsi="Times New Roman"/>
        </w:rPr>
      </w:pPr>
      <w:r>
        <w:rPr>
          <w:rFonts w:ascii="Times New Roman" w:hAnsi="Times New Roman"/>
        </w:rPr>
        <w:t xml:space="preserve">§ 2º </w:t>
      </w:r>
      <w:r w:rsidRPr="007134C4">
        <w:rPr>
          <w:rFonts w:ascii="Times New Roman" w:hAnsi="Times New Roman"/>
        </w:rPr>
        <w:t xml:space="preserve">Não adotada </w:t>
      </w:r>
      <w:r>
        <w:rPr>
          <w:rFonts w:ascii="Times New Roman" w:hAnsi="Times New Roman"/>
        </w:rPr>
        <w:t>a providência descrita no § 1º</w:t>
      </w:r>
      <w:r w:rsidRPr="007134C4">
        <w:rPr>
          <w:rFonts w:ascii="Times New Roman" w:hAnsi="Times New Roman"/>
        </w:rPr>
        <w:t xml:space="preserve"> deste artigo, o relator no Superior Tribunal de Justiça, ao identificar que sobre a controvérsia já existe jurisprudência dominante ou que a matéria já está afeta ao colegiado, poderá determinar a suspensão, nos tribunais de segunda instância, dos recursos nos quais a controvérsia esteja estabelecida. </w:t>
      </w:r>
    </w:p>
    <w:p w:rsidR="00D549BC" w:rsidRPr="007134C4" w:rsidRDefault="00D549BC" w:rsidP="007134C4">
      <w:pPr>
        <w:pStyle w:val="FootnoteText"/>
        <w:ind w:firstLine="0"/>
        <w:rPr>
          <w:rFonts w:ascii="Times New Roman" w:hAnsi="Times New Roman"/>
        </w:rPr>
      </w:pPr>
      <w:r>
        <w:rPr>
          <w:rFonts w:ascii="Times New Roman" w:hAnsi="Times New Roman"/>
        </w:rPr>
        <w:t xml:space="preserve">§ 3º </w:t>
      </w:r>
      <w:r w:rsidRPr="007134C4">
        <w:rPr>
          <w:rFonts w:ascii="Times New Roman" w:hAnsi="Times New Roman"/>
        </w:rPr>
        <w:t xml:space="preserve">O relator poderá solicitar informações, a serem prestadas no prazo de quinze dias, aos tribunais federais ou estaduais a respeito da controvérsia. </w:t>
      </w:r>
    </w:p>
    <w:p w:rsidR="00D549BC" w:rsidRPr="007134C4" w:rsidRDefault="00D549BC" w:rsidP="007134C4">
      <w:pPr>
        <w:pStyle w:val="FootnoteText"/>
        <w:ind w:firstLine="0"/>
        <w:rPr>
          <w:rFonts w:ascii="Times New Roman" w:hAnsi="Times New Roman"/>
        </w:rPr>
      </w:pPr>
      <w:r>
        <w:rPr>
          <w:rFonts w:ascii="Times New Roman" w:hAnsi="Times New Roman"/>
        </w:rPr>
        <w:t xml:space="preserve">§ 4º </w:t>
      </w:r>
      <w:r w:rsidRPr="007134C4">
        <w:rPr>
          <w:rFonts w:ascii="Times New Roman" w:hAnsi="Times New Roman"/>
        </w:rPr>
        <w:t xml:space="preserve">O relator, conforme dispuser o regimento interno do Superior Tribunal de Justiça e considerando a relevância da matéria, poderá admitir manifestação de pessoas, órgãos ou entidades com interesse na controvérsia. </w:t>
      </w:r>
    </w:p>
    <w:p w:rsidR="00D549BC" w:rsidRPr="007134C4" w:rsidRDefault="00D549BC" w:rsidP="007134C4">
      <w:pPr>
        <w:pStyle w:val="FootnoteText"/>
        <w:ind w:firstLine="0"/>
        <w:rPr>
          <w:rFonts w:ascii="Times New Roman" w:hAnsi="Times New Roman"/>
        </w:rPr>
      </w:pPr>
      <w:r w:rsidRPr="00BB4B50">
        <w:rPr>
          <w:rFonts w:ascii="Times New Roman" w:hAnsi="Times New Roman"/>
        </w:rPr>
        <w:t>§ 5º Recebidas as informações e, se for o caso, após cumprido o disposto no § 4º deste artigo, terá vista o Ministério Público pelo prazo de quinze dias.</w:t>
      </w:r>
      <w:r w:rsidRPr="007134C4">
        <w:rPr>
          <w:rFonts w:ascii="Times New Roman" w:hAnsi="Times New Roman"/>
        </w:rPr>
        <w:t xml:space="preserve"> </w:t>
      </w:r>
    </w:p>
    <w:p w:rsidR="00D549BC" w:rsidRPr="007134C4" w:rsidRDefault="00D549BC" w:rsidP="007134C4">
      <w:pPr>
        <w:pStyle w:val="FootnoteText"/>
        <w:ind w:firstLine="0"/>
        <w:rPr>
          <w:rFonts w:ascii="Times New Roman" w:hAnsi="Times New Roman"/>
        </w:rPr>
      </w:pPr>
      <w:r>
        <w:rPr>
          <w:rFonts w:ascii="Times New Roman" w:hAnsi="Times New Roman"/>
        </w:rPr>
        <w:t xml:space="preserve">§ 6º </w:t>
      </w:r>
      <w:r w:rsidRPr="007134C4">
        <w:rPr>
          <w:rFonts w:ascii="Times New Roman" w:hAnsi="Times New Roman"/>
        </w:rPr>
        <w:t xml:space="preserve">Transcorrido o prazo para o Ministério Público e remetida cópia do relatório aos demais Ministros, o processo será incluído em pauta na seção ou na Corte Especial, devendo ser julgado com preferência sobre os demais feitos, ressalvados os que envolvam réu preso </w:t>
      </w:r>
      <w:r>
        <w:rPr>
          <w:rFonts w:ascii="Times New Roman" w:hAnsi="Times New Roman"/>
        </w:rPr>
        <w:t>e os pedidos de habeas corpus.</w:t>
      </w:r>
    </w:p>
    <w:p w:rsidR="00D549BC" w:rsidRDefault="00D549BC" w:rsidP="007134C4">
      <w:pPr>
        <w:pStyle w:val="FootnoteText"/>
        <w:ind w:firstLine="0"/>
        <w:rPr>
          <w:rFonts w:ascii="Times New Roman" w:hAnsi="Times New Roman"/>
        </w:rPr>
      </w:pPr>
      <w:r>
        <w:rPr>
          <w:rFonts w:ascii="Times New Roman" w:hAnsi="Times New Roman"/>
        </w:rPr>
        <w:t>§ 7º</w:t>
      </w:r>
      <w:r w:rsidRPr="007134C4">
        <w:rPr>
          <w:rFonts w:ascii="Times New Roman" w:hAnsi="Times New Roman"/>
        </w:rPr>
        <w:t xml:space="preserve"> Publicado o acórdão do Superior Tribunal de Justiça, os recursos especiais sobrestados na origem: I - terão seguimento denegado na hipótese de o acórdão recorrido coincidir com a orientação do Superior Tribunal de Justiça; ou II - serão novamente examinados pelo tribunal de origem na hipótese de o acórdão recorrido divergir da orientação do</w:t>
      </w:r>
      <w:r>
        <w:rPr>
          <w:rFonts w:ascii="Times New Roman" w:hAnsi="Times New Roman"/>
        </w:rPr>
        <w:t xml:space="preserve"> Superior Tribunal de Justiça. </w:t>
      </w:r>
    </w:p>
    <w:p w:rsidR="00D549BC" w:rsidRPr="007134C4" w:rsidRDefault="00D549BC" w:rsidP="007134C4">
      <w:pPr>
        <w:pStyle w:val="FootnoteText"/>
        <w:ind w:firstLine="0"/>
        <w:rPr>
          <w:rFonts w:ascii="Times New Roman" w:hAnsi="Times New Roman"/>
        </w:rPr>
      </w:pPr>
      <w:r>
        <w:rPr>
          <w:rFonts w:ascii="Times New Roman" w:hAnsi="Times New Roman"/>
        </w:rPr>
        <w:t>§ 8º</w:t>
      </w:r>
      <w:r w:rsidRPr="007134C4">
        <w:rPr>
          <w:rFonts w:ascii="Times New Roman" w:hAnsi="Times New Roman"/>
        </w:rPr>
        <w:t xml:space="preserve"> Na hipóte</w:t>
      </w:r>
      <w:r>
        <w:rPr>
          <w:rFonts w:ascii="Times New Roman" w:hAnsi="Times New Roman"/>
        </w:rPr>
        <w:t>se prevista no inciso II do § 7º</w:t>
      </w:r>
      <w:r w:rsidRPr="007134C4">
        <w:rPr>
          <w:rFonts w:ascii="Times New Roman" w:hAnsi="Times New Roman"/>
        </w:rPr>
        <w:t xml:space="preserve"> deste artigo, mantida a decisão divergente pelo tribunal de origem, far-se-á o exame de admissibilidade do recurso especial. </w:t>
      </w:r>
    </w:p>
    <w:p w:rsidR="00D549BC" w:rsidRDefault="00D549BC" w:rsidP="007134C4">
      <w:pPr>
        <w:pStyle w:val="FootnoteText"/>
        <w:ind w:firstLine="0"/>
      </w:pPr>
      <w:r>
        <w:rPr>
          <w:rFonts w:ascii="Times New Roman" w:hAnsi="Times New Roman"/>
        </w:rPr>
        <w:t xml:space="preserve">§ 9º </w:t>
      </w:r>
      <w:r w:rsidRPr="007134C4">
        <w:rPr>
          <w:rFonts w:ascii="Times New Roman" w:hAnsi="Times New Roman"/>
        </w:rPr>
        <w:t xml:space="preserve">O Superior Tribunal de Justiça e os </w:t>
      </w:r>
      <w:r>
        <w:rPr>
          <w:rFonts w:ascii="Times New Roman" w:hAnsi="Times New Roman"/>
        </w:rPr>
        <w:t>T</w:t>
      </w:r>
      <w:r w:rsidRPr="007134C4">
        <w:rPr>
          <w:rFonts w:ascii="Times New Roman" w:hAnsi="Times New Roman"/>
        </w:rPr>
        <w:t xml:space="preserve">ribunais de segunda instância regulamentarão, no âmbito de suas competências, os procedimentos relativos ao processamento e julgamento do recurso especial nos casos previstos neste artigo. </w:t>
      </w:r>
    </w:p>
  </w:footnote>
  <w:footnote w:id="144">
    <w:p w:rsidR="00D549BC" w:rsidRDefault="00D549BC" w:rsidP="002D431D">
      <w:pPr>
        <w:pStyle w:val="FootnoteText"/>
        <w:ind w:firstLine="0"/>
      </w:pPr>
      <w:r w:rsidRPr="00886E63">
        <w:rPr>
          <w:rStyle w:val="FootnoteReference"/>
          <w:rFonts w:ascii="Times New Roman" w:hAnsi="Times New Roman"/>
        </w:rPr>
        <w:footnoteRef/>
      </w:r>
      <w:r>
        <w:rPr>
          <w:rFonts w:ascii="Times New Roman" w:hAnsi="Times New Roman"/>
        </w:rPr>
        <w:t xml:space="preserve"> RECURSO ESPECIAL N</w:t>
      </w:r>
      <w:r w:rsidRPr="00886E63">
        <w:rPr>
          <w:rFonts w:ascii="Times New Roman" w:hAnsi="Times New Roman"/>
        </w:rPr>
        <w:t>º 982.133 - RS (2007/0185490-1)</w:t>
      </w:r>
      <w:r>
        <w:rPr>
          <w:rFonts w:ascii="Times New Roman" w:hAnsi="Times New Roman"/>
        </w:rPr>
        <w:t xml:space="preserve"> Relator</w:t>
      </w:r>
      <w:r w:rsidRPr="00886E63">
        <w:rPr>
          <w:rFonts w:ascii="Times New Roman" w:hAnsi="Times New Roman"/>
        </w:rPr>
        <w:t>: Ministro Aldir Passarinho Junior</w:t>
      </w:r>
      <w:r>
        <w:rPr>
          <w:rFonts w:ascii="Times New Roman" w:hAnsi="Times New Roman"/>
        </w:rPr>
        <w:t xml:space="preserve"> </w:t>
      </w:r>
      <w:r w:rsidRPr="00886E63">
        <w:rPr>
          <w:rFonts w:ascii="Times New Roman" w:hAnsi="Times New Roman"/>
        </w:rPr>
        <w:t>EMENTA</w:t>
      </w:r>
      <w:r>
        <w:rPr>
          <w:rFonts w:ascii="Times New Roman" w:hAnsi="Times New Roman"/>
        </w:rPr>
        <w:t xml:space="preserve">: </w:t>
      </w:r>
      <w:r w:rsidRPr="00886E63">
        <w:rPr>
          <w:rFonts w:ascii="Times New Roman" w:hAnsi="Times New Roman"/>
        </w:rPr>
        <w:t>PROCESSUAL CIVIL. AÇÃO CAUTELAR DE EXIBIÇÃO DE</w:t>
      </w:r>
      <w:r>
        <w:rPr>
          <w:rFonts w:ascii="Times New Roman" w:hAnsi="Times New Roman"/>
        </w:rPr>
        <w:t xml:space="preserve"> </w:t>
      </w:r>
      <w:r w:rsidRPr="00886E63">
        <w:rPr>
          <w:rFonts w:ascii="Times New Roman" w:hAnsi="Times New Roman"/>
        </w:rPr>
        <w:t>DOCUMENTO. RECURSO ESPECIAL. CONTRATO DE PARTICIPAÇÃO</w:t>
      </w:r>
      <w:r>
        <w:rPr>
          <w:rFonts w:ascii="Times New Roman" w:hAnsi="Times New Roman"/>
        </w:rPr>
        <w:t xml:space="preserve"> </w:t>
      </w:r>
      <w:r w:rsidRPr="00886E63">
        <w:rPr>
          <w:rFonts w:ascii="Times New Roman" w:hAnsi="Times New Roman"/>
        </w:rPr>
        <w:t>FINANCEIRA. FORNECIMENTO DE DOCUMENTOS COM DADOS</w:t>
      </w:r>
      <w:r>
        <w:rPr>
          <w:rFonts w:ascii="Times New Roman" w:hAnsi="Times New Roman"/>
        </w:rPr>
        <w:t xml:space="preserve"> </w:t>
      </w:r>
      <w:r w:rsidRPr="00886E63">
        <w:rPr>
          <w:rFonts w:ascii="Times New Roman" w:hAnsi="Times New Roman"/>
        </w:rPr>
        <w:t>SOCIETÁRIOS. RECUSA. RECURSO À COMISSÃO DE VALORES</w:t>
      </w:r>
      <w:r>
        <w:rPr>
          <w:rFonts w:ascii="Times New Roman" w:hAnsi="Times New Roman"/>
        </w:rPr>
        <w:t xml:space="preserve"> </w:t>
      </w:r>
      <w:r w:rsidRPr="00886E63">
        <w:rPr>
          <w:rFonts w:ascii="Times New Roman" w:hAnsi="Times New Roman"/>
        </w:rPr>
        <w:t>MOBILIÁRIOS. LEI N. 6.404/1976, ART. 100, § 1º. AUSÊNCIA DO</w:t>
      </w:r>
      <w:r>
        <w:rPr>
          <w:rFonts w:ascii="Times New Roman" w:hAnsi="Times New Roman"/>
        </w:rPr>
        <w:t xml:space="preserve"> </w:t>
      </w:r>
      <w:r w:rsidRPr="00886E63">
        <w:rPr>
          <w:rFonts w:ascii="Times New Roman" w:hAnsi="Times New Roman"/>
        </w:rPr>
        <w:t>COMPROVANTE DE RECOL</w:t>
      </w:r>
      <w:r>
        <w:rPr>
          <w:rFonts w:ascii="Times New Roman" w:hAnsi="Times New Roman"/>
        </w:rPr>
        <w:t>HIMENTO DA “TAXA DE SERVIÇO”</w:t>
      </w:r>
      <w:r w:rsidRPr="00886E63">
        <w:rPr>
          <w:rFonts w:ascii="Times New Roman" w:hAnsi="Times New Roman"/>
        </w:rPr>
        <w:t>.</w:t>
      </w:r>
      <w:r>
        <w:rPr>
          <w:rFonts w:ascii="Times New Roman" w:hAnsi="Times New Roman"/>
        </w:rPr>
        <w:t xml:space="preserve"> </w:t>
      </w:r>
      <w:r w:rsidRPr="003F0BE2">
        <w:rPr>
          <w:rFonts w:ascii="Times New Roman" w:hAnsi="Times New Roman"/>
          <w:b/>
        </w:rPr>
        <w:t>RECURSO ESPECIAL REPETITIVO</w:t>
      </w:r>
      <w:r w:rsidRPr="00886E63">
        <w:rPr>
          <w:rFonts w:ascii="Times New Roman" w:hAnsi="Times New Roman"/>
        </w:rPr>
        <w:t xml:space="preserve">. </w:t>
      </w:r>
      <w:r w:rsidRPr="003F0BE2">
        <w:rPr>
          <w:rFonts w:ascii="Times New Roman" w:hAnsi="Times New Roman"/>
          <w:b/>
        </w:rPr>
        <w:t>LEI N. 11.672/2008</w:t>
      </w:r>
      <w:r w:rsidRPr="00886E63">
        <w:rPr>
          <w:rFonts w:ascii="Times New Roman" w:hAnsi="Times New Roman"/>
        </w:rPr>
        <w:t>.</w:t>
      </w:r>
      <w:r>
        <w:rPr>
          <w:rFonts w:ascii="Times New Roman" w:hAnsi="Times New Roman"/>
        </w:rPr>
        <w:t xml:space="preserve"> </w:t>
      </w:r>
      <w:r w:rsidRPr="003F0BE2">
        <w:rPr>
          <w:rFonts w:ascii="Times New Roman" w:hAnsi="Times New Roman"/>
          <w:b/>
        </w:rPr>
        <w:t>RESOLUÇÃO/STJ N. 8, DE 07.08.2008</w:t>
      </w:r>
      <w:r w:rsidRPr="00886E63">
        <w:rPr>
          <w:rFonts w:ascii="Times New Roman" w:hAnsi="Times New Roman"/>
        </w:rPr>
        <w:t xml:space="preserve">. </w:t>
      </w:r>
      <w:r w:rsidRPr="003F0BE2">
        <w:rPr>
          <w:rFonts w:ascii="Times New Roman" w:hAnsi="Times New Roman"/>
          <w:b/>
        </w:rPr>
        <w:t>APLICAÇÃO</w:t>
      </w:r>
      <w:r w:rsidRPr="00886E63">
        <w:rPr>
          <w:rFonts w:ascii="Times New Roman" w:hAnsi="Times New Roman"/>
        </w:rPr>
        <w:t>.</w:t>
      </w:r>
      <w:r>
        <w:rPr>
          <w:rFonts w:ascii="Times New Roman" w:hAnsi="Times New Roman"/>
        </w:rPr>
        <w:t xml:space="preserve"> </w:t>
      </w:r>
      <w:r w:rsidRPr="00886E63">
        <w:rPr>
          <w:rFonts w:ascii="Times New Roman" w:hAnsi="Times New Roman"/>
        </w:rPr>
        <w:t>I. Falta ao autor interesse de agir para a ação em que postula a obtenção</w:t>
      </w:r>
      <w:r>
        <w:rPr>
          <w:rFonts w:ascii="Times New Roman" w:hAnsi="Times New Roman"/>
        </w:rPr>
        <w:t xml:space="preserve"> </w:t>
      </w:r>
      <w:r w:rsidRPr="00886E63">
        <w:rPr>
          <w:rFonts w:ascii="Times New Roman" w:hAnsi="Times New Roman"/>
        </w:rPr>
        <w:t>de documentos com dados societários, se não logra demonstrar:</w:t>
      </w:r>
      <w:r>
        <w:rPr>
          <w:rFonts w:ascii="Times New Roman" w:hAnsi="Times New Roman"/>
        </w:rPr>
        <w:t xml:space="preserve"> </w:t>
      </w:r>
      <w:r w:rsidRPr="00886E63">
        <w:rPr>
          <w:rFonts w:ascii="Times New Roman" w:hAnsi="Times New Roman"/>
        </w:rPr>
        <w:t>a) haver apresentado requerimento formal à ré nesse sentido;</w:t>
      </w:r>
      <w:r>
        <w:rPr>
          <w:rFonts w:ascii="Times New Roman" w:hAnsi="Times New Roman"/>
        </w:rPr>
        <w:t xml:space="preserve"> </w:t>
      </w:r>
      <w:r w:rsidRPr="00886E63">
        <w:rPr>
          <w:rFonts w:ascii="Times New Roman" w:hAnsi="Times New Roman"/>
        </w:rPr>
        <w:t>b) o pagamento pelo custo do serviço respectivo, quando a empresa lhe</w:t>
      </w:r>
      <w:r>
        <w:rPr>
          <w:rFonts w:ascii="Times New Roman" w:hAnsi="Times New Roman"/>
        </w:rPr>
        <w:t xml:space="preserve"> </w:t>
      </w:r>
      <w:r w:rsidRPr="00886E63">
        <w:rPr>
          <w:rFonts w:ascii="Times New Roman" w:hAnsi="Times New Roman"/>
        </w:rPr>
        <w:t>exigir, legitimamente respaldada no art. 100, parágrafo, 1º da Lei</w:t>
      </w:r>
      <w:r>
        <w:rPr>
          <w:rFonts w:ascii="Times New Roman" w:hAnsi="Times New Roman"/>
        </w:rPr>
        <w:t xml:space="preserve"> </w:t>
      </w:r>
      <w:r w:rsidRPr="00886E63">
        <w:rPr>
          <w:rFonts w:ascii="Times New Roman" w:hAnsi="Times New Roman"/>
        </w:rPr>
        <w:t>6.404/1976.</w:t>
      </w:r>
      <w:r>
        <w:rPr>
          <w:rFonts w:ascii="Times New Roman" w:hAnsi="Times New Roman"/>
        </w:rPr>
        <w:t xml:space="preserve"> </w:t>
      </w:r>
      <w:r w:rsidRPr="00886E63">
        <w:rPr>
          <w:rFonts w:ascii="Times New Roman" w:hAnsi="Times New Roman"/>
        </w:rPr>
        <w:t xml:space="preserve">II. </w:t>
      </w:r>
      <w:r>
        <w:rPr>
          <w:rFonts w:ascii="Times New Roman" w:hAnsi="Times New Roman"/>
          <w:i/>
        </w:rPr>
        <w:t>Julgamento afetado à 2ª</w:t>
      </w:r>
      <w:r w:rsidRPr="00886E63">
        <w:rPr>
          <w:rFonts w:ascii="Times New Roman" w:hAnsi="Times New Roman"/>
          <w:i/>
        </w:rPr>
        <w:t>. Seção com base no Procedimento da Lei n. 11.672/2008 e Resolução/STJ n. 8/2008</w:t>
      </w:r>
      <w:r w:rsidRPr="00886E63">
        <w:rPr>
          <w:rFonts w:ascii="Times New Roman" w:hAnsi="Times New Roman"/>
        </w:rPr>
        <w:t xml:space="preserve"> (</w:t>
      </w:r>
      <w:r w:rsidRPr="00886E63">
        <w:rPr>
          <w:rFonts w:ascii="Times New Roman" w:hAnsi="Times New Roman"/>
          <w:i/>
        </w:rPr>
        <w:t>Lei de Recursos Repetitivos</w:t>
      </w:r>
      <w:r w:rsidRPr="00886E63">
        <w:rPr>
          <w:rFonts w:ascii="Times New Roman" w:hAnsi="Times New Roman"/>
        </w:rPr>
        <w:t>).</w:t>
      </w:r>
      <w:r>
        <w:rPr>
          <w:rFonts w:ascii="Times New Roman" w:hAnsi="Times New Roman"/>
        </w:rPr>
        <w:t xml:space="preserve"> </w:t>
      </w:r>
      <w:r w:rsidRPr="00886E63">
        <w:rPr>
          <w:rFonts w:ascii="Times New Roman" w:hAnsi="Times New Roman"/>
        </w:rPr>
        <w:t>III. Recurso especial não conhecido.</w:t>
      </w:r>
      <w:r>
        <w:rPr>
          <w:rFonts w:ascii="Times New Roman" w:hAnsi="Times New Roman"/>
        </w:rPr>
        <w:t xml:space="preserve"> </w:t>
      </w:r>
      <w:r w:rsidRPr="00604D11">
        <w:rPr>
          <w:rFonts w:ascii="Times New Roman" w:hAnsi="Times New Roman"/>
        </w:rPr>
        <w:t>Brasília (DF), 10 de setembro de 2008 (Data do Julgamento)</w:t>
      </w:r>
      <w:r>
        <w:rPr>
          <w:rFonts w:ascii="Times New Roman" w:hAnsi="Times New Roman"/>
        </w:rPr>
        <w:t xml:space="preserve">. (BRASIL. </w:t>
      </w:r>
      <w:r w:rsidRPr="002E6DC5">
        <w:rPr>
          <w:rFonts w:ascii="Times New Roman" w:hAnsi="Times New Roman"/>
        </w:rPr>
        <w:t>Superior Tribunal de Justiça</w:t>
      </w:r>
      <w:r>
        <w:rPr>
          <w:rFonts w:ascii="Times New Roman" w:hAnsi="Times New Roman"/>
        </w:rPr>
        <w:t xml:space="preserve">. </w:t>
      </w:r>
      <w:r w:rsidRPr="002D431D">
        <w:rPr>
          <w:rFonts w:ascii="Times New Roman" w:hAnsi="Times New Roman"/>
        </w:rPr>
        <w:t>REsp 982</w:t>
      </w:r>
      <w:r>
        <w:rPr>
          <w:rFonts w:ascii="Times New Roman" w:hAnsi="Times New Roman"/>
        </w:rPr>
        <w:t>.133/</w:t>
      </w:r>
      <w:r w:rsidRPr="002D431D">
        <w:rPr>
          <w:rFonts w:ascii="Times New Roman" w:hAnsi="Times New Roman"/>
        </w:rPr>
        <w:t>RS</w:t>
      </w:r>
      <w:r>
        <w:rPr>
          <w:rFonts w:ascii="Times New Roman" w:hAnsi="Times New Roman"/>
        </w:rPr>
        <w:t xml:space="preserve">. Relator </w:t>
      </w:r>
      <w:r w:rsidRPr="002D431D">
        <w:rPr>
          <w:rFonts w:ascii="Times New Roman" w:hAnsi="Times New Roman"/>
        </w:rPr>
        <w:t>Ministro Aldir Passarinho Junior</w:t>
      </w:r>
      <w:r>
        <w:rPr>
          <w:rFonts w:ascii="Times New Roman" w:hAnsi="Times New Roman"/>
        </w:rPr>
        <w:t xml:space="preserve">. DJe: 22.09.2008. Disponível em: </w:t>
      </w:r>
      <w:r w:rsidRPr="002E6DC5">
        <w:rPr>
          <w:rFonts w:ascii="Times New Roman" w:hAnsi="Times New Roman"/>
        </w:rPr>
        <w:t>https://ww2.stj.jus.br/processo/revista/inteiroteor/?num_registro=200701854901&amp;dt_publicacao=22/09/2008</w:t>
      </w:r>
      <w:r>
        <w:rPr>
          <w:rFonts w:ascii="Times New Roman" w:hAnsi="Times New Roman"/>
        </w:rPr>
        <w:t xml:space="preserve">. Acesso em: 2 nov. 2014 – grifos nossos). </w:t>
      </w:r>
    </w:p>
  </w:footnote>
  <w:footnote w:id="145">
    <w:p w:rsidR="00D549BC" w:rsidRDefault="00D549BC" w:rsidP="0007645D">
      <w:pPr>
        <w:pStyle w:val="FootnoteText"/>
        <w:ind w:firstLine="0"/>
      </w:pPr>
      <w:r w:rsidRPr="0007645D">
        <w:rPr>
          <w:rStyle w:val="FootnoteReference"/>
          <w:rFonts w:ascii="Times New Roman" w:hAnsi="Times New Roman"/>
        </w:rPr>
        <w:footnoteRef/>
      </w:r>
      <w:r w:rsidRPr="0007645D">
        <w:rPr>
          <w:rFonts w:ascii="Times New Roman" w:hAnsi="Times New Roman"/>
        </w:rPr>
        <w:t xml:space="preserve"> </w:t>
      </w:r>
      <w:r>
        <w:rPr>
          <w:rFonts w:ascii="Times New Roman" w:hAnsi="Times New Roman"/>
        </w:rPr>
        <w:t xml:space="preserve">BRANCO, Paulo Gustavo Gonet; MENDES, Gilmar Ferreira. </w:t>
      </w:r>
      <w:r w:rsidRPr="0007645D">
        <w:rPr>
          <w:rFonts w:ascii="Times New Roman" w:hAnsi="Times New Roman"/>
          <w:b/>
        </w:rPr>
        <w:t>Curso de Direito Constitucional</w:t>
      </w:r>
      <w:r>
        <w:rPr>
          <w:rFonts w:ascii="Times New Roman" w:hAnsi="Times New Roman"/>
        </w:rPr>
        <w:t>. 9. ed., rev. e atual. S</w:t>
      </w:r>
      <w:r w:rsidRPr="003E6E79">
        <w:rPr>
          <w:rFonts w:ascii="Times New Roman" w:hAnsi="Times New Roman"/>
        </w:rPr>
        <w:t>ão Paulo: Saraiva, 2014</w:t>
      </w:r>
      <w:r>
        <w:rPr>
          <w:rFonts w:ascii="Times New Roman" w:hAnsi="Times New Roman"/>
        </w:rPr>
        <w:t>,</w:t>
      </w:r>
      <w:r w:rsidRPr="003E6E79">
        <w:rPr>
          <w:rFonts w:ascii="Times New Roman" w:hAnsi="Times New Roman"/>
        </w:rPr>
        <w:t xml:space="preserve"> p. 986. </w:t>
      </w:r>
      <w:r>
        <w:rPr>
          <w:rFonts w:ascii="Times New Roman" w:hAnsi="Times New Roman"/>
        </w:rPr>
        <w:t xml:space="preserve"> </w:t>
      </w:r>
    </w:p>
  </w:footnote>
  <w:footnote w:id="146">
    <w:p w:rsidR="00D549BC" w:rsidRDefault="00D549BC" w:rsidP="00DC6263">
      <w:pPr>
        <w:pStyle w:val="FootnoteText"/>
        <w:ind w:firstLine="0"/>
      </w:pPr>
      <w:r w:rsidRPr="00DC6263">
        <w:rPr>
          <w:rStyle w:val="FootnoteReference"/>
          <w:rFonts w:ascii="Times New Roman" w:hAnsi="Times New Roman"/>
        </w:rPr>
        <w:footnoteRef/>
      </w:r>
      <w:r w:rsidRPr="00DC6263">
        <w:rPr>
          <w:rFonts w:ascii="Times New Roman" w:hAnsi="Times New Roman"/>
        </w:rPr>
        <w:t xml:space="preserve"> </w:t>
      </w:r>
      <w:r>
        <w:rPr>
          <w:rFonts w:ascii="Times New Roman" w:hAnsi="Times New Roman"/>
        </w:rPr>
        <w:t>Nesse sentido, GILMAR MENDES: “</w:t>
      </w:r>
      <w:r w:rsidRPr="00DC6263">
        <w:rPr>
          <w:rFonts w:ascii="Times New Roman" w:hAnsi="Times New Roman"/>
        </w:rPr>
        <w:t>Nos termos do art. 103 da Constituição de 1988, dispõem de legitimidade para propor a ação de</w:t>
      </w:r>
      <w:r>
        <w:rPr>
          <w:rFonts w:ascii="Times New Roman" w:hAnsi="Times New Roman"/>
        </w:rPr>
        <w:t xml:space="preserve"> </w:t>
      </w:r>
      <w:r w:rsidRPr="00DC6263">
        <w:rPr>
          <w:rFonts w:ascii="Times New Roman" w:hAnsi="Times New Roman"/>
        </w:rPr>
        <w:t>inconstitucionalidade o Presidente da República, a Mesa do Senado Federal, a Mesa da Câmara dos</w:t>
      </w:r>
      <w:r>
        <w:rPr>
          <w:rFonts w:ascii="Times New Roman" w:hAnsi="Times New Roman"/>
        </w:rPr>
        <w:t xml:space="preserve"> </w:t>
      </w:r>
      <w:r w:rsidRPr="00DC6263">
        <w:rPr>
          <w:rFonts w:ascii="Times New Roman" w:hAnsi="Times New Roman"/>
        </w:rPr>
        <w:t>Deputados, a Mesa de uma Assembleia Legislativa, o Governador do Estado, o Procurador-Geral da</w:t>
      </w:r>
      <w:r>
        <w:rPr>
          <w:rFonts w:ascii="Times New Roman" w:hAnsi="Times New Roman"/>
        </w:rPr>
        <w:t xml:space="preserve"> </w:t>
      </w:r>
      <w:r w:rsidRPr="00DC6263">
        <w:rPr>
          <w:rFonts w:ascii="Times New Roman" w:hAnsi="Times New Roman"/>
        </w:rPr>
        <w:t>República, o Conselho Federal da Ordem dos Advogados do Brasil, partido político com</w:t>
      </w:r>
      <w:r>
        <w:rPr>
          <w:rFonts w:ascii="Times New Roman" w:hAnsi="Times New Roman"/>
        </w:rPr>
        <w:t xml:space="preserve"> </w:t>
      </w:r>
      <w:r w:rsidRPr="00DC6263">
        <w:rPr>
          <w:rFonts w:ascii="Times New Roman" w:hAnsi="Times New Roman"/>
        </w:rPr>
        <w:t>representação no Congresso Nacional, as confederações sindicais ou entidades de classe de âmbito</w:t>
      </w:r>
      <w:r>
        <w:rPr>
          <w:rFonts w:ascii="Times New Roman" w:hAnsi="Times New Roman"/>
        </w:rPr>
        <w:t xml:space="preserve"> </w:t>
      </w:r>
      <w:r w:rsidRPr="00DC6263">
        <w:rPr>
          <w:rFonts w:ascii="Times New Roman" w:hAnsi="Times New Roman"/>
        </w:rPr>
        <w:t>nacional.</w:t>
      </w:r>
      <w:r>
        <w:rPr>
          <w:rFonts w:ascii="Times New Roman" w:hAnsi="Times New Roman"/>
        </w:rPr>
        <w:t xml:space="preserve"> </w:t>
      </w:r>
      <w:r w:rsidRPr="00DC6263">
        <w:rPr>
          <w:rFonts w:ascii="Times New Roman" w:hAnsi="Times New Roman"/>
        </w:rPr>
        <w:t>Tal fato fortalece a impressão de que, com a introdução desse sistema de controle abstrato de</w:t>
      </w:r>
      <w:r>
        <w:rPr>
          <w:rFonts w:ascii="Times New Roman" w:hAnsi="Times New Roman"/>
        </w:rPr>
        <w:t xml:space="preserve"> </w:t>
      </w:r>
      <w:r w:rsidRPr="00DC6263">
        <w:rPr>
          <w:rFonts w:ascii="Times New Roman" w:hAnsi="Times New Roman"/>
        </w:rPr>
        <w:t>normas, com ampla legitimação, e, particularmente, a outorga do direito de propositura a diferentes</w:t>
      </w:r>
      <w:r>
        <w:rPr>
          <w:rFonts w:ascii="Times New Roman" w:hAnsi="Times New Roman"/>
        </w:rPr>
        <w:t xml:space="preserve"> </w:t>
      </w:r>
      <w:r w:rsidRPr="00DC6263">
        <w:rPr>
          <w:rFonts w:ascii="Times New Roman" w:hAnsi="Times New Roman"/>
        </w:rPr>
        <w:t>órgãos da sociedade, pretendeu o constituinte reforçar o controle abstrato de normas no ordenamento</w:t>
      </w:r>
      <w:r>
        <w:rPr>
          <w:rFonts w:ascii="Times New Roman" w:hAnsi="Times New Roman"/>
        </w:rPr>
        <w:t xml:space="preserve"> </w:t>
      </w:r>
      <w:r w:rsidRPr="00DC6263">
        <w:rPr>
          <w:rFonts w:ascii="Times New Roman" w:hAnsi="Times New Roman"/>
        </w:rPr>
        <w:t>jurídico brasileiro como peculiar instrumento de correção do sistema geral incidente.</w:t>
      </w:r>
      <w:r>
        <w:rPr>
          <w:rFonts w:ascii="Times New Roman" w:hAnsi="Times New Roman"/>
        </w:rPr>
        <w:t xml:space="preserve"> (...) </w:t>
      </w:r>
      <w:r w:rsidRPr="00DC6263">
        <w:rPr>
          <w:rFonts w:ascii="Times New Roman" w:hAnsi="Times New Roman"/>
        </w:rPr>
        <w:t>A Constituição de 1988 reduziu o significado do controle de constitucionalidade incidental ou</w:t>
      </w:r>
      <w:r>
        <w:rPr>
          <w:rFonts w:ascii="Times New Roman" w:hAnsi="Times New Roman"/>
        </w:rPr>
        <w:t xml:space="preserve"> </w:t>
      </w:r>
      <w:r w:rsidRPr="00DC6263">
        <w:rPr>
          <w:rFonts w:ascii="Times New Roman" w:hAnsi="Times New Roman"/>
        </w:rPr>
        <w:t>difuso ao ampliar, de forma marcante, a legitimação para propositura da ação direta de</w:t>
      </w:r>
      <w:r>
        <w:rPr>
          <w:rFonts w:ascii="Times New Roman" w:hAnsi="Times New Roman"/>
        </w:rPr>
        <w:t xml:space="preserve"> </w:t>
      </w:r>
      <w:r w:rsidRPr="00DC6263">
        <w:rPr>
          <w:rFonts w:ascii="Times New Roman" w:hAnsi="Times New Roman"/>
        </w:rPr>
        <w:t>inconstitucionalidade (art. 103), permitindo que, praticamente, todas as controvérsias constitucionais</w:t>
      </w:r>
      <w:r>
        <w:rPr>
          <w:rFonts w:ascii="Times New Roman" w:hAnsi="Times New Roman"/>
        </w:rPr>
        <w:t xml:space="preserve"> </w:t>
      </w:r>
      <w:r w:rsidRPr="00DC6263">
        <w:rPr>
          <w:rFonts w:ascii="Times New Roman" w:hAnsi="Times New Roman"/>
        </w:rPr>
        <w:t>relevantes sejam submetidas ao Supremo Tribunal Federal mediante processo de controle abstrato de</w:t>
      </w:r>
      <w:r>
        <w:rPr>
          <w:rFonts w:ascii="Times New Roman" w:hAnsi="Times New Roman"/>
        </w:rPr>
        <w:t xml:space="preserve"> </w:t>
      </w:r>
      <w:r w:rsidRPr="00DC6263">
        <w:rPr>
          <w:rFonts w:ascii="Times New Roman" w:hAnsi="Times New Roman"/>
        </w:rPr>
        <w:t>normas</w:t>
      </w:r>
      <w:r>
        <w:rPr>
          <w:rFonts w:ascii="Times New Roman" w:hAnsi="Times New Roman"/>
        </w:rPr>
        <w:t xml:space="preserve">” (BRANCO, Paulo Gustavo Gonet; MENDES, Gilmar Ferreira. </w:t>
      </w:r>
      <w:r w:rsidRPr="006D01E0">
        <w:rPr>
          <w:rFonts w:ascii="Times New Roman" w:hAnsi="Times New Roman"/>
          <w:i/>
        </w:rPr>
        <w:t>Op</w:t>
      </w:r>
      <w:r>
        <w:rPr>
          <w:rFonts w:ascii="Times New Roman" w:hAnsi="Times New Roman"/>
        </w:rPr>
        <w:t xml:space="preserve">. </w:t>
      </w:r>
      <w:r w:rsidRPr="006D01E0">
        <w:rPr>
          <w:rFonts w:ascii="Times New Roman" w:hAnsi="Times New Roman"/>
          <w:i/>
        </w:rPr>
        <w:t>cit</w:t>
      </w:r>
      <w:r>
        <w:rPr>
          <w:rFonts w:ascii="Times New Roman" w:hAnsi="Times New Roman"/>
        </w:rPr>
        <w:t>., p. 1076).</w:t>
      </w:r>
    </w:p>
  </w:footnote>
  <w:footnote w:id="147">
    <w:p w:rsidR="00D549BC" w:rsidRDefault="00D549BC" w:rsidP="00C6223F">
      <w:pPr>
        <w:spacing w:line="240" w:lineRule="auto"/>
        <w:ind w:firstLine="0"/>
      </w:pPr>
      <w:r w:rsidRPr="00DF1E55">
        <w:rPr>
          <w:rStyle w:val="FootnoteReference"/>
          <w:rFonts w:ascii="Times New Roman" w:hAnsi="Times New Roman"/>
          <w:sz w:val="20"/>
          <w:szCs w:val="20"/>
        </w:rPr>
        <w:footnoteRef/>
      </w:r>
      <w:r w:rsidRPr="00DF1E55">
        <w:rPr>
          <w:rFonts w:ascii="Times New Roman" w:hAnsi="Times New Roman"/>
          <w:sz w:val="20"/>
          <w:szCs w:val="20"/>
        </w:rPr>
        <w:t xml:space="preserve"> ARGUELHES, Diego Werneck; CERDEIRA, Pablo de Camargo; FALCÃO, Joaquim. </w:t>
      </w:r>
      <w:r w:rsidRPr="00DF1E55">
        <w:rPr>
          <w:rFonts w:ascii="Times New Roman" w:hAnsi="Times New Roman"/>
          <w:b/>
          <w:sz w:val="20"/>
          <w:szCs w:val="20"/>
        </w:rPr>
        <w:t>I Relatório Supremo em Números</w:t>
      </w:r>
      <w:r w:rsidRPr="00DF1E55">
        <w:rPr>
          <w:rFonts w:ascii="Times New Roman" w:hAnsi="Times New Roman"/>
          <w:sz w:val="20"/>
          <w:szCs w:val="20"/>
        </w:rPr>
        <w:t xml:space="preserve">: o Múltiplo Supremo. Rio de Janeiro: FGV-RIO, 2011. Disponível em: http://www.fgv.br/supremoemnumeros/publicacoes.html. Acesso em: 25 mar. 2015, p. 11. </w:t>
      </w:r>
    </w:p>
  </w:footnote>
  <w:footnote w:id="148">
    <w:p w:rsidR="00D549BC" w:rsidRDefault="00D549BC" w:rsidP="00F16528">
      <w:pPr>
        <w:pStyle w:val="FootnoteText"/>
        <w:ind w:firstLine="0"/>
      </w:pPr>
      <w:r w:rsidRPr="00F16528">
        <w:rPr>
          <w:rStyle w:val="FootnoteReference"/>
          <w:rFonts w:ascii="Times New Roman" w:hAnsi="Times New Roman"/>
        </w:rPr>
        <w:footnoteRef/>
      </w:r>
      <w:r>
        <w:rPr>
          <w:rFonts w:ascii="Times New Roman" w:hAnsi="Times New Roman"/>
        </w:rPr>
        <w:t xml:space="preserve"> Sabemos que e</w:t>
      </w:r>
      <w:r w:rsidRPr="00F16528">
        <w:rPr>
          <w:rFonts w:ascii="Times New Roman" w:hAnsi="Times New Roman"/>
        </w:rPr>
        <w:t xml:space="preserve">xistem outros processos de natureza recursal, como o Recurso Ordinário em </w:t>
      </w:r>
      <w:r w:rsidRPr="00F16528">
        <w:rPr>
          <w:rFonts w:ascii="Times New Roman" w:hAnsi="Times New Roman"/>
          <w:i/>
        </w:rPr>
        <w:t>Habeas Corpus</w:t>
      </w:r>
      <w:r w:rsidRPr="00F16528">
        <w:rPr>
          <w:rFonts w:ascii="Times New Roman" w:hAnsi="Times New Roman"/>
        </w:rPr>
        <w:t xml:space="preserve"> ou o Recurso Ordinário em Mandado de Segurança. </w:t>
      </w:r>
      <w:r>
        <w:rPr>
          <w:rFonts w:ascii="Times New Roman" w:hAnsi="Times New Roman"/>
        </w:rPr>
        <w:t>Porém, o projeto “Supremo em Números” optou por u</w:t>
      </w:r>
      <w:r w:rsidRPr="00F16528">
        <w:rPr>
          <w:rFonts w:ascii="Times New Roman" w:hAnsi="Times New Roman"/>
        </w:rPr>
        <w:t>tiliza</w:t>
      </w:r>
      <w:r>
        <w:rPr>
          <w:rFonts w:ascii="Times New Roman" w:hAnsi="Times New Roman"/>
        </w:rPr>
        <w:t>r essa classifi</w:t>
      </w:r>
      <w:r w:rsidRPr="00F16528">
        <w:rPr>
          <w:rFonts w:ascii="Times New Roman" w:hAnsi="Times New Roman"/>
        </w:rPr>
        <w:t>cação</w:t>
      </w:r>
      <w:r>
        <w:rPr>
          <w:rFonts w:ascii="Times New Roman" w:hAnsi="Times New Roman"/>
        </w:rPr>
        <w:t xml:space="preserve"> mais </w:t>
      </w:r>
      <w:r w:rsidRPr="00F16528">
        <w:rPr>
          <w:rFonts w:ascii="Times New Roman" w:hAnsi="Times New Roman"/>
        </w:rPr>
        <w:t>restrita por conta de sua natureza repetitiva e sua representatividade</w:t>
      </w:r>
      <w:r>
        <w:rPr>
          <w:rFonts w:ascii="Times New Roman" w:hAnsi="Times New Roman"/>
        </w:rPr>
        <w:t xml:space="preserve"> </w:t>
      </w:r>
      <w:r w:rsidRPr="00F16528">
        <w:rPr>
          <w:rFonts w:ascii="Times New Roman" w:hAnsi="Times New Roman"/>
        </w:rPr>
        <w:t xml:space="preserve">no total de processos </w:t>
      </w:r>
      <w:r>
        <w:rPr>
          <w:rFonts w:ascii="Times New Roman" w:hAnsi="Times New Roman"/>
        </w:rPr>
        <w:t>–</w:t>
      </w:r>
      <w:r w:rsidRPr="00F16528">
        <w:rPr>
          <w:rFonts w:ascii="Times New Roman" w:hAnsi="Times New Roman"/>
        </w:rPr>
        <w:t xml:space="preserve"> mais de 90% de todos os casos</w:t>
      </w:r>
      <w:r>
        <w:rPr>
          <w:rFonts w:ascii="Times New Roman" w:hAnsi="Times New Roman"/>
        </w:rPr>
        <w:t xml:space="preserve">. </w:t>
      </w:r>
      <w:r w:rsidRPr="00F16528">
        <w:rPr>
          <w:rFonts w:ascii="Times New Roman" w:hAnsi="Times New Roman"/>
        </w:rPr>
        <w:t xml:space="preserve"> </w:t>
      </w:r>
    </w:p>
  </w:footnote>
  <w:footnote w:id="149">
    <w:p w:rsidR="00D549BC" w:rsidRDefault="00D549BC" w:rsidP="008B1854">
      <w:pPr>
        <w:pStyle w:val="FootnoteText"/>
        <w:ind w:firstLine="0"/>
      </w:pPr>
      <w:r w:rsidRPr="008B1854">
        <w:rPr>
          <w:rStyle w:val="FootnoteReference"/>
          <w:rFonts w:ascii="Times New Roman" w:hAnsi="Times New Roman"/>
        </w:rPr>
        <w:footnoteRef/>
      </w:r>
      <w:r w:rsidRPr="008B1854">
        <w:rPr>
          <w:rFonts w:ascii="Times New Roman" w:hAnsi="Times New Roman"/>
        </w:rPr>
        <w:t xml:space="preserve"> Art. 313. Caberá agravo de instrumento:</w:t>
      </w:r>
      <w:r>
        <w:rPr>
          <w:rFonts w:ascii="Times New Roman" w:hAnsi="Times New Roman"/>
        </w:rPr>
        <w:t xml:space="preserve"> </w:t>
      </w:r>
      <w:r w:rsidRPr="008B1854">
        <w:rPr>
          <w:rFonts w:ascii="Times New Roman" w:hAnsi="Times New Roman"/>
        </w:rPr>
        <w:t>I – de decisão de juiz de primeira instância nas causas a que se refere o art.</w:t>
      </w:r>
      <w:r>
        <w:rPr>
          <w:rFonts w:ascii="Times New Roman" w:hAnsi="Times New Roman"/>
        </w:rPr>
        <w:t xml:space="preserve"> </w:t>
      </w:r>
      <w:r w:rsidRPr="008B1854">
        <w:rPr>
          <w:rFonts w:ascii="Times New Roman" w:hAnsi="Times New Roman"/>
        </w:rPr>
        <w:t>6º, III, d, nos casos admitidos na legislação processual</w:t>
      </w:r>
      <w:r>
        <w:rPr>
          <w:rFonts w:ascii="Times New Roman" w:hAnsi="Times New Roman"/>
        </w:rPr>
        <w:t xml:space="preserve">; </w:t>
      </w:r>
      <w:r w:rsidRPr="008B1854">
        <w:rPr>
          <w:rFonts w:ascii="Times New Roman" w:hAnsi="Times New Roman"/>
        </w:rPr>
        <w:t>II – de despacho de Presidente de Tribunal q</w:t>
      </w:r>
      <w:r>
        <w:rPr>
          <w:rFonts w:ascii="Times New Roman" w:hAnsi="Times New Roman"/>
        </w:rPr>
        <w:t>ue não admitir recurso da compe</w:t>
      </w:r>
      <w:r w:rsidRPr="008B1854">
        <w:rPr>
          <w:rFonts w:ascii="Times New Roman" w:hAnsi="Times New Roman"/>
        </w:rPr>
        <w:t>tência do Supremo Tribunal Federal;</w:t>
      </w:r>
      <w:r>
        <w:rPr>
          <w:rFonts w:ascii="Times New Roman" w:hAnsi="Times New Roman"/>
        </w:rPr>
        <w:t xml:space="preserve"> </w:t>
      </w:r>
      <w:r w:rsidRPr="008B1854">
        <w:rPr>
          <w:rFonts w:ascii="Times New Roman" w:hAnsi="Times New Roman"/>
        </w:rPr>
        <w:t xml:space="preserve">III – </w:t>
      </w:r>
      <w:r w:rsidRPr="008B1854">
        <w:rPr>
          <w:rFonts w:ascii="Times New Roman" w:hAnsi="Times New Roman"/>
          <w:i/>
        </w:rPr>
        <w:t>quando se retardar, injustificadamente, por mais de trinta dias, o despacho a que se refere o inciso anterior, ou a remessa do processo ao Tribunal</w:t>
      </w:r>
      <w:r>
        <w:rPr>
          <w:rFonts w:ascii="Times New Roman" w:hAnsi="Times New Roman"/>
        </w:rPr>
        <w:t xml:space="preserve"> (BRASIL. </w:t>
      </w:r>
      <w:r w:rsidRPr="00B13D56">
        <w:rPr>
          <w:rFonts w:ascii="Times New Roman" w:hAnsi="Times New Roman"/>
        </w:rPr>
        <w:t>Supremo Tribunal Federal. Regimento Interno. Disponível em</w:t>
      </w:r>
      <w:r>
        <w:rPr>
          <w:rFonts w:ascii="Times New Roman" w:hAnsi="Times New Roman"/>
        </w:rPr>
        <w:t xml:space="preserve">: </w:t>
      </w:r>
      <w:r w:rsidRPr="00B13D56">
        <w:rPr>
          <w:rFonts w:ascii="Times New Roman" w:hAnsi="Times New Roman"/>
        </w:rPr>
        <w:t>http://www.stf.jus.br/arquivo/cms/legislacaoRegimentoInterno/anexo/RISTF_Janeiro_2015_versao_eletronica.pdf</w:t>
      </w:r>
      <w:r>
        <w:rPr>
          <w:rFonts w:ascii="Times New Roman" w:hAnsi="Times New Roman"/>
        </w:rPr>
        <w:t xml:space="preserve">. Acesso em: 26 mar. 2015 – grifos nossos). </w:t>
      </w:r>
    </w:p>
  </w:footnote>
  <w:footnote w:id="150">
    <w:p w:rsidR="00D549BC" w:rsidRDefault="00D549BC" w:rsidP="00160B6B">
      <w:pPr>
        <w:pStyle w:val="FootnoteText"/>
        <w:ind w:firstLine="0"/>
      </w:pPr>
      <w:r w:rsidRPr="00160B6B">
        <w:rPr>
          <w:rStyle w:val="FootnoteReference"/>
          <w:rFonts w:ascii="Times New Roman" w:hAnsi="Times New Roman"/>
        </w:rPr>
        <w:footnoteRef/>
      </w:r>
      <w:r>
        <w:rPr>
          <w:rFonts w:ascii="Times New Roman" w:hAnsi="Times New Roman"/>
        </w:rPr>
        <w:t xml:space="preserve"> BRASIL. </w:t>
      </w:r>
      <w:r w:rsidRPr="00B13D56">
        <w:rPr>
          <w:rFonts w:ascii="Times New Roman" w:hAnsi="Times New Roman"/>
        </w:rPr>
        <w:t>Supremo Tribunal Federal.</w:t>
      </w:r>
      <w:r>
        <w:rPr>
          <w:rFonts w:ascii="Times New Roman" w:hAnsi="Times New Roman"/>
        </w:rPr>
        <w:t xml:space="preserve"> </w:t>
      </w:r>
      <w:r w:rsidRPr="004D2E1B">
        <w:rPr>
          <w:rFonts w:ascii="Times New Roman" w:hAnsi="Times New Roman"/>
          <w:b/>
        </w:rPr>
        <w:t>RE, AI e ARE - %</w:t>
      </w:r>
      <w:r w:rsidRPr="004D2E1B">
        <w:rPr>
          <w:rFonts w:ascii="Times New Roman" w:hAnsi="Times New Roman"/>
        </w:rPr>
        <w:t xml:space="preserve"> Distribuição</w:t>
      </w:r>
      <w:r>
        <w:rPr>
          <w:rFonts w:ascii="Times New Roman" w:hAnsi="Times New Roman"/>
        </w:rPr>
        <w:t xml:space="preserve">. Disponível em: </w:t>
      </w:r>
      <w:r w:rsidRPr="004D2E1B">
        <w:rPr>
          <w:rFonts w:ascii="Times New Roman" w:hAnsi="Times New Roman"/>
        </w:rPr>
        <w:t>http://www.stf.jus.br/portal/cms/verTexto.asp?servico=estatistica&amp;pagina=REAIProcessoDistribuidoAnosAnteriores</w:t>
      </w:r>
      <w:r>
        <w:rPr>
          <w:rFonts w:ascii="Times New Roman" w:hAnsi="Times New Roman"/>
        </w:rPr>
        <w:t xml:space="preserve">. Acesso em: 26 mar. 2015. </w:t>
      </w:r>
    </w:p>
  </w:footnote>
  <w:footnote w:id="151">
    <w:p w:rsidR="00D549BC" w:rsidRDefault="00D549BC" w:rsidP="00096D6A">
      <w:pPr>
        <w:pStyle w:val="FootnoteText"/>
        <w:ind w:firstLine="0"/>
      </w:pPr>
      <w:r w:rsidRPr="00096D6A">
        <w:rPr>
          <w:rStyle w:val="FootnoteReference"/>
          <w:rFonts w:ascii="Times New Roman" w:hAnsi="Times New Roman"/>
        </w:rPr>
        <w:footnoteRef/>
      </w:r>
      <w:r>
        <w:rPr>
          <w:rFonts w:ascii="Times New Roman" w:hAnsi="Times New Roman"/>
        </w:rPr>
        <w:t xml:space="preserve"> </w:t>
      </w:r>
      <w:r w:rsidRPr="000550D2">
        <w:rPr>
          <w:rFonts w:ascii="Times New Roman" w:hAnsi="Times New Roman"/>
        </w:rPr>
        <w:t>ARGUELHES</w:t>
      </w:r>
      <w:r>
        <w:rPr>
          <w:rFonts w:ascii="Times New Roman" w:hAnsi="Times New Roman"/>
        </w:rPr>
        <w:t>,</w:t>
      </w:r>
      <w:r w:rsidRPr="000550D2">
        <w:rPr>
          <w:rFonts w:ascii="Times New Roman" w:hAnsi="Times New Roman"/>
        </w:rPr>
        <w:t xml:space="preserve"> Diego Werneck</w:t>
      </w:r>
      <w:r>
        <w:rPr>
          <w:rFonts w:ascii="Times New Roman" w:hAnsi="Times New Roman"/>
        </w:rPr>
        <w:t xml:space="preserve">; </w:t>
      </w:r>
      <w:r w:rsidRPr="000550D2">
        <w:rPr>
          <w:rFonts w:ascii="Times New Roman" w:hAnsi="Times New Roman"/>
        </w:rPr>
        <w:t>CERDEIRA</w:t>
      </w:r>
      <w:r>
        <w:rPr>
          <w:rFonts w:ascii="Times New Roman" w:hAnsi="Times New Roman"/>
        </w:rPr>
        <w:t>,</w:t>
      </w:r>
      <w:r w:rsidRPr="000550D2">
        <w:rPr>
          <w:rFonts w:ascii="Times New Roman" w:hAnsi="Times New Roman"/>
        </w:rPr>
        <w:t xml:space="preserve"> Pablo de Camargo</w:t>
      </w:r>
      <w:r>
        <w:rPr>
          <w:rFonts w:ascii="Times New Roman" w:hAnsi="Times New Roman"/>
        </w:rPr>
        <w:t>;</w:t>
      </w:r>
      <w:r w:rsidRPr="000550D2">
        <w:rPr>
          <w:rFonts w:ascii="Times New Roman" w:hAnsi="Times New Roman"/>
        </w:rPr>
        <w:t xml:space="preserve"> FALCÃO</w:t>
      </w:r>
      <w:r>
        <w:rPr>
          <w:rFonts w:ascii="Times New Roman" w:hAnsi="Times New Roman"/>
        </w:rPr>
        <w:t>,</w:t>
      </w:r>
      <w:r w:rsidRPr="000550D2">
        <w:rPr>
          <w:rFonts w:ascii="Times New Roman" w:hAnsi="Times New Roman"/>
        </w:rPr>
        <w:t xml:space="preserve"> Joaquim</w:t>
      </w:r>
      <w:r>
        <w:rPr>
          <w:rFonts w:ascii="Times New Roman" w:hAnsi="Times New Roman"/>
        </w:rPr>
        <w:t>.</w:t>
      </w:r>
      <w:r w:rsidRPr="00096D6A">
        <w:rPr>
          <w:rFonts w:ascii="Times New Roman" w:hAnsi="Times New Roman"/>
        </w:rPr>
        <w:t xml:space="preserve"> </w:t>
      </w:r>
      <w:r w:rsidRPr="00096D6A">
        <w:rPr>
          <w:rFonts w:ascii="Times New Roman" w:hAnsi="Times New Roman"/>
          <w:i/>
        </w:rPr>
        <w:t>Op</w:t>
      </w:r>
      <w:r>
        <w:rPr>
          <w:rFonts w:ascii="Times New Roman" w:hAnsi="Times New Roman"/>
        </w:rPr>
        <w:t xml:space="preserve">. </w:t>
      </w:r>
      <w:r w:rsidRPr="00096D6A">
        <w:rPr>
          <w:rFonts w:ascii="Times New Roman" w:hAnsi="Times New Roman"/>
          <w:i/>
        </w:rPr>
        <w:t>Cit</w:t>
      </w:r>
      <w:r>
        <w:rPr>
          <w:rFonts w:ascii="Times New Roman" w:hAnsi="Times New Roman"/>
        </w:rPr>
        <w:t xml:space="preserve">., p. 21. </w:t>
      </w:r>
    </w:p>
  </w:footnote>
  <w:footnote w:id="152">
    <w:p w:rsidR="00D549BC" w:rsidRDefault="00D549BC" w:rsidP="00846F3C">
      <w:pPr>
        <w:pStyle w:val="FootnoteText"/>
        <w:ind w:firstLine="0"/>
      </w:pPr>
      <w:r w:rsidRPr="00846F3C">
        <w:rPr>
          <w:rStyle w:val="FootnoteReference"/>
          <w:rFonts w:ascii="Times New Roman" w:hAnsi="Times New Roman"/>
        </w:rPr>
        <w:footnoteRef/>
      </w:r>
      <w:r w:rsidRPr="00846F3C">
        <w:rPr>
          <w:rFonts w:ascii="Times New Roman" w:hAnsi="Times New Roman"/>
        </w:rPr>
        <w:t xml:space="preserve"> </w:t>
      </w:r>
      <w:r>
        <w:rPr>
          <w:rFonts w:ascii="Times New Roman" w:hAnsi="Times New Roman"/>
        </w:rPr>
        <w:t xml:space="preserve">A partir de 2011, os Agravos de Instrumento contra decisão que inadmitia o Recurso Extraordinário passaram a ser Agravos nos próprios autos (art. 544 do CPC), identificados, doravante, pela sigla ARE (Agravo no Recurso Extraordinário). </w:t>
      </w:r>
    </w:p>
  </w:footnote>
  <w:footnote w:id="153">
    <w:p w:rsidR="00D549BC" w:rsidRDefault="00D549BC" w:rsidP="00C255C3">
      <w:pPr>
        <w:pStyle w:val="FootnoteText"/>
        <w:ind w:firstLine="0"/>
      </w:pPr>
      <w:r w:rsidRPr="00C255C3">
        <w:rPr>
          <w:rStyle w:val="FootnoteReference"/>
          <w:rFonts w:ascii="Times New Roman" w:hAnsi="Times New Roman"/>
        </w:rPr>
        <w:footnoteRef/>
      </w:r>
      <w:r w:rsidRPr="00C255C3">
        <w:rPr>
          <w:rFonts w:ascii="Times New Roman" w:hAnsi="Times New Roman"/>
        </w:rPr>
        <w:t xml:space="preserve"> </w:t>
      </w:r>
      <w:r>
        <w:rPr>
          <w:rFonts w:ascii="Times New Roman" w:hAnsi="Times New Roman"/>
        </w:rPr>
        <w:t xml:space="preserve">Dados constantes da Tabela </w:t>
      </w:r>
      <w:r w:rsidRPr="00C255C3">
        <w:rPr>
          <w:rFonts w:ascii="Times New Roman" w:hAnsi="Times New Roman"/>
          <w:i/>
        </w:rPr>
        <w:t>supra</w:t>
      </w:r>
      <w:r>
        <w:rPr>
          <w:rFonts w:ascii="Times New Roman" w:hAnsi="Times New Roman"/>
        </w:rPr>
        <w:t xml:space="preserve"> colacionada - cf. nota de rodapé n. 67.  </w:t>
      </w:r>
    </w:p>
  </w:footnote>
  <w:footnote w:id="154">
    <w:p w:rsidR="00D549BC" w:rsidRDefault="00D549BC" w:rsidP="00511309">
      <w:pPr>
        <w:pStyle w:val="FootnoteText"/>
        <w:ind w:firstLine="0"/>
      </w:pPr>
      <w:r w:rsidRPr="00511309">
        <w:rPr>
          <w:rStyle w:val="FootnoteReference"/>
          <w:rFonts w:ascii="Times New Roman" w:hAnsi="Times New Roman"/>
        </w:rPr>
        <w:footnoteRef/>
      </w:r>
      <w:r>
        <w:rPr>
          <w:rFonts w:ascii="Times New Roman" w:hAnsi="Times New Roman"/>
        </w:rPr>
        <w:t xml:space="preserve"> </w:t>
      </w:r>
      <w:r w:rsidRPr="00531D70">
        <w:rPr>
          <w:rFonts w:ascii="Times New Roman" w:hAnsi="Times New Roman"/>
        </w:rPr>
        <w:t>FREIRE, Alexandre Reis Siquei</w:t>
      </w:r>
      <w:r>
        <w:rPr>
          <w:rFonts w:ascii="Times New Roman" w:hAnsi="Times New Roman"/>
        </w:rPr>
        <w:t xml:space="preserve">ra; CASTRO, Marcello Soares. </w:t>
      </w:r>
      <w:r w:rsidRPr="00EA703D">
        <w:rPr>
          <w:rFonts w:ascii="Times New Roman" w:hAnsi="Times New Roman"/>
        </w:rPr>
        <w:t>O Juízo de Admissibilidade do Recurso Extraordinário no Projeto do Novo Código de Processo Civil Brasileiro</w:t>
      </w:r>
      <w:r w:rsidRPr="00531D70">
        <w:rPr>
          <w:rFonts w:ascii="Times New Roman" w:hAnsi="Times New Roman"/>
        </w:rPr>
        <w:t>.</w:t>
      </w:r>
      <w:r>
        <w:rPr>
          <w:rFonts w:ascii="Times New Roman" w:hAnsi="Times New Roman"/>
        </w:rPr>
        <w:t xml:space="preserve"> </w:t>
      </w:r>
      <w:r w:rsidRPr="00EA703D">
        <w:rPr>
          <w:rFonts w:ascii="Times New Roman" w:hAnsi="Times New Roman"/>
          <w:b/>
        </w:rPr>
        <w:t>Revista Jurídica UNIGRAN</w:t>
      </w:r>
      <w:r>
        <w:rPr>
          <w:rFonts w:ascii="Times New Roman" w:hAnsi="Times New Roman"/>
        </w:rPr>
        <w:t xml:space="preserve">, </w:t>
      </w:r>
      <w:r w:rsidRPr="00531D70">
        <w:rPr>
          <w:rFonts w:ascii="Times New Roman" w:hAnsi="Times New Roman"/>
        </w:rPr>
        <w:t>v. 15, n. 29, jun. 2013. Disponível em</w:t>
      </w:r>
      <w:r>
        <w:rPr>
          <w:rFonts w:ascii="Times New Roman" w:hAnsi="Times New Roman"/>
        </w:rPr>
        <w:t>:</w:t>
      </w:r>
      <w:r w:rsidRPr="00531D70">
        <w:rPr>
          <w:rFonts w:ascii="Times New Roman" w:hAnsi="Times New Roman"/>
        </w:rPr>
        <w:t xml:space="preserve"> </w:t>
      </w:r>
      <w:r w:rsidRPr="00EA703D">
        <w:rPr>
          <w:rFonts w:ascii="Times New Roman" w:hAnsi="Times New Roman"/>
        </w:rPr>
        <w:t>http://www.unigran.br/revista_juridica/ed_anteriores/29/artigos/artigo01.pdf</w:t>
      </w:r>
      <w:r>
        <w:rPr>
          <w:rFonts w:ascii="Times New Roman" w:hAnsi="Times New Roman"/>
        </w:rPr>
        <w:t xml:space="preserve">. Acesso em: 20 mar. 2015. </w:t>
      </w:r>
    </w:p>
  </w:footnote>
  <w:footnote w:id="155">
    <w:p w:rsidR="00D549BC" w:rsidRDefault="00D549BC" w:rsidP="00332487">
      <w:pPr>
        <w:pStyle w:val="FootnoteText"/>
        <w:ind w:firstLine="0"/>
      </w:pPr>
      <w:r w:rsidRPr="00332487">
        <w:rPr>
          <w:rStyle w:val="FootnoteReference"/>
          <w:rFonts w:ascii="Times New Roman" w:hAnsi="Times New Roman"/>
        </w:rPr>
        <w:footnoteRef/>
      </w:r>
      <w:r w:rsidRPr="00332487">
        <w:rPr>
          <w:rFonts w:ascii="Times New Roman" w:hAnsi="Times New Roman"/>
        </w:rPr>
        <w:t xml:space="preserve"> </w:t>
      </w:r>
      <w:r>
        <w:rPr>
          <w:rFonts w:ascii="Times New Roman" w:hAnsi="Times New Roman"/>
        </w:rPr>
        <w:t>Oportuna, nesse sentido, a fala de JOSÉ MIGUEL MEDINA: “</w:t>
      </w:r>
      <w:r w:rsidRPr="00332487">
        <w:rPr>
          <w:rFonts w:ascii="Times New Roman" w:hAnsi="Times New Roman"/>
        </w:rPr>
        <w:t>Os tribunais superiores têm a grande função de apontar o rumo correto a ser</w:t>
      </w:r>
      <w:r>
        <w:rPr>
          <w:rFonts w:ascii="Times New Roman" w:hAnsi="Times New Roman"/>
        </w:rPr>
        <w:t xml:space="preserve"> </w:t>
      </w:r>
      <w:r w:rsidRPr="00332487">
        <w:rPr>
          <w:rFonts w:ascii="Times New Roman" w:hAnsi="Times New Roman"/>
        </w:rPr>
        <w:t>seguido na interpretação e aplicação da Constituição e da lei federal. Devem,</w:t>
      </w:r>
      <w:r>
        <w:rPr>
          <w:rFonts w:ascii="Times New Roman" w:hAnsi="Times New Roman"/>
        </w:rPr>
        <w:t xml:space="preserve"> </w:t>
      </w:r>
      <w:r w:rsidRPr="00332487">
        <w:rPr>
          <w:rFonts w:ascii="Times New Roman" w:hAnsi="Times New Roman"/>
        </w:rPr>
        <w:t>pois, ser tomados como exemplos do cuidado com que a norma jurídica deve</w:t>
      </w:r>
      <w:r>
        <w:rPr>
          <w:rFonts w:ascii="Times New Roman" w:hAnsi="Times New Roman"/>
        </w:rPr>
        <w:t xml:space="preserve"> </w:t>
      </w:r>
      <w:r w:rsidRPr="00332487">
        <w:rPr>
          <w:rFonts w:ascii="Times New Roman" w:hAnsi="Times New Roman"/>
        </w:rPr>
        <w:t>ser interpretada e aplicada. A criação de requisitos recursais à margem da lei</w:t>
      </w:r>
      <w:r>
        <w:rPr>
          <w:rFonts w:ascii="Times New Roman" w:hAnsi="Times New Roman"/>
        </w:rPr>
        <w:t xml:space="preserve"> </w:t>
      </w:r>
      <w:r w:rsidRPr="00332487">
        <w:rPr>
          <w:rFonts w:ascii="Times New Roman" w:hAnsi="Times New Roman"/>
        </w:rPr>
        <w:t>definitivamente não corresponde ao papel</w:t>
      </w:r>
      <w:r>
        <w:rPr>
          <w:rFonts w:ascii="Times New Roman" w:hAnsi="Times New Roman"/>
        </w:rPr>
        <w:t xml:space="preserve"> que deve ser desempenhado pelos</w:t>
      </w:r>
    </w:p>
  </w:footnote>
  <w:footnote w:id="156">
    <w:p w:rsidR="00D549BC" w:rsidRDefault="00D549BC" w:rsidP="003157BA">
      <w:pPr>
        <w:pStyle w:val="FootnoteText"/>
        <w:ind w:firstLine="0"/>
      </w:pPr>
      <w:r w:rsidRPr="001C36B9">
        <w:rPr>
          <w:rStyle w:val="FootnoteReference"/>
          <w:rFonts w:ascii="Times New Roman" w:hAnsi="Times New Roman"/>
        </w:rPr>
        <w:footnoteRef/>
      </w:r>
      <w:r>
        <w:rPr>
          <w:rFonts w:ascii="Times New Roman" w:hAnsi="Times New Roman"/>
        </w:rPr>
        <w:t xml:space="preserve"> BRASIL. </w:t>
      </w:r>
      <w:r w:rsidRPr="00E95AEA">
        <w:rPr>
          <w:rFonts w:ascii="Times New Roman" w:hAnsi="Times New Roman"/>
        </w:rPr>
        <w:t>Superior Tribunal de Justiça</w:t>
      </w:r>
      <w:r w:rsidRPr="001C36B9">
        <w:rPr>
          <w:rFonts w:ascii="Times New Roman" w:hAnsi="Times New Roman"/>
        </w:rPr>
        <w:t xml:space="preserve">. </w:t>
      </w:r>
      <w:r w:rsidRPr="001C36B9">
        <w:rPr>
          <w:rFonts w:ascii="Times New Roman" w:hAnsi="Times New Roman"/>
          <w:lang w:val="en-US"/>
        </w:rPr>
        <w:t>REsp 678</w:t>
      </w:r>
      <w:r>
        <w:rPr>
          <w:rFonts w:ascii="Times New Roman" w:hAnsi="Times New Roman"/>
          <w:lang w:val="en-US"/>
        </w:rPr>
        <w:t>.</w:t>
      </w:r>
      <w:r w:rsidRPr="001C36B9">
        <w:rPr>
          <w:rFonts w:ascii="Times New Roman" w:hAnsi="Times New Roman"/>
          <w:lang w:val="en-US"/>
        </w:rPr>
        <w:t xml:space="preserve">889/AL. Rel. Min. Eliana Calmon. </w:t>
      </w:r>
      <w:r w:rsidRPr="00817DF9">
        <w:rPr>
          <w:rFonts w:ascii="Times New Roman" w:hAnsi="Times New Roman"/>
          <w:lang w:val="en-US"/>
        </w:rPr>
        <w:t xml:space="preserve">DJ: 17.06.2009. </w:t>
      </w:r>
      <w:r w:rsidRPr="001C36B9">
        <w:rPr>
          <w:rFonts w:ascii="Times New Roman" w:hAnsi="Times New Roman"/>
        </w:rPr>
        <w:t>Disponível em</w:t>
      </w:r>
      <w:r>
        <w:rPr>
          <w:rFonts w:ascii="Times New Roman" w:hAnsi="Times New Roman"/>
        </w:rPr>
        <w:t>:</w:t>
      </w:r>
      <w:r w:rsidRPr="001C36B9">
        <w:rPr>
          <w:rFonts w:ascii="Times New Roman" w:hAnsi="Times New Roman"/>
        </w:rPr>
        <w:t xml:space="preserve"> </w:t>
      </w:r>
      <w:r w:rsidRPr="00E95AEA">
        <w:rPr>
          <w:rFonts w:ascii="Times New Roman" w:hAnsi="Times New Roman"/>
        </w:rPr>
        <w:t>https://ww2.stj.jus.br/processo/revista/inteiroteor/?num_registro=200401018066&amp;dt_publicacao=17/06/2009</w:t>
      </w:r>
      <w:r>
        <w:rPr>
          <w:rFonts w:ascii="Times New Roman" w:hAnsi="Times New Roman"/>
        </w:rPr>
        <w:t>.</w:t>
      </w:r>
      <w:r w:rsidRPr="00E95AEA">
        <w:rPr>
          <w:rFonts w:ascii="Times New Roman" w:hAnsi="Times New Roman"/>
        </w:rPr>
        <w:t xml:space="preserve"> Acesso em</w:t>
      </w:r>
      <w:r>
        <w:rPr>
          <w:rFonts w:ascii="Times New Roman" w:hAnsi="Times New Roman"/>
        </w:rPr>
        <w:t>:</w:t>
      </w:r>
      <w:r w:rsidRPr="00E95AEA">
        <w:rPr>
          <w:rFonts w:ascii="Times New Roman" w:hAnsi="Times New Roman"/>
        </w:rPr>
        <w:t xml:space="preserve"> 21 mar. 2015.  </w:t>
      </w:r>
    </w:p>
  </w:footnote>
  <w:footnote w:id="157">
    <w:p w:rsidR="00D549BC" w:rsidRDefault="00D549BC" w:rsidP="003157BA">
      <w:pPr>
        <w:pStyle w:val="FootnoteText"/>
        <w:ind w:firstLine="0"/>
      </w:pPr>
      <w:r w:rsidRPr="001C36B9">
        <w:rPr>
          <w:rStyle w:val="FootnoteReference"/>
          <w:rFonts w:ascii="Times New Roman" w:hAnsi="Times New Roman"/>
        </w:rPr>
        <w:footnoteRef/>
      </w:r>
      <w:r w:rsidRPr="001C36B9">
        <w:rPr>
          <w:rFonts w:ascii="Times New Roman" w:hAnsi="Times New Roman"/>
        </w:rPr>
        <w:t xml:space="preserve"> BRASIL. </w:t>
      </w:r>
      <w:r w:rsidRPr="00E95AEA">
        <w:rPr>
          <w:rFonts w:ascii="Times New Roman" w:hAnsi="Times New Roman"/>
        </w:rPr>
        <w:t>Superior Tribunal de Justiça</w:t>
      </w:r>
      <w:r w:rsidRPr="001C36B9">
        <w:rPr>
          <w:rFonts w:ascii="Times New Roman" w:hAnsi="Times New Roman"/>
        </w:rPr>
        <w:t xml:space="preserve">. </w:t>
      </w:r>
      <w:r w:rsidRPr="0014370F">
        <w:rPr>
          <w:rFonts w:ascii="Times New Roman" w:hAnsi="Times New Roman"/>
        </w:rPr>
        <w:t xml:space="preserve">AgRg no Ag 1.074.826/SP. Rel. </w:t>
      </w:r>
      <w:r w:rsidRPr="001C36B9">
        <w:rPr>
          <w:rFonts w:ascii="Times New Roman" w:hAnsi="Times New Roman"/>
        </w:rPr>
        <w:t>Min. Luiz Fux. DJ: 15.12.2008.</w:t>
      </w:r>
      <w:r>
        <w:rPr>
          <w:rFonts w:ascii="Times New Roman" w:hAnsi="Times New Roman"/>
        </w:rPr>
        <w:t xml:space="preserve"> Disponível em: </w:t>
      </w:r>
      <w:r w:rsidRPr="00E95AEA">
        <w:rPr>
          <w:rFonts w:ascii="Times New Roman" w:hAnsi="Times New Roman"/>
        </w:rPr>
        <w:t>https://ww2.stj.jus.br/processo/revista/inteiroteor/?num_registro=200801736431&amp;dt_publicacao=15/12/2008.</w:t>
      </w:r>
      <w:r>
        <w:rPr>
          <w:rFonts w:ascii="Times New Roman" w:hAnsi="Times New Roman"/>
        </w:rPr>
        <w:t xml:space="preserve"> Acesso em: 21 mar. 2015.  </w:t>
      </w:r>
    </w:p>
  </w:footnote>
  <w:footnote w:id="158">
    <w:p w:rsidR="00D549BC" w:rsidRDefault="00D549BC" w:rsidP="00FB1602">
      <w:pPr>
        <w:pStyle w:val="FootnoteText"/>
        <w:ind w:firstLine="0"/>
      </w:pPr>
      <w:r w:rsidRPr="00FB1602">
        <w:rPr>
          <w:rStyle w:val="FootnoteReference"/>
          <w:rFonts w:ascii="Times New Roman" w:hAnsi="Times New Roman"/>
        </w:rPr>
        <w:footnoteRef/>
      </w:r>
      <w:r w:rsidRPr="00FB1602">
        <w:rPr>
          <w:rFonts w:ascii="Times New Roman" w:hAnsi="Times New Roman"/>
        </w:rPr>
        <w:t xml:space="preserve"> Art. 13. Verificando a incapacidade processual ou a irregularidade da representação das partes, o juiz, suspendendo o processo, marcará prazo razoável para ser sanado o defeito.</w:t>
      </w:r>
      <w:r>
        <w:rPr>
          <w:rFonts w:ascii="Times New Roman" w:hAnsi="Times New Roman"/>
        </w:rPr>
        <w:t xml:space="preserve"> </w:t>
      </w:r>
    </w:p>
  </w:footnote>
  <w:footnote w:id="159">
    <w:p w:rsidR="00D549BC" w:rsidRDefault="00D549BC" w:rsidP="00FB1602">
      <w:pPr>
        <w:pStyle w:val="FootnoteText"/>
        <w:ind w:firstLine="0"/>
      </w:pPr>
      <w:r w:rsidRPr="00FB1602">
        <w:rPr>
          <w:rStyle w:val="FootnoteReference"/>
          <w:rFonts w:ascii="Times New Roman" w:hAnsi="Times New Roman"/>
        </w:rPr>
        <w:footnoteRef/>
      </w:r>
      <w:r w:rsidRPr="00FB1602">
        <w:rPr>
          <w:rFonts w:ascii="Times New Roman" w:hAnsi="Times New Roman"/>
        </w:rPr>
        <w:t xml:space="preserve"> BRASIL. </w:t>
      </w:r>
      <w:r w:rsidRPr="00E95AEA">
        <w:rPr>
          <w:rFonts w:ascii="Times New Roman" w:hAnsi="Times New Roman"/>
        </w:rPr>
        <w:t>Supremo Tribunal Federal</w:t>
      </w:r>
      <w:r w:rsidRPr="00FB1602">
        <w:rPr>
          <w:rFonts w:ascii="Times New Roman" w:hAnsi="Times New Roman"/>
        </w:rPr>
        <w:t>. AI 780</w:t>
      </w:r>
      <w:r>
        <w:rPr>
          <w:rFonts w:ascii="Times New Roman" w:hAnsi="Times New Roman"/>
        </w:rPr>
        <w:t>.</w:t>
      </w:r>
      <w:r w:rsidRPr="00FB1602">
        <w:rPr>
          <w:rFonts w:ascii="Times New Roman" w:hAnsi="Times New Roman"/>
        </w:rPr>
        <w:t>441 AgR. Rel. Min. Roberto Barroso. DJ</w:t>
      </w:r>
      <w:r>
        <w:rPr>
          <w:rFonts w:ascii="Times New Roman" w:hAnsi="Times New Roman"/>
        </w:rPr>
        <w:t>e</w:t>
      </w:r>
      <w:r w:rsidRPr="00FB1602">
        <w:rPr>
          <w:rFonts w:ascii="Times New Roman" w:hAnsi="Times New Roman"/>
        </w:rPr>
        <w:t>: 20.11.2013.</w:t>
      </w:r>
      <w:r>
        <w:rPr>
          <w:rFonts w:ascii="Times New Roman" w:hAnsi="Times New Roman"/>
        </w:rPr>
        <w:t xml:space="preserve"> Disponível em: </w:t>
      </w:r>
      <w:r w:rsidRPr="00E95AEA">
        <w:rPr>
          <w:rFonts w:ascii="Times New Roman" w:hAnsi="Times New Roman"/>
        </w:rPr>
        <w:t>http://redir.stf.jus.br/paginadorpub/paginador.jsp?docTP=TP&amp;docID=4887257</w:t>
      </w:r>
      <w:r>
        <w:rPr>
          <w:rFonts w:ascii="Times New Roman" w:hAnsi="Times New Roman"/>
        </w:rPr>
        <w:t xml:space="preserve">. Acesso em: 21 mar. 2015. </w:t>
      </w:r>
    </w:p>
  </w:footnote>
  <w:footnote w:id="160">
    <w:p w:rsidR="00D549BC" w:rsidRDefault="00D549BC" w:rsidP="007B607F">
      <w:pPr>
        <w:pStyle w:val="FootnoteText"/>
        <w:ind w:firstLine="0"/>
      </w:pPr>
      <w:r w:rsidRPr="007B607F">
        <w:rPr>
          <w:rStyle w:val="FootnoteReference"/>
          <w:rFonts w:ascii="Times New Roman" w:hAnsi="Times New Roman"/>
        </w:rPr>
        <w:footnoteRef/>
      </w:r>
      <w:r w:rsidRPr="007B607F">
        <w:rPr>
          <w:rFonts w:ascii="Times New Roman" w:hAnsi="Times New Roman"/>
        </w:rPr>
        <w:t xml:space="preserve">  </w:t>
      </w:r>
      <w:r>
        <w:rPr>
          <w:rFonts w:ascii="Times New Roman" w:hAnsi="Times New Roman"/>
        </w:rPr>
        <w:t>DINAMARCO, Cândido Rangel.</w:t>
      </w:r>
      <w:r w:rsidRPr="007B607F">
        <w:rPr>
          <w:rFonts w:ascii="Times New Roman" w:hAnsi="Times New Roman"/>
        </w:rPr>
        <w:t xml:space="preserve"> </w:t>
      </w:r>
      <w:r w:rsidRPr="007B607F">
        <w:rPr>
          <w:rFonts w:ascii="Times New Roman" w:hAnsi="Times New Roman"/>
          <w:b/>
        </w:rPr>
        <w:t>Fundamentos do processo civil moderno</w:t>
      </w:r>
      <w:r>
        <w:rPr>
          <w:rFonts w:ascii="Times New Roman" w:hAnsi="Times New Roman"/>
        </w:rPr>
        <w:t>. 6.</w:t>
      </w:r>
      <w:r w:rsidRPr="007B607F">
        <w:rPr>
          <w:rFonts w:ascii="Times New Roman" w:hAnsi="Times New Roman"/>
        </w:rPr>
        <w:t xml:space="preserve"> </w:t>
      </w:r>
      <w:r>
        <w:rPr>
          <w:rFonts w:ascii="Times New Roman" w:hAnsi="Times New Roman"/>
        </w:rPr>
        <w:t>ed. São Paulo: Malheiros, 2010, v</w:t>
      </w:r>
      <w:r w:rsidRPr="007B607F">
        <w:rPr>
          <w:rFonts w:ascii="Times New Roman" w:hAnsi="Times New Roman"/>
        </w:rPr>
        <w:t>. II</w:t>
      </w:r>
      <w:r>
        <w:rPr>
          <w:rFonts w:ascii="Times New Roman" w:hAnsi="Times New Roman"/>
        </w:rPr>
        <w:t>,</w:t>
      </w:r>
      <w:r w:rsidRPr="007B607F">
        <w:rPr>
          <w:rFonts w:ascii="Times New Roman" w:hAnsi="Times New Roman"/>
        </w:rPr>
        <w:t xml:space="preserve"> </w:t>
      </w:r>
      <w:r>
        <w:rPr>
          <w:rFonts w:ascii="Times New Roman" w:hAnsi="Times New Roman"/>
        </w:rPr>
        <w:t xml:space="preserve">p. 1052. </w:t>
      </w:r>
    </w:p>
  </w:footnote>
  <w:footnote w:id="161">
    <w:p w:rsidR="00D549BC" w:rsidRDefault="00D549BC" w:rsidP="008C45DE">
      <w:pPr>
        <w:pStyle w:val="FootnoteText"/>
        <w:ind w:firstLine="0"/>
      </w:pPr>
      <w:r w:rsidRPr="008C45DE">
        <w:rPr>
          <w:rStyle w:val="FootnoteReference"/>
          <w:rFonts w:ascii="Times New Roman" w:hAnsi="Times New Roman"/>
        </w:rPr>
        <w:footnoteRef/>
      </w:r>
      <w:r w:rsidRPr="008C45DE">
        <w:rPr>
          <w:rFonts w:ascii="Times New Roman" w:hAnsi="Times New Roman"/>
        </w:rPr>
        <w:t xml:space="preserve"> </w:t>
      </w:r>
      <w:r>
        <w:rPr>
          <w:rFonts w:ascii="Times New Roman" w:hAnsi="Times New Roman"/>
        </w:rPr>
        <w:t xml:space="preserve">BRASIL. </w:t>
      </w:r>
      <w:r w:rsidRPr="000E73C6">
        <w:rPr>
          <w:rFonts w:ascii="Times New Roman" w:hAnsi="Times New Roman"/>
        </w:rPr>
        <w:t>Planalto</w:t>
      </w:r>
      <w:r>
        <w:rPr>
          <w:rFonts w:ascii="Times New Roman" w:hAnsi="Times New Roman"/>
        </w:rPr>
        <w:t xml:space="preserve">. Lei 13.105, de 16 de março de 2015 – Código de Processo Civil. Disponível em: </w:t>
      </w:r>
      <w:r w:rsidRPr="000E73C6">
        <w:rPr>
          <w:rFonts w:ascii="Times New Roman" w:hAnsi="Times New Roman"/>
        </w:rPr>
        <w:t>http://www.planalto.gov.br/ccivil_03/_Ato2015-2018/2015/Lei/L13105.htm#art1046</w:t>
      </w:r>
      <w:r>
        <w:rPr>
          <w:rFonts w:ascii="Times New Roman" w:hAnsi="Times New Roman"/>
        </w:rPr>
        <w:t xml:space="preserve">. Acesso em: 22 mar. 2015. </w:t>
      </w:r>
    </w:p>
  </w:footnote>
  <w:footnote w:id="162">
    <w:p w:rsidR="00D549BC" w:rsidRDefault="00D549BC" w:rsidP="00937A4C">
      <w:pPr>
        <w:pStyle w:val="FootnoteText"/>
        <w:ind w:firstLine="0"/>
      </w:pPr>
      <w:r w:rsidRPr="00937A4C">
        <w:rPr>
          <w:rStyle w:val="FootnoteReference"/>
          <w:rFonts w:ascii="Times New Roman" w:hAnsi="Times New Roman"/>
        </w:rPr>
        <w:footnoteRef/>
      </w:r>
      <w:r>
        <w:rPr>
          <w:rFonts w:ascii="Times New Roman" w:hAnsi="Times New Roman"/>
        </w:rPr>
        <w:t xml:space="preserve"> </w:t>
      </w:r>
      <w:r w:rsidRPr="00F64873">
        <w:rPr>
          <w:rFonts w:ascii="Times New Roman" w:hAnsi="Times New Roman"/>
        </w:rPr>
        <w:t xml:space="preserve">BRASIL. </w:t>
      </w:r>
      <w:r w:rsidRPr="00E16F05">
        <w:rPr>
          <w:rFonts w:ascii="Times New Roman" w:hAnsi="Times New Roman"/>
        </w:rPr>
        <w:t>Supremo Tribunal Federal.</w:t>
      </w:r>
      <w:r>
        <w:rPr>
          <w:rFonts w:ascii="Times New Roman" w:hAnsi="Times New Roman"/>
        </w:rPr>
        <w:t xml:space="preserve"> Ag. Rg. </w:t>
      </w:r>
      <w:r w:rsidRPr="008C45DE">
        <w:rPr>
          <w:rFonts w:ascii="Times New Roman" w:hAnsi="Times New Roman"/>
        </w:rPr>
        <w:t>AI 834</w:t>
      </w:r>
      <w:r>
        <w:rPr>
          <w:rFonts w:ascii="Times New Roman" w:hAnsi="Times New Roman"/>
        </w:rPr>
        <w:t>.</w:t>
      </w:r>
      <w:r w:rsidRPr="008C45DE">
        <w:rPr>
          <w:rFonts w:ascii="Times New Roman" w:hAnsi="Times New Roman"/>
        </w:rPr>
        <w:t>940/PE. Rel. Min. Carmen Lúcia. DJ</w:t>
      </w:r>
      <w:r>
        <w:rPr>
          <w:rFonts w:ascii="Times New Roman" w:hAnsi="Times New Roman"/>
        </w:rPr>
        <w:t>e</w:t>
      </w:r>
      <w:r w:rsidRPr="008C45DE">
        <w:rPr>
          <w:rFonts w:ascii="Times New Roman" w:hAnsi="Times New Roman"/>
        </w:rPr>
        <w:t>: 09.02.2012</w:t>
      </w:r>
      <w:r>
        <w:rPr>
          <w:rFonts w:ascii="Times New Roman" w:hAnsi="Times New Roman"/>
        </w:rPr>
        <w:t xml:space="preserve">. Disponível em: </w:t>
      </w:r>
      <w:r w:rsidRPr="00E16F05">
        <w:rPr>
          <w:rFonts w:ascii="Times New Roman" w:hAnsi="Times New Roman"/>
        </w:rPr>
        <w:t>http://redir.stf.jus.br/paginadorpub/paginador.jsp?docTP=TP&amp;docID=1718055</w:t>
      </w:r>
      <w:r>
        <w:rPr>
          <w:rFonts w:ascii="Times New Roman" w:hAnsi="Times New Roman"/>
        </w:rPr>
        <w:t>. Acesso em: 22 mar. 2015.</w:t>
      </w:r>
    </w:p>
  </w:footnote>
  <w:footnote w:id="163">
    <w:p w:rsidR="00D549BC" w:rsidRDefault="00D549BC" w:rsidP="008C45DE">
      <w:pPr>
        <w:pStyle w:val="FootnoteText"/>
        <w:ind w:firstLine="0"/>
      </w:pPr>
      <w:r w:rsidRPr="008C45DE">
        <w:rPr>
          <w:rStyle w:val="FootnoteReference"/>
          <w:rFonts w:ascii="Times New Roman" w:hAnsi="Times New Roman"/>
        </w:rPr>
        <w:footnoteRef/>
      </w:r>
      <w:r w:rsidRPr="008C45DE">
        <w:rPr>
          <w:rFonts w:ascii="Times New Roman" w:hAnsi="Times New Roman"/>
        </w:rPr>
        <w:t xml:space="preserve"> AI 810</w:t>
      </w:r>
      <w:r>
        <w:rPr>
          <w:rFonts w:ascii="Times New Roman" w:hAnsi="Times New Roman"/>
        </w:rPr>
        <w:t>.</w:t>
      </w:r>
      <w:r w:rsidRPr="008C45DE">
        <w:rPr>
          <w:rFonts w:ascii="Times New Roman" w:hAnsi="Times New Roman"/>
        </w:rPr>
        <w:t>045 AgR / SP - SÃO PAULO AG.REG. NO AGRAVO DE INSTRUMENTO</w:t>
      </w:r>
      <w:r>
        <w:rPr>
          <w:rFonts w:ascii="Times New Roman" w:hAnsi="Times New Roman"/>
        </w:rPr>
        <w:t xml:space="preserve"> Relator: </w:t>
      </w:r>
      <w:r w:rsidRPr="008C45DE">
        <w:rPr>
          <w:rFonts w:ascii="Times New Roman" w:hAnsi="Times New Roman"/>
        </w:rPr>
        <w:t>Min. CEZAR PELUSO (Presidente)</w:t>
      </w:r>
      <w:r>
        <w:rPr>
          <w:rFonts w:ascii="Times New Roman" w:hAnsi="Times New Roman"/>
        </w:rPr>
        <w:t xml:space="preserve"> </w:t>
      </w:r>
      <w:r w:rsidRPr="008C45DE">
        <w:rPr>
          <w:rFonts w:ascii="Times New Roman" w:hAnsi="Times New Roman"/>
        </w:rPr>
        <w:t>Ju</w:t>
      </w:r>
      <w:r>
        <w:rPr>
          <w:rFonts w:ascii="Times New Roman" w:hAnsi="Times New Roman"/>
        </w:rPr>
        <w:t xml:space="preserve">lgamento:  16/12/2010 </w:t>
      </w:r>
      <w:r w:rsidRPr="008C45DE">
        <w:rPr>
          <w:rFonts w:ascii="Times New Roman" w:hAnsi="Times New Roman"/>
        </w:rPr>
        <w:t>Ór</w:t>
      </w:r>
      <w:r>
        <w:rPr>
          <w:rFonts w:ascii="Times New Roman" w:hAnsi="Times New Roman"/>
        </w:rPr>
        <w:t xml:space="preserve">gão Julgador: </w:t>
      </w:r>
      <w:r w:rsidRPr="008C45DE">
        <w:rPr>
          <w:rFonts w:ascii="Times New Roman" w:hAnsi="Times New Roman"/>
        </w:rPr>
        <w:t>Tribunal Pleno</w:t>
      </w:r>
      <w:r>
        <w:rPr>
          <w:rFonts w:ascii="Times New Roman" w:hAnsi="Times New Roman"/>
        </w:rPr>
        <w:t xml:space="preserve">. </w:t>
      </w:r>
      <w:r w:rsidRPr="008C45DE">
        <w:rPr>
          <w:rFonts w:ascii="Times New Roman" w:hAnsi="Times New Roman"/>
        </w:rPr>
        <w:t xml:space="preserve">EMENTA: RECURSO. </w:t>
      </w:r>
      <w:r w:rsidRPr="008C45DE">
        <w:rPr>
          <w:rFonts w:ascii="Times New Roman" w:hAnsi="Times New Roman"/>
          <w:b/>
        </w:rPr>
        <w:t>Agravo de instrumento</w:t>
      </w:r>
      <w:r w:rsidRPr="008C45DE">
        <w:rPr>
          <w:rFonts w:ascii="Times New Roman" w:hAnsi="Times New Roman"/>
        </w:rPr>
        <w:t xml:space="preserve">. </w:t>
      </w:r>
      <w:r w:rsidRPr="008C45DE">
        <w:rPr>
          <w:rFonts w:ascii="Times New Roman" w:hAnsi="Times New Roman"/>
          <w:b/>
        </w:rPr>
        <w:t>Inadmissibilidade</w:t>
      </w:r>
      <w:r w:rsidRPr="008C45DE">
        <w:rPr>
          <w:rFonts w:ascii="Times New Roman" w:hAnsi="Times New Roman"/>
        </w:rPr>
        <w:t xml:space="preserve">. </w:t>
      </w:r>
      <w:r w:rsidRPr="008C45DE">
        <w:rPr>
          <w:rFonts w:ascii="Times New Roman" w:hAnsi="Times New Roman"/>
          <w:b/>
        </w:rPr>
        <w:t>Petição de recurso extraordinário</w:t>
      </w:r>
      <w:r w:rsidRPr="008C45DE">
        <w:rPr>
          <w:rFonts w:ascii="Times New Roman" w:hAnsi="Times New Roman"/>
        </w:rPr>
        <w:t xml:space="preserve">. </w:t>
      </w:r>
      <w:r w:rsidRPr="008C45DE">
        <w:rPr>
          <w:rFonts w:ascii="Times New Roman" w:hAnsi="Times New Roman"/>
          <w:b/>
        </w:rPr>
        <w:t>Data de protocolo</w:t>
      </w:r>
      <w:r w:rsidRPr="008C45DE">
        <w:rPr>
          <w:rFonts w:ascii="Times New Roman" w:hAnsi="Times New Roman"/>
        </w:rPr>
        <w:t xml:space="preserve">. </w:t>
      </w:r>
      <w:r w:rsidRPr="008C45DE">
        <w:rPr>
          <w:rFonts w:ascii="Times New Roman" w:hAnsi="Times New Roman"/>
          <w:b/>
        </w:rPr>
        <w:t>Carimbo ilegível</w:t>
      </w:r>
      <w:r w:rsidRPr="008C45DE">
        <w:rPr>
          <w:rFonts w:ascii="Times New Roman" w:hAnsi="Times New Roman"/>
        </w:rPr>
        <w:t xml:space="preserve">. </w:t>
      </w:r>
      <w:r w:rsidRPr="008C45DE">
        <w:rPr>
          <w:rFonts w:ascii="Times New Roman" w:hAnsi="Times New Roman"/>
          <w:b/>
        </w:rPr>
        <w:t>Prova da tempestividade</w:t>
      </w:r>
      <w:r w:rsidRPr="008C45DE">
        <w:rPr>
          <w:rFonts w:ascii="Times New Roman" w:hAnsi="Times New Roman"/>
        </w:rPr>
        <w:t xml:space="preserve">. </w:t>
      </w:r>
      <w:r w:rsidRPr="008C45DE">
        <w:rPr>
          <w:rFonts w:ascii="Times New Roman" w:hAnsi="Times New Roman"/>
          <w:b/>
        </w:rPr>
        <w:t>Falta</w:t>
      </w:r>
      <w:r w:rsidRPr="008C45DE">
        <w:rPr>
          <w:rFonts w:ascii="Times New Roman" w:hAnsi="Times New Roman"/>
        </w:rPr>
        <w:t xml:space="preserve">. </w:t>
      </w:r>
      <w:r w:rsidRPr="008C45DE">
        <w:rPr>
          <w:rFonts w:ascii="Times New Roman" w:hAnsi="Times New Roman"/>
          <w:b/>
        </w:rPr>
        <w:t>Agravo regimental não provido</w:t>
      </w:r>
      <w:r w:rsidRPr="008C45DE">
        <w:rPr>
          <w:rFonts w:ascii="Times New Roman" w:hAnsi="Times New Roman"/>
        </w:rPr>
        <w:t xml:space="preserve">. </w:t>
      </w:r>
      <w:r w:rsidRPr="008C45DE">
        <w:rPr>
          <w:rFonts w:ascii="Times New Roman" w:hAnsi="Times New Roman"/>
          <w:b/>
        </w:rPr>
        <w:t>O carimbo de protocolo na petição de recurso extraordinário deve estar legível, para efeito de verificação da tempestividade</w:t>
      </w:r>
      <w:r w:rsidRPr="008C45DE">
        <w:rPr>
          <w:rFonts w:ascii="Times New Roman" w:hAnsi="Times New Roman"/>
        </w:rPr>
        <w:t>.</w:t>
      </w:r>
      <w:r>
        <w:rPr>
          <w:rFonts w:ascii="Times New Roman" w:hAnsi="Times New Roman"/>
        </w:rPr>
        <w:t xml:space="preserve"> </w:t>
      </w:r>
      <w:r w:rsidRPr="008C45DE">
        <w:rPr>
          <w:rFonts w:ascii="Times New Roman" w:hAnsi="Times New Roman"/>
        </w:rPr>
        <w:t>Decisão</w:t>
      </w:r>
      <w:r>
        <w:rPr>
          <w:rFonts w:ascii="Times New Roman" w:hAnsi="Times New Roman"/>
        </w:rPr>
        <w:t xml:space="preserve">: O </w:t>
      </w:r>
      <w:r w:rsidRPr="008C45DE">
        <w:rPr>
          <w:rFonts w:ascii="Times New Roman" w:hAnsi="Times New Roman"/>
        </w:rPr>
        <w:t>Tribunal, por unanimidade, negou provimento ao recurso de agravo, nos termos do voto do Relator, Ministro Cezar Peluso (Presidente). Ausente, neste julgamento, o Senhor Ministro Gilmar Mendes. Plenário, 16.12.2010.</w:t>
      </w:r>
      <w:r>
        <w:rPr>
          <w:rFonts w:ascii="Times New Roman" w:hAnsi="Times New Roman"/>
        </w:rPr>
        <w:t xml:space="preserve"> (BRASIL. </w:t>
      </w:r>
      <w:r w:rsidRPr="00ED14B9">
        <w:rPr>
          <w:rFonts w:ascii="Times New Roman" w:hAnsi="Times New Roman"/>
        </w:rPr>
        <w:t>Supremo Tribunal Federal</w:t>
      </w:r>
      <w:r>
        <w:rPr>
          <w:rFonts w:ascii="Times New Roman" w:hAnsi="Times New Roman"/>
        </w:rPr>
        <w:t xml:space="preserve">. </w:t>
      </w:r>
      <w:r w:rsidRPr="00090266">
        <w:rPr>
          <w:rFonts w:ascii="Times New Roman" w:hAnsi="Times New Roman"/>
        </w:rPr>
        <w:t>AI 810</w:t>
      </w:r>
      <w:r>
        <w:rPr>
          <w:rFonts w:ascii="Times New Roman" w:hAnsi="Times New Roman"/>
        </w:rPr>
        <w:t>.045 AgR/</w:t>
      </w:r>
      <w:r w:rsidRPr="00090266">
        <w:rPr>
          <w:rFonts w:ascii="Times New Roman" w:hAnsi="Times New Roman"/>
        </w:rPr>
        <w:t>SP</w:t>
      </w:r>
      <w:r>
        <w:rPr>
          <w:rFonts w:ascii="Times New Roman" w:hAnsi="Times New Roman"/>
        </w:rPr>
        <w:t xml:space="preserve">. Rel. Min, Cezar Peluso. DJe: 15.02.2011. Disponível em: </w:t>
      </w:r>
      <w:r w:rsidRPr="00ED14B9">
        <w:rPr>
          <w:rFonts w:ascii="Times New Roman" w:hAnsi="Times New Roman"/>
        </w:rPr>
        <w:t>http://redir.stf.jus.br/paginadorpub/paginador.jsp?docTP=AC&amp;docID=619099</w:t>
      </w:r>
      <w:r>
        <w:rPr>
          <w:rFonts w:ascii="Times New Roman" w:hAnsi="Times New Roman"/>
        </w:rPr>
        <w:t xml:space="preserve">. Acesso em: 22 mar. 2015).  </w:t>
      </w:r>
    </w:p>
  </w:footnote>
  <w:footnote w:id="164">
    <w:p w:rsidR="00D549BC" w:rsidRDefault="00D549BC" w:rsidP="00FC6FB7">
      <w:pPr>
        <w:pStyle w:val="FootnoteText"/>
        <w:ind w:firstLine="0"/>
      </w:pPr>
      <w:r w:rsidRPr="0005264B">
        <w:rPr>
          <w:rStyle w:val="FootnoteReference"/>
          <w:rFonts w:ascii="Times New Roman" w:hAnsi="Times New Roman"/>
        </w:rPr>
        <w:footnoteRef/>
      </w:r>
      <w:r w:rsidRPr="0005264B">
        <w:rPr>
          <w:rFonts w:ascii="Times New Roman" w:hAnsi="Times New Roman"/>
        </w:rPr>
        <w:t xml:space="preserve"> </w:t>
      </w:r>
      <w:r>
        <w:rPr>
          <w:rFonts w:ascii="Times New Roman" w:hAnsi="Times New Roman"/>
        </w:rPr>
        <w:t xml:space="preserve">BRASIL. </w:t>
      </w:r>
      <w:r w:rsidRPr="00ED14B9">
        <w:rPr>
          <w:rFonts w:ascii="Times New Roman" w:hAnsi="Times New Roman"/>
        </w:rPr>
        <w:t>Superior Tribunal de Justiça</w:t>
      </w:r>
      <w:r>
        <w:rPr>
          <w:rFonts w:ascii="Times New Roman" w:hAnsi="Times New Roman"/>
        </w:rPr>
        <w:t>. AgRg no AI nº 1.406.354/</w:t>
      </w:r>
      <w:r w:rsidRPr="0005264B">
        <w:rPr>
          <w:rFonts w:ascii="Times New Roman" w:hAnsi="Times New Roman"/>
        </w:rPr>
        <w:t>SC</w:t>
      </w:r>
      <w:r>
        <w:rPr>
          <w:rFonts w:ascii="Times New Roman" w:hAnsi="Times New Roman"/>
        </w:rPr>
        <w:t xml:space="preserve">. </w:t>
      </w:r>
      <w:r w:rsidRPr="0005264B">
        <w:rPr>
          <w:rFonts w:ascii="Times New Roman" w:hAnsi="Times New Roman"/>
        </w:rPr>
        <w:t>Rel. Min. João Otávio de Noronha. DJ</w:t>
      </w:r>
      <w:r>
        <w:rPr>
          <w:rFonts w:ascii="Times New Roman" w:hAnsi="Times New Roman"/>
        </w:rPr>
        <w:t xml:space="preserve">e: </w:t>
      </w:r>
      <w:r w:rsidRPr="0005264B">
        <w:rPr>
          <w:rFonts w:ascii="Times New Roman" w:hAnsi="Times New Roman"/>
        </w:rPr>
        <w:t>07.10.2013</w:t>
      </w:r>
      <w:r>
        <w:rPr>
          <w:rFonts w:ascii="Times New Roman" w:hAnsi="Times New Roman"/>
        </w:rPr>
        <w:t xml:space="preserve">. </w:t>
      </w:r>
      <w:r w:rsidRPr="00FC6FB7">
        <w:rPr>
          <w:rFonts w:ascii="Times New Roman" w:hAnsi="Times New Roman"/>
        </w:rPr>
        <w:t>PROCESSUAL CIVIL. AGRAVO REGIMENTAL. CÓPIA DA PETIÇÃO DE</w:t>
      </w:r>
      <w:r>
        <w:rPr>
          <w:rFonts w:ascii="Times New Roman" w:hAnsi="Times New Roman"/>
        </w:rPr>
        <w:t xml:space="preserve"> </w:t>
      </w:r>
      <w:r w:rsidRPr="00FC6FB7">
        <w:rPr>
          <w:rFonts w:ascii="Times New Roman" w:hAnsi="Times New Roman"/>
        </w:rPr>
        <w:t>INTERPOSIÇÃO DO RECURSO ESPECIAL. CERTIDÃO. CARIMBO DE PROTOCOLO.</w:t>
      </w:r>
      <w:r>
        <w:rPr>
          <w:rFonts w:ascii="Times New Roman" w:hAnsi="Times New Roman"/>
        </w:rPr>
        <w:t xml:space="preserve"> </w:t>
      </w:r>
      <w:r w:rsidRPr="00FC6FB7">
        <w:rPr>
          <w:rFonts w:ascii="Times New Roman" w:hAnsi="Times New Roman"/>
        </w:rPr>
        <w:t>AUSÊNCIA. TEMPESTIVIDADE. AFERIÇÃO INVIÁVEL. JUNTADA TARDIA.</w:t>
      </w:r>
      <w:r>
        <w:rPr>
          <w:rFonts w:ascii="Times New Roman" w:hAnsi="Times New Roman"/>
        </w:rPr>
        <w:t xml:space="preserve"> </w:t>
      </w:r>
      <w:r w:rsidRPr="00FC6FB7">
        <w:rPr>
          <w:rFonts w:ascii="Times New Roman" w:hAnsi="Times New Roman"/>
        </w:rPr>
        <w:t>IMPOSSIBILIDADE.</w:t>
      </w:r>
      <w:r>
        <w:rPr>
          <w:rFonts w:ascii="Times New Roman" w:hAnsi="Times New Roman"/>
        </w:rPr>
        <w:t xml:space="preserve"> </w:t>
      </w:r>
      <w:r w:rsidRPr="00FC6FB7">
        <w:rPr>
          <w:rFonts w:ascii="Times New Roman" w:hAnsi="Times New Roman"/>
        </w:rPr>
        <w:t xml:space="preserve">1. </w:t>
      </w:r>
      <w:r w:rsidRPr="00FC6FB7">
        <w:rPr>
          <w:rFonts w:ascii="Times New Roman" w:hAnsi="Times New Roman"/>
          <w:b/>
        </w:rPr>
        <w:t>O agravo de instrumento mostra-se deficientemente instruído quando, na cópia da petição de interposição do recurso especial,</w:t>
      </w:r>
      <w:r>
        <w:rPr>
          <w:rFonts w:ascii="Times New Roman" w:hAnsi="Times New Roman"/>
          <w:b/>
        </w:rPr>
        <w:t xml:space="preserve"> </w:t>
      </w:r>
      <w:r w:rsidRPr="00FC6FB7">
        <w:rPr>
          <w:rFonts w:ascii="Times New Roman" w:hAnsi="Times New Roman"/>
          <w:b/>
        </w:rPr>
        <w:t>inexiste o carimbo de protocolo ou está ilegível</w:t>
      </w:r>
      <w:r w:rsidRPr="00FC6FB7">
        <w:rPr>
          <w:rFonts w:ascii="Times New Roman" w:hAnsi="Times New Roman"/>
        </w:rPr>
        <w:t>.</w:t>
      </w:r>
      <w:r>
        <w:rPr>
          <w:rFonts w:ascii="Times New Roman" w:hAnsi="Times New Roman"/>
        </w:rPr>
        <w:t xml:space="preserve"> </w:t>
      </w:r>
      <w:r w:rsidRPr="00FC6FB7">
        <w:rPr>
          <w:rFonts w:ascii="Times New Roman" w:hAnsi="Times New Roman"/>
        </w:rPr>
        <w:t xml:space="preserve">2. </w:t>
      </w:r>
      <w:r w:rsidRPr="00FC6FB7">
        <w:rPr>
          <w:rFonts w:ascii="Times New Roman" w:hAnsi="Times New Roman"/>
          <w:b/>
        </w:rPr>
        <w:t>O momento oportuno de juntada das peças obrigatórias em agravo de instrumento é o do ato de interposição, não sendo admitido o traslado extemporâneo em razão da ocorrência da preclusão consumativa</w:t>
      </w:r>
      <w:r w:rsidRPr="00FC6FB7">
        <w:rPr>
          <w:rFonts w:ascii="Times New Roman" w:hAnsi="Times New Roman"/>
        </w:rPr>
        <w:t>.</w:t>
      </w:r>
      <w:r>
        <w:rPr>
          <w:rFonts w:ascii="Times New Roman" w:hAnsi="Times New Roman"/>
        </w:rPr>
        <w:t xml:space="preserve"> </w:t>
      </w:r>
      <w:r w:rsidRPr="00FC6FB7">
        <w:rPr>
          <w:rFonts w:ascii="Times New Roman" w:hAnsi="Times New Roman"/>
        </w:rPr>
        <w:t>3. Agravo regimental desprovido.</w:t>
      </w:r>
      <w:r>
        <w:rPr>
          <w:rFonts w:ascii="Times New Roman" w:hAnsi="Times New Roman"/>
        </w:rPr>
        <w:t xml:space="preserve"> (Disponível em: </w:t>
      </w:r>
      <w:r w:rsidRPr="00E6263A">
        <w:rPr>
          <w:rFonts w:ascii="Times New Roman" w:hAnsi="Times New Roman"/>
        </w:rPr>
        <w:t>https://ww2.stj.jus.br/processo/revista/inteiroteor/?num_registro=201100478922&amp;dt_publicacao=07/10/2013. Acesso em: 22 mar. 2015</w:t>
      </w:r>
      <w:r>
        <w:rPr>
          <w:rFonts w:ascii="Times New Roman" w:hAnsi="Times New Roman"/>
        </w:rPr>
        <w:t xml:space="preserve"> – grifos nossos).  </w:t>
      </w:r>
    </w:p>
  </w:footnote>
  <w:footnote w:id="165">
    <w:p w:rsidR="00D549BC" w:rsidRDefault="00D549BC" w:rsidP="005C1BD6">
      <w:pPr>
        <w:pStyle w:val="FootnoteText"/>
        <w:ind w:firstLine="0"/>
      </w:pPr>
      <w:r w:rsidRPr="00D67650">
        <w:rPr>
          <w:rStyle w:val="FootnoteReference"/>
          <w:rFonts w:ascii="Times New Roman" w:hAnsi="Times New Roman"/>
        </w:rPr>
        <w:footnoteRef/>
      </w:r>
      <w:r w:rsidRPr="00D67650">
        <w:rPr>
          <w:rFonts w:ascii="Times New Roman" w:hAnsi="Times New Roman"/>
        </w:rPr>
        <w:t xml:space="preserve"> BRASIL. </w:t>
      </w:r>
      <w:r w:rsidRPr="00F66435">
        <w:rPr>
          <w:rFonts w:ascii="Times New Roman" w:hAnsi="Times New Roman"/>
        </w:rPr>
        <w:t>Superior Tribunal de Justiça</w:t>
      </w:r>
      <w:r w:rsidRPr="00D67650">
        <w:rPr>
          <w:rFonts w:ascii="Times New Roman" w:hAnsi="Times New Roman"/>
        </w:rPr>
        <w:t xml:space="preserve">. </w:t>
      </w:r>
      <w:r w:rsidRPr="00C15107">
        <w:rPr>
          <w:rFonts w:ascii="Times New Roman" w:hAnsi="Times New Roman"/>
          <w:lang w:val="en-US"/>
        </w:rPr>
        <w:t xml:space="preserve">AgRg no AREsp 66.645/SP. Rel. </w:t>
      </w:r>
      <w:r w:rsidRPr="00D67650">
        <w:rPr>
          <w:rFonts w:ascii="Times New Roman" w:hAnsi="Times New Roman"/>
        </w:rPr>
        <w:t>M</w:t>
      </w:r>
      <w:r>
        <w:rPr>
          <w:rFonts w:ascii="Times New Roman" w:hAnsi="Times New Roman"/>
        </w:rPr>
        <w:t xml:space="preserve">in. Ricardo Villas Bôas Cuevas. </w:t>
      </w:r>
      <w:r w:rsidRPr="00D67650">
        <w:rPr>
          <w:rFonts w:ascii="Times New Roman" w:hAnsi="Times New Roman"/>
        </w:rPr>
        <w:t>DJ</w:t>
      </w:r>
      <w:r>
        <w:rPr>
          <w:rFonts w:ascii="Times New Roman" w:hAnsi="Times New Roman"/>
        </w:rPr>
        <w:t>e</w:t>
      </w:r>
      <w:r w:rsidRPr="00D67650">
        <w:rPr>
          <w:rFonts w:ascii="Times New Roman" w:hAnsi="Times New Roman"/>
        </w:rPr>
        <w:t>: 20.10.2013.</w:t>
      </w:r>
      <w:r>
        <w:rPr>
          <w:rFonts w:ascii="Times New Roman" w:hAnsi="Times New Roman"/>
        </w:rPr>
        <w:t xml:space="preserve"> </w:t>
      </w:r>
      <w:r w:rsidRPr="005C1BD6">
        <w:rPr>
          <w:rFonts w:ascii="Times New Roman" w:hAnsi="Times New Roman"/>
        </w:rPr>
        <w:t>EMENTA</w:t>
      </w:r>
      <w:r>
        <w:rPr>
          <w:rFonts w:ascii="Times New Roman" w:hAnsi="Times New Roman"/>
        </w:rPr>
        <w:t xml:space="preserve">: </w:t>
      </w:r>
      <w:r w:rsidRPr="005C1BD6">
        <w:rPr>
          <w:rFonts w:ascii="Times New Roman" w:hAnsi="Times New Roman"/>
        </w:rPr>
        <w:t>AGRAVO REGIMENTAL NO AGRAVO EM RECURSO ESPECIAL. PROCESSUAL.</w:t>
      </w:r>
      <w:r>
        <w:rPr>
          <w:rFonts w:ascii="Times New Roman" w:hAnsi="Times New Roman"/>
        </w:rPr>
        <w:t xml:space="preserve"> </w:t>
      </w:r>
      <w:r w:rsidRPr="005C1BD6">
        <w:rPr>
          <w:rFonts w:ascii="Times New Roman" w:hAnsi="Times New Roman"/>
        </w:rPr>
        <w:t xml:space="preserve">ADMISSIBILIDADE. </w:t>
      </w:r>
      <w:r w:rsidRPr="005C1BD6">
        <w:rPr>
          <w:rFonts w:ascii="Times New Roman" w:hAnsi="Times New Roman"/>
          <w:b/>
        </w:rPr>
        <w:t>DOIS PROTOCOLOS DO AGRAVO</w:t>
      </w:r>
      <w:r w:rsidRPr="005C1BD6">
        <w:rPr>
          <w:rFonts w:ascii="Times New Roman" w:hAnsi="Times New Roman"/>
        </w:rPr>
        <w:t xml:space="preserve">. </w:t>
      </w:r>
      <w:r w:rsidRPr="005C1BD6">
        <w:rPr>
          <w:rFonts w:ascii="Times New Roman" w:hAnsi="Times New Roman"/>
          <w:b/>
        </w:rPr>
        <w:t>PRIMEIRO AGRAVO ILEGÍVEL</w:t>
      </w:r>
      <w:r w:rsidRPr="005C1BD6">
        <w:rPr>
          <w:rFonts w:ascii="Times New Roman" w:hAnsi="Times New Roman"/>
        </w:rPr>
        <w:t xml:space="preserve">. </w:t>
      </w:r>
      <w:r w:rsidRPr="005C1BD6">
        <w:rPr>
          <w:rFonts w:ascii="Times New Roman" w:hAnsi="Times New Roman"/>
          <w:b/>
        </w:rPr>
        <w:t>IMPOSSIBILIDADE DE AFERIÇÃO DA TEMPESTIVIDADE POR OUTROS MEIOS</w:t>
      </w:r>
      <w:r w:rsidRPr="005C1BD6">
        <w:rPr>
          <w:rFonts w:ascii="Times New Roman" w:hAnsi="Times New Roman"/>
        </w:rPr>
        <w:t xml:space="preserve">. </w:t>
      </w:r>
      <w:r w:rsidRPr="005C1BD6">
        <w:rPr>
          <w:rFonts w:ascii="Times New Roman" w:hAnsi="Times New Roman"/>
          <w:b/>
        </w:rPr>
        <w:t>SEGUNDO AGRAVO INTEMPESTIVO</w:t>
      </w:r>
      <w:r w:rsidRPr="005C1BD6">
        <w:rPr>
          <w:rFonts w:ascii="Times New Roman" w:hAnsi="Times New Roman"/>
        </w:rPr>
        <w:t>. COMPROVAÇÃO.</w:t>
      </w:r>
      <w:r>
        <w:rPr>
          <w:rFonts w:ascii="Times New Roman" w:hAnsi="Times New Roman"/>
        </w:rPr>
        <w:t xml:space="preserve"> </w:t>
      </w:r>
      <w:r w:rsidRPr="005C1BD6">
        <w:rPr>
          <w:rFonts w:ascii="Times New Roman" w:hAnsi="Times New Roman"/>
        </w:rPr>
        <w:t>SUSPENSÃO DOS PRAZOS. ATO DA INTERPOSIÇÃO DO RECURSO.</w:t>
      </w:r>
      <w:r>
        <w:rPr>
          <w:rFonts w:ascii="Times New Roman" w:hAnsi="Times New Roman"/>
        </w:rPr>
        <w:t xml:space="preserve"> </w:t>
      </w:r>
      <w:r w:rsidRPr="005C1BD6">
        <w:rPr>
          <w:rFonts w:ascii="Times New Roman" w:hAnsi="Times New Roman"/>
        </w:rPr>
        <w:t>SUPRIMENTO POSTERIOR. INVIABILIDADE.</w:t>
      </w:r>
      <w:r>
        <w:rPr>
          <w:rFonts w:ascii="Times New Roman" w:hAnsi="Times New Roman"/>
        </w:rPr>
        <w:t xml:space="preserve"> (Disponível em: </w:t>
      </w:r>
      <w:r w:rsidRPr="00F66435">
        <w:rPr>
          <w:rFonts w:ascii="Times New Roman" w:hAnsi="Times New Roman"/>
        </w:rPr>
        <w:t>https://ww2.stj.jus.br/processo/revista/inteiroteor/?num_registro=201101774961&amp;dt_publicacao=28/10/2013</w:t>
      </w:r>
      <w:r>
        <w:rPr>
          <w:rFonts w:ascii="Times New Roman" w:hAnsi="Times New Roman"/>
        </w:rPr>
        <w:t xml:space="preserve">. Acesso em: 22 mar. 2015 – grifos nossos). </w:t>
      </w:r>
    </w:p>
  </w:footnote>
  <w:footnote w:id="166">
    <w:p w:rsidR="00D549BC" w:rsidRDefault="00D549BC" w:rsidP="00C70FF5">
      <w:pPr>
        <w:pStyle w:val="FootnoteText"/>
        <w:ind w:firstLine="0"/>
      </w:pPr>
      <w:r w:rsidRPr="00C70FF5">
        <w:rPr>
          <w:rStyle w:val="FootnoteReference"/>
          <w:rFonts w:ascii="Times New Roman" w:hAnsi="Times New Roman"/>
        </w:rPr>
        <w:footnoteRef/>
      </w:r>
      <w:r>
        <w:rPr>
          <w:rFonts w:ascii="Times New Roman" w:hAnsi="Times New Roman"/>
        </w:rPr>
        <w:t xml:space="preserve"> </w:t>
      </w:r>
      <w:r w:rsidRPr="00C70FF5">
        <w:rPr>
          <w:rFonts w:ascii="Times New Roman" w:hAnsi="Times New Roman"/>
        </w:rPr>
        <w:t xml:space="preserve">BRASIL. </w:t>
      </w:r>
      <w:r w:rsidRPr="00995588">
        <w:rPr>
          <w:rFonts w:ascii="Times New Roman" w:hAnsi="Times New Roman"/>
        </w:rPr>
        <w:t>Supremo Tribunal Federal</w:t>
      </w:r>
      <w:r w:rsidRPr="00C70FF5">
        <w:rPr>
          <w:rFonts w:ascii="Times New Roman" w:hAnsi="Times New Roman"/>
        </w:rPr>
        <w:t>. RE 611</w:t>
      </w:r>
      <w:r>
        <w:rPr>
          <w:rFonts w:ascii="Times New Roman" w:hAnsi="Times New Roman"/>
        </w:rPr>
        <w:t>.</w:t>
      </w:r>
      <w:r w:rsidRPr="00C70FF5">
        <w:rPr>
          <w:rFonts w:ascii="Times New Roman" w:hAnsi="Times New Roman"/>
        </w:rPr>
        <w:t>743 AgR/PR. Rel. Min. Luiz Fux. DJ</w:t>
      </w:r>
      <w:r>
        <w:rPr>
          <w:rFonts w:ascii="Times New Roman" w:hAnsi="Times New Roman"/>
        </w:rPr>
        <w:t>e</w:t>
      </w:r>
      <w:r w:rsidRPr="00C70FF5">
        <w:rPr>
          <w:rFonts w:ascii="Times New Roman" w:hAnsi="Times New Roman"/>
        </w:rPr>
        <w:t>: 07.11.2012.</w:t>
      </w:r>
      <w:r>
        <w:rPr>
          <w:rFonts w:ascii="Times New Roman" w:hAnsi="Times New Roman"/>
        </w:rPr>
        <w:t xml:space="preserve"> Dispon</w:t>
      </w:r>
      <w:r w:rsidRPr="00B94D3D">
        <w:rPr>
          <w:rFonts w:ascii="Times New Roman" w:hAnsi="Times New Roman"/>
        </w:rPr>
        <w:t>ív</w:t>
      </w:r>
      <w:r>
        <w:rPr>
          <w:rFonts w:ascii="Times New Roman" w:hAnsi="Times New Roman"/>
        </w:rPr>
        <w:t xml:space="preserve">el em: </w:t>
      </w:r>
      <w:r w:rsidRPr="00995588">
        <w:rPr>
          <w:rFonts w:ascii="Times New Roman" w:hAnsi="Times New Roman"/>
        </w:rPr>
        <w:t>http://redir.stf.jus.br/paginadorpub/paginador.jsp?docTP=TP&amp;docID=3058921</w:t>
      </w:r>
      <w:r>
        <w:rPr>
          <w:rFonts w:ascii="Times New Roman" w:hAnsi="Times New Roman"/>
        </w:rPr>
        <w:t xml:space="preserve">. Acesso em: 22 mar. 2015. </w:t>
      </w:r>
    </w:p>
  </w:footnote>
  <w:footnote w:id="167">
    <w:p w:rsidR="00D549BC" w:rsidRDefault="00D549BC" w:rsidP="00C15107">
      <w:pPr>
        <w:pStyle w:val="FootnoteText"/>
        <w:ind w:firstLine="0"/>
      </w:pPr>
      <w:r w:rsidRPr="00C15107">
        <w:rPr>
          <w:rStyle w:val="FootnoteReference"/>
          <w:rFonts w:ascii="Times New Roman" w:hAnsi="Times New Roman"/>
        </w:rPr>
        <w:footnoteRef/>
      </w:r>
      <w:r w:rsidRPr="00C15107">
        <w:rPr>
          <w:rFonts w:ascii="Times New Roman" w:hAnsi="Times New Roman"/>
        </w:rPr>
        <w:t xml:space="preserve"> </w:t>
      </w:r>
      <w:r>
        <w:rPr>
          <w:rFonts w:ascii="Times New Roman" w:hAnsi="Times New Roman"/>
        </w:rPr>
        <w:t xml:space="preserve">V. nota de rodapé nº 8. </w:t>
      </w:r>
    </w:p>
  </w:footnote>
  <w:footnote w:id="168">
    <w:p w:rsidR="00D549BC" w:rsidRDefault="00D549BC" w:rsidP="00080B1C">
      <w:pPr>
        <w:pStyle w:val="FootnoteText"/>
        <w:ind w:firstLine="0"/>
      </w:pPr>
      <w:r w:rsidRPr="00080B1C">
        <w:rPr>
          <w:rStyle w:val="FootnoteReference"/>
          <w:rFonts w:ascii="Times New Roman" w:hAnsi="Times New Roman"/>
        </w:rPr>
        <w:footnoteRef/>
      </w:r>
      <w:r w:rsidRPr="00080B1C">
        <w:rPr>
          <w:rFonts w:ascii="Times New Roman" w:hAnsi="Times New Roman"/>
        </w:rPr>
        <w:t xml:space="preserve"> EMENTA</w:t>
      </w:r>
      <w:r>
        <w:rPr>
          <w:rFonts w:ascii="Times New Roman" w:hAnsi="Times New Roman"/>
        </w:rPr>
        <w:t xml:space="preserve"> </w:t>
      </w:r>
      <w:r w:rsidRPr="00080B1C">
        <w:rPr>
          <w:rFonts w:ascii="Times New Roman" w:hAnsi="Times New Roman"/>
        </w:rPr>
        <w:t>PROCESSUAL CIVIL. AGRAVO REGIMENTAL NO AGRAVO EM RECURSO</w:t>
      </w:r>
      <w:r>
        <w:rPr>
          <w:rFonts w:ascii="Times New Roman" w:hAnsi="Times New Roman"/>
        </w:rPr>
        <w:t xml:space="preserve"> </w:t>
      </w:r>
      <w:r w:rsidRPr="00080B1C">
        <w:rPr>
          <w:rFonts w:ascii="Times New Roman" w:hAnsi="Times New Roman"/>
        </w:rPr>
        <w:t>ESPECIAL. TEMPESTIVIDADE. FERIADO LOCAL. COMPROVAÇÃO</w:t>
      </w:r>
      <w:r>
        <w:rPr>
          <w:rFonts w:ascii="Times New Roman" w:hAnsi="Times New Roman"/>
        </w:rPr>
        <w:t xml:space="preserve"> </w:t>
      </w:r>
      <w:r w:rsidRPr="00080B1C">
        <w:rPr>
          <w:rFonts w:ascii="Times New Roman" w:hAnsi="Times New Roman"/>
        </w:rPr>
        <w:t>POSTERIOR. POSSIBILIDADE. MUDANÇA DE ENTENDIMENTO.</w:t>
      </w:r>
      <w:r>
        <w:rPr>
          <w:rFonts w:ascii="Times New Roman" w:hAnsi="Times New Roman"/>
        </w:rPr>
        <w:t xml:space="preserve"> </w:t>
      </w:r>
      <w:r w:rsidRPr="00080B1C">
        <w:rPr>
          <w:rFonts w:ascii="Times New Roman" w:hAnsi="Times New Roman"/>
        </w:rPr>
        <w:t>1. A comprovação da tempestividade do recurso especial, em decorrência de feriado local ou de suspensão de expediente forense no Tribunal de origem que implique prorrogação do termo final para sua interposição, pode ocorrer posteriormente, em sede de agravo regimental. Precedentes do STF e do STJ. 2. Agravo regimental provido, para afastar a intempestividade do recurso especial.</w:t>
      </w:r>
      <w:r>
        <w:rPr>
          <w:rFonts w:ascii="Times New Roman" w:hAnsi="Times New Roman"/>
        </w:rPr>
        <w:t xml:space="preserve"> (</w:t>
      </w:r>
      <w:r w:rsidRPr="00080B1C">
        <w:rPr>
          <w:rFonts w:ascii="Times New Roman" w:hAnsi="Times New Roman"/>
        </w:rPr>
        <w:t xml:space="preserve">BRASIL. </w:t>
      </w:r>
      <w:r w:rsidRPr="001B531D">
        <w:rPr>
          <w:rFonts w:ascii="Times New Roman" w:hAnsi="Times New Roman"/>
        </w:rPr>
        <w:t>Superior Tribunal de Justiça</w:t>
      </w:r>
      <w:r w:rsidRPr="00080B1C">
        <w:rPr>
          <w:rFonts w:ascii="Times New Roman" w:hAnsi="Times New Roman"/>
        </w:rPr>
        <w:t>. AgRg no AREsp 137</w:t>
      </w:r>
      <w:r>
        <w:rPr>
          <w:rFonts w:ascii="Times New Roman" w:hAnsi="Times New Roman"/>
        </w:rPr>
        <w:t>.</w:t>
      </w:r>
      <w:r w:rsidRPr="00080B1C">
        <w:rPr>
          <w:rFonts w:ascii="Times New Roman" w:hAnsi="Times New Roman"/>
        </w:rPr>
        <w:t>141/SE. Rel. Min. Antônio Carlos Ferreira. DJ</w:t>
      </w:r>
      <w:r>
        <w:rPr>
          <w:rFonts w:ascii="Times New Roman" w:hAnsi="Times New Roman"/>
        </w:rPr>
        <w:t>e</w:t>
      </w:r>
      <w:r w:rsidRPr="00080B1C">
        <w:rPr>
          <w:rFonts w:ascii="Times New Roman" w:hAnsi="Times New Roman"/>
        </w:rPr>
        <w:t>: 15.10.2012</w:t>
      </w:r>
      <w:r>
        <w:rPr>
          <w:rFonts w:ascii="Times New Roman" w:hAnsi="Times New Roman"/>
        </w:rPr>
        <w:t xml:space="preserve">. Disponível em: </w:t>
      </w:r>
      <w:r w:rsidRPr="00A015F6">
        <w:rPr>
          <w:rFonts w:ascii="Times New Roman" w:hAnsi="Times New Roman"/>
        </w:rPr>
        <w:t>https://ww2.stj.jus.br/processo/revista/inteiroteor/?num_registro=201200126420&amp;dt_publicacao=15/10/2012</w:t>
      </w:r>
      <w:r>
        <w:rPr>
          <w:rFonts w:ascii="Times New Roman" w:hAnsi="Times New Roman"/>
        </w:rPr>
        <w:t>. Acesso em: 22 mar. 2015)</w:t>
      </w:r>
    </w:p>
  </w:footnote>
  <w:footnote w:id="169">
    <w:p w:rsidR="00D549BC" w:rsidRDefault="00D549BC" w:rsidP="00F00F24">
      <w:pPr>
        <w:pStyle w:val="FootnoteText"/>
        <w:ind w:firstLine="0"/>
      </w:pPr>
      <w:r w:rsidRPr="008B3B08">
        <w:rPr>
          <w:rStyle w:val="FootnoteReference"/>
          <w:rFonts w:ascii="Times New Roman" w:hAnsi="Times New Roman"/>
        </w:rPr>
        <w:footnoteRef/>
      </w:r>
      <w:r w:rsidRPr="008B3B08">
        <w:rPr>
          <w:rFonts w:ascii="Times New Roman" w:hAnsi="Times New Roman"/>
        </w:rPr>
        <w:t xml:space="preserve"> </w:t>
      </w:r>
      <w:r w:rsidRPr="00F00F24">
        <w:rPr>
          <w:rFonts w:ascii="Times New Roman" w:hAnsi="Times New Roman"/>
        </w:rPr>
        <w:t>EMENTA: RECURSO. Extraordinário. Prazo. Cômputo.</w:t>
      </w:r>
      <w:r>
        <w:rPr>
          <w:rFonts w:ascii="Times New Roman" w:hAnsi="Times New Roman"/>
        </w:rPr>
        <w:t xml:space="preserve"> </w:t>
      </w:r>
      <w:r w:rsidRPr="00F00F24">
        <w:rPr>
          <w:rFonts w:ascii="Times New Roman" w:hAnsi="Times New Roman"/>
          <w:b/>
        </w:rPr>
        <w:t>Intercorrência de causa legal de prorrogação</w:t>
      </w:r>
      <w:r w:rsidRPr="00F00F24">
        <w:rPr>
          <w:rFonts w:ascii="Times New Roman" w:hAnsi="Times New Roman"/>
        </w:rPr>
        <w:t xml:space="preserve">. </w:t>
      </w:r>
      <w:r w:rsidRPr="00F00F24">
        <w:rPr>
          <w:rFonts w:ascii="Times New Roman" w:hAnsi="Times New Roman"/>
          <w:b/>
        </w:rPr>
        <w:t>Termo final diferido</w:t>
      </w:r>
      <w:r w:rsidRPr="00F00F24">
        <w:rPr>
          <w:rFonts w:ascii="Times New Roman" w:hAnsi="Times New Roman"/>
        </w:rPr>
        <w:t>.</w:t>
      </w:r>
      <w:r>
        <w:rPr>
          <w:rFonts w:ascii="Times New Roman" w:hAnsi="Times New Roman"/>
        </w:rPr>
        <w:t xml:space="preserve"> </w:t>
      </w:r>
      <w:r w:rsidRPr="00F00F24">
        <w:rPr>
          <w:rFonts w:ascii="Times New Roman" w:hAnsi="Times New Roman"/>
          <w:b/>
        </w:rPr>
        <w:t>Suspensão legal do expediente forense no juízo de origem</w:t>
      </w:r>
      <w:r w:rsidRPr="00F00F24">
        <w:rPr>
          <w:rFonts w:ascii="Times New Roman" w:hAnsi="Times New Roman"/>
        </w:rPr>
        <w:t xml:space="preserve">. </w:t>
      </w:r>
      <w:r w:rsidRPr="00F00F24">
        <w:rPr>
          <w:rFonts w:ascii="Times New Roman" w:hAnsi="Times New Roman"/>
          <w:b/>
        </w:rPr>
        <w:t>Interposição do recurso no termo prorrogado</w:t>
      </w:r>
      <w:r w:rsidRPr="00F00F24">
        <w:rPr>
          <w:rFonts w:ascii="Times New Roman" w:hAnsi="Times New Roman"/>
        </w:rPr>
        <w:t xml:space="preserve">. </w:t>
      </w:r>
      <w:r w:rsidRPr="00F00F24">
        <w:rPr>
          <w:rFonts w:ascii="Times New Roman" w:hAnsi="Times New Roman"/>
          <w:b/>
        </w:rPr>
        <w:t>Prova da causa de prorrogação só juntada em agravo regimental</w:t>
      </w:r>
      <w:r w:rsidRPr="00F00F24">
        <w:rPr>
          <w:rFonts w:ascii="Times New Roman" w:hAnsi="Times New Roman"/>
        </w:rPr>
        <w:t xml:space="preserve">. </w:t>
      </w:r>
      <w:r w:rsidRPr="00F00F24">
        <w:rPr>
          <w:rFonts w:ascii="Times New Roman" w:hAnsi="Times New Roman"/>
          <w:b/>
        </w:rPr>
        <w:t>Admissibilidade</w:t>
      </w:r>
      <w:r w:rsidRPr="00F00F24">
        <w:rPr>
          <w:rFonts w:ascii="Times New Roman" w:hAnsi="Times New Roman"/>
        </w:rPr>
        <w:t xml:space="preserve">. </w:t>
      </w:r>
      <w:r w:rsidRPr="00F00F24">
        <w:rPr>
          <w:rFonts w:ascii="Times New Roman" w:hAnsi="Times New Roman"/>
          <w:b/>
        </w:rPr>
        <w:t>Presunção de boa-fé do recorrente</w:t>
      </w:r>
      <w:r w:rsidRPr="00F00F24">
        <w:rPr>
          <w:rFonts w:ascii="Times New Roman" w:hAnsi="Times New Roman"/>
        </w:rPr>
        <w:t xml:space="preserve">. </w:t>
      </w:r>
      <w:r w:rsidRPr="00F00F24">
        <w:rPr>
          <w:rFonts w:ascii="Times New Roman" w:hAnsi="Times New Roman"/>
          <w:b/>
        </w:rPr>
        <w:t>Tempestividade reconhecida</w:t>
      </w:r>
      <w:r w:rsidRPr="00F00F24">
        <w:rPr>
          <w:rFonts w:ascii="Times New Roman" w:hAnsi="Times New Roman"/>
        </w:rPr>
        <w:t xml:space="preserve">. </w:t>
      </w:r>
      <w:r w:rsidRPr="00F00F24">
        <w:rPr>
          <w:rFonts w:ascii="Times New Roman" w:hAnsi="Times New Roman"/>
          <w:b/>
        </w:rPr>
        <w:t>Mudança de entendimento do Plenário da Corte</w:t>
      </w:r>
      <w:r w:rsidRPr="00F00F24">
        <w:rPr>
          <w:rFonts w:ascii="Times New Roman" w:hAnsi="Times New Roman"/>
        </w:rPr>
        <w:t>. Agravo regimental provido. Voto vencido. Pode a</w:t>
      </w:r>
      <w:r>
        <w:rPr>
          <w:rFonts w:ascii="Times New Roman" w:hAnsi="Times New Roman"/>
        </w:rPr>
        <w:t xml:space="preserve"> </w:t>
      </w:r>
      <w:r w:rsidRPr="00F00F24">
        <w:rPr>
          <w:rFonts w:ascii="Times New Roman" w:hAnsi="Times New Roman"/>
        </w:rPr>
        <w:t>parte fazer eficazmente, perante o Supremo, em agravo regimental, prova</w:t>
      </w:r>
      <w:r>
        <w:rPr>
          <w:rFonts w:ascii="Times New Roman" w:hAnsi="Times New Roman"/>
        </w:rPr>
        <w:t xml:space="preserve"> </w:t>
      </w:r>
      <w:r w:rsidRPr="00F00F24">
        <w:rPr>
          <w:rFonts w:ascii="Times New Roman" w:hAnsi="Times New Roman"/>
        </w:rPr>
        <w:t>de causa local de prorrogação do prazo de interposição e da consequente</w:t>
      </w:r>
      <w:r>
        <w:rPr>
          <w:rFonts w:ascii="Times New Roman" w:hAnsi="Times New Roman"/>
        </w:rPr>
        <w:t xml:space="preserve"> </w:t>
      </w:r>
      <w:r w:rsidRPr="00F00F24">
        <w:rPr>
          <w:rFonts w:ascii="Times New Roman" w:hAnsi="Times New Roman"/>
        </w:rPr>
        <w:t>tempestividade de recurso extraordinário.</w:t>
      </w:r>
      <w:r>
        <w:rPr>
          <w:rFonts w:ascii="Times New Roman" w:hAnsi="Times New Roman"/>
        </w:rPr>
        <w:t xml:space="preserve"> (</w:t>
      </w:r>
      <w:r w:rsidRPr="00F00F24">
        <w:rPr>
          <w:rFonts w:ascii="Times New Roman" w:hAnsi="Times New Roman"/>
        </w:rPr>
        <w:t xml:space="preserve">BRASIL. </w:t>
      </w:r>
      <w:r w:rsidRPr="00A015F6">
        <w:rPr>
          <w:rFonts w:ascii="Times New Roman" w:hAnsi="Times New Roman"/>
        </w:rPr>
        <w:t>Supremo Tribunal Federal</w:t>
      </w:r>
      <w:r w:rsidRPr="00F00F24">
        <w:rPr>
          <w:rFonts w:ascii="Times New Roman" w:hAnsi="Times New Roman"/>
        </w:rPr>
        <w:t>. RE 626</w:t>
      </w:r>
      <w:r>
        <w:rPr>
          <w:rFonts w:ascii="Times New Roman" w:hAnsi="Times New Roman"/>
        </w:rPr>
        <w:t>.</w:t>
      </w:r>
      <w:r w:rsidRPr="00F00F24">
        <w:rPr>
          <w:rFonts w:ascii="Times New Roman" w:hAnsi="Times New Roman"/>
        </w:rPr>
        <w:t>358 AgR/MG. Rel. Min. Cezar Peluso. DJ</w:t>
      </w:r>
      <w:r>
        <w:rPr>
          <w:rFonts w:ascii="Times New Roman" w:hAnsi="Times New Roman"/>
        </w:rPr>
        <w:t>e</w:t>
      </w:r>
      <w:r w:rsidRPr="00F00F24">
        <w:rPr>
          <w:rFonts w:ascii="Times New Roman" w:hAnsi="Times New Roman"/>
        </w:rPr>
        <w:t>: 23.08.2012.</w:t>
      </w:r>
      <w:r>
        <w:rPr>
          <w:rFonts w:ascii="Times New Roman" w:hAnsi="Times New Roman"/>
        </w:rPr>
        <w:t xml:space="preserve"> Disponível em: </w:t>
      </w:r>
      <w:r w:rsidRPr="00A015F6">
        <w:rPr>
          <w:rFonts w:ascii="Times New Roman" w:hAnsi="Times New Roman"/>
          <w:sz w:val="18"/>
        </w:rPr>
        <w:t>http://redir.stf.jus.br/paginadorpub/paginador.jsp?docTP=TP&amp;docID=2613070</w:t>
      </w:r>
      <w:r>
        <w:rPr>
          <w:rFonts w:ascii="Times New Roman" w:hAnsi="Times New Roman"/>
        </w:rPr>
        <w:t xml:space="preserve">. Acesso em: 22 mar. 2015 – grifos nossos). </w:t>
      </w:r>
    </w:p>
  </w:footnote>
  <w:footnote w:id="170">
    <w:p w:rsidR="00D549BC" w:rsidRDefault="00D549BC" w:rsidP="00DB6D2B">
      <w:pPr>
        <w:pStyle w:val="FootnoteText"/>
        <w:ind w:firstLine="0"/>
        <w:rPr>
          <w:rFonts w:ascii="Times New Roman" w:hAnsi="Times New Roman"/>
        </w:rPr>
      </w:pPr>
      <w:r w:rsidRPr="00DB6D2B">
        <w:rPr>
          <w:rStyle w:val="FootnoteReference"/>
          <w:rFonts w:ascii="Times New Roman" w:hAnsi="Times New Roman"/>
        </w:rPr>
        <w:footnoteRef/>
      </w:r>
      <w:r w:rsidRPr="00DB6D2B">
        <w:rPr>
          <w:rFonts w:ascii="Times New Roman" w:hAnsi="Times New Roman"/>
        </w:rPr>
        <w:t xml:space="preserve"> Art. 1.003.  O prazo para interposição de recurso conta-se da data em que os advogados, a sociedade de advogados, a Advocacia Pública, a Defensoria Pública ou o Ministério Público são intimados da decisão.</w:t>
      </w:r>
      <w:r>
        <w:rPr>
          <w:rFonts w:ascii="Times New Roman" w:hAnsi="Times New Roman"/>
        </w:rPr>
        <w:t xml:space="preserve"> (...) </w:t>
      </w:r>
    </w:p>
    <w:p w:rsidR="00D549BC" w:rsidRDefault="00D549BC" w:rsidP="00DB6D2B">
      <w:pPr>
        <w:pStyle w:val="FootnoteText"/>
        <w:ind w:firstLine="0"/>
      </w:pPr>
      <w:r>
        <w:rPr>
          <w:rFonts w:ascii="Times New Roman" w:hAnsi="Times New Roman"/>
        </w:rPr>
        <w:t>§ 6º</w:t>
      </w:r>
      <w:r w:rsidRPr="00DB6D2B">
        <w:rPr>
          <w:rFonts w:ascii="Times New Roman" w:hAnsi="Times New Roman"/>
        </w:rPr>
        <w:t xml:space="preserve"> </w:t>
      </w:r>
      <w:r w:rsidRPr="00DB6D2B">
        <w:rPr>
          <w:rFonts w:ascii="Times New Roman" w:hAnsi="Times New Roman"/>
          <w:i/>
        </w:rPr>
        <w:t>O recorrente comprovará a ocorrência de feriado local no ato de interposição do recurso</w:t>
      </w:r>
      <w:r w:rsidRPr="00DB6D2B">
        <w:rPr>
          <w:rFonts w:ascii="Times New Roman" w:hAnsi="Times New Roman"/>
        </w:rPr>
        <w:t>.</w:t>
      </w:r>
      <w:r>
        <w:rPr>
          <w:rFonts w:ascii="Times New Roman" w:hAnsi="Times New Roman"/>
        </w:rPr>
        <w:t xml:space="preserve"> (BRASIL. </w:t>
      </w:r>
      <w:r w:rsidRPr="00A015F6">
        <w:rPr>
          <w:rFonts w:ascii="Times New Roman" w:hAnsi="Times New Roman"/>
        </w:rPr>
        <w:t>Planalto</w:t>
      </w:r>
      <w:r>
        <w:rPr>
          <w:rFonts w:ascii="Times New Roman" w:hAnsi="Times New Roman"/>
        </w:rPr>
        <w:t xml:space="preserve">. Lei 13.105, de 16 de março de 2015 – Código de Processo Civil. Disponível em: </w:t>
      </w:r>
      <w:r w:rsidRPr="00A015F6">
        <w:rPr>
          <w:rFonts w:ascii="Times New Roman" w:hAnsi="Times New Roman"/>
        </w:rPr>
        <w:t>http://www.planalto.gov.br/ccivil_03/_Ato2015-2018/2015/Lei/L13105.htm#art1046</w:t>
      </w:r>
      <w:r>
        <w:rPr>
          <w:rFonts w:ascii="Times New Roman" w:hAnsi="Times New Roman"/>
        </w:rPr>
        <w:t xml:space="preserve">. Acesso em: 23 mar. 2015 – grifos nossos).  </w:t>
      </w:r>
    </w:p>
  </w:footnote>
  <w:footnote w:id="171">
    <w:p w:rsidR="00D549BC" w:rsidRDefault="00D549BC" w:rsidP="00DB6D2B">
      <w:pPr>
        <w:pStyle w:val="FootnoteText"/>
        <w:ind w:firstLine="0"/>
      </w:pPr>
      <w:r w:rsidRPr="00DB6D2B">
        <w:rPr>
          <w:rStyle w:val="FootnoteReference"/>
          <w:rFonts w:ascii="Times New Roman" w:hAnsi="Times New Roman"/>
        </w:rPr>
        <w:footnoteRef/>
      </w:r>
      <w:r w:rsidRPr="00DB6D2B">
        <w:rPr>
          <w:rFonts w:ascii="Times New Roman" w:hAnsi="Times New Roman"/>
        </w:rPr>
        <w:t xml:space="preserve"> </w:t>
      </w:r>
      <w:r>
        <w:rPr>
          <w:rFonts w:ascii="Times New Roman" w:hAnsi="Times New Roman"/>
        </w:rPr>
        <w:t>Súmula 115 do STJ: “</w:t>
      </w:r>
      <w:r w:rsidRPr="00DB6D2B">
        <w:rPr>
          <w:rFonts w:ascii="Times New Roman" w:hAnsi="Times New Roman"/>
          <w:i/>
        </w:rPr>
        <w:t>Na instância especial é inexistente recurso interposto por advogado sem procuração nos autos</w:t>
      </w:r>
      <w:r>
        <w:rPr>
          <w:rFonts w:ascii="Times New Roman" w:hAnsi="Times New Roman"/>
        </w:rPr>
        <w:t>”</w:t>
      </w:r>
      <w:r w:rsidRPr="00DB6D2B">
        <w:rPr>
          <w:rFonts w:ascii="Times New Roman" w:hAnsi="Times New Roman"/>
        </w:rPr>
        <w:t>.</w:t>
      </w:r>
      <w:r>
        <w:rPr>
          <w:rFonts w:ascii="Times New Roman" w:hAnsi="Times New Roman"/>
        </w:rPr>
        <w:t xml:space="preserve"> </w:t>
      </w:r>
    </w:p>
  </w:footnote>
  <w:footnote w:id="172">
    <w:p w:rsidR="00D549BC" w:rsidRDefault="00D549BC" w:rsidP="006C71BA">
      <w:pPr>
        <w:pStyle w:val="FootnoteText"/>
        <w:ind w:firstLine="0"/>
      </w:pPr>
      <w:r w:rsidRPr="005C0CFD">
        <w:rPr>
          <w:rStyle w:val="FootnoteReference"/>
          <w:rFonts w:ascii="Times New Roman" w:hAnsi="Times New Roman"/>
        </w:rPr>
        <w:footnoteRef/>
      </w:r>
      <w:r w:rsidRPr="005C0CFD">
        <w:rPr>
          <w:rFonts w:ascii="Times New Roman" w:hAnsi="Times New Roman"/>
        </w:rPr>
        <w:t xml:space="preserve"> </w:t>
      </w:r>
      <w:r w:rsidRPr="006C71BA">
        <w:rPr>
          <w:rFonts w:ascii="Times New Roman" w:hAnsi="Times New Roman"/>
        </w:rPr>
        <w:t>EMENTA: AGRAVO REGIMENTAL EM RECURSO</w:t>
      </w:r>
      <w:r>
        <w:rPr>
          <w:rFonts w:ascii="Times New Roman" w:hAnsi="Times New Roman"/>
        </w:rPr>
        <w:t xml:space="preserve"> </w:t>
      </w:r>
      <w:r w:rsidRPr="006C71BA">
        <w:rPr>
          <w:rFonts w:ascii="Times New Roman" w:hAnsi="Times New Roman"/>
        </w:rPr>
        <w:t>EXTRAORDINÁRIO</w:t>
      </w:r>
      <w:r>
        <w:rPr>
          <w:rFonts w:ascii="Times New Roman" w:hAnsi="Times New Roman"/>
        </w:rPr>
        <w:t xml:space="preserve">. RECURSO ASSINADO POR ADVOGADO </w:t>
      </w:r>
      <w:r w:rsidRPr="006C71BA">
        <w:rPr>
          <w:rFonts w:ascii="Times New Roman" w:hAnsi="Times New Roman"/>
        </w:rPr>
        <w:t>SEM</w:t>
      </w:r>
      <w:r>
        <w:rPr>
          <w:rFonts w:ascii="Times New Roman" w:hAnsi="Times New Roman"/>
        </w:rPr>
        <w:t xml:space="preserve"> </w:t>
      </w:r>
      <w:r w:rsidRPr="006C71BA">
        <w:rPr>
          <w:rFonts w:ascii="Times New Roman" w:hAnsi="Times New Roman"/>
        </w:rPr>
        <w:t>PROCURAÇÃO NOS AUTOS. AGRAVO REGIMENTAL INEXISTENTE.</w:t>
      </w:r>
      <w:r>
        <w:rPr>
          <w:rFonts w:ascii="Times New Roman" w:hAnsi="Times New Roman"/>
        </w:rPr>
        <w:t xml:space="preserve"> </w:t>
      </w:r>
      <w:r w:rsidRPr="006C71BA">
        <w:rPr>
          <w:rFonts w:ascii="Times New Roman" w:hAnsi="Times New Roman"/>
        </w:rPr>
        <w:t>PRECEDENTES.</w:t>
      </w:r>
      <w:r>
        <w:rPr>
          <w:rFonts w:ascii="Times New Roman" w:hAnsi="Times New Roman"/>
        </w:rPr>
        <w:t xml:space="preserve"> </w:t>
      </w:r>
      <w:r w:rsidRPr="006C71BA">
        <w:rPr>
          <w:rFonts w:ascii="Times New Roman" w:hAnsi="Times New Roman"/>
          <w:b/>
        </w:rPr>
        <w:t>O Supremo Tribunal Federal possui jurisprudência pacífica no sentido de que se considera inexistente o recurso assinado por procurador sem representação nos autos</w:t>
      </w:r>
      <w:r w:rsidRPr="006C71BA">
        <w:rPr>
          <w:rFonts w:ascii="Times New Roman" w:hAnsi="Times New Roman"/>
        </w:rPr>
        <w:t xml:space="preserve">. </w:t>
      </w:r>
      <w:r w:rsidRPr="006C71BA">
        <w:rPr>
          <w:rFonts w:ascii="Times New Roman" w:hAnsi="Times New Roman"/>
          <w:b/>
        </w:rPr>
        <w:t>Precedentes</w:t>
      </w:r>
      <w:r w:rsidRPr="006C71BA">
        <w:rPr>
          <w:rFonts w:ascii="Times New Roman" w:hAnsi="Times New Roman"/>
        </w:rPr>
        <w:t>.</w:t>
      </w:r>
      <w:r>
        <w:rPr>
          <w:rFonts w:ascii="Times New Roman" w:hAnsi="Times New Roman"/>
        </w:rPr>
        <w:t xml:space="preserve"> </w:t>
      </w:r>
      <w:r w:rsidRPr="006C71BA">
        <w:rPr>
          <w:rFonts w:ascii="Times New Roman" w:hAnsi="Times New Roman"/>
          <w:b/>
        </w:rPr>
        <w:t>Ademais, note-se que é firme o entendimento desta Corte de que não é aplicável ao recurso extraordinário a norma inscrita no art. 13 do CPC</w:t>
      </w:r>
      <w:r w:rsidRPr="006C71BA">
        <w:rPr>
          <w:rFonts w:ascii="Times New Roman" w:hAnsi="Times New Roman"/>
        </w:rPr>
        <w:t>. Precedentes.</w:t>
      </w:r>
      <w:r>
        <w:rPr>
          <w:rFonts w:ascii="Times New Roman" w:hAnsi="Times New Roman"/>
        </w:rPr>
        <w:t xml:space="preserve"> </w:t>
      </w:r>
      <w:r w:rsidRPr="006C71BA">
        <w:rPr>
          <w:rFonts w:ascii="Times New Roman" w:hAnsi="Times New Roman"/>
        </w:rPr>
        <w:t>Agravo regimental não conhecido.</w:t>
      </w:r>
      <w:r>
        <w:rPr>
          <w:rFonts w:ascii="Times New Roman" w:hAnsi="Times New Roman"/>
        </w:rPr>
        <w:t xml:space="preserve"> (</w:t>
      </w:r>
      <w:r w:rsidRPr="005C0CFD">
        <w:rPr>
          <w:rFonts w:ascii="Times New Roman" w:hAnsi="Times New Roman"/>
        </w:rPr>
        <w:t xml:space="preserve">BRASIL. </w:t>
      </w:r>
      <w:r w:rsidRPr="001B531D">
        <w:rPr>
          <w:rFonts w:ascii="Times New Roman" w:hAnsi="Times New Roman"/>
        </w:rPr>
        <w:t>Supremo Tribunal Federal.</w:t>
      </w:r>
      <w:r w:rsidRPr="005C0CFD">
        <w:rPr>
          <w:rFonts w:ascii="Times New Roman" w:hAnsi="Times New Roman"/>
        </w:rPr>
        <w:t xml:space="preserve"> RE 602</w:t>
      </w:r>
      <w:r>
        <w:rPr>
          <w:rFonts w:ascii="Times New Roman" w:hAnsi="Times New Roman"/>
        </w:rPr>
        <w:t>.938 AgR/</w:t>
      </w:r>
      <w:r w:rsidRPr="005C0CFD">
        <w:rPr>
          <w:rFonts w:ascii="Times New Roman" w:hAnsi="Times New Roman"/>
        </w:rPr>
        <w:t>CE. Rel. Min. Roberto Barroso. DJ</w:t>
      </w:r>
      <w:r>
        <w:rPr>
          <w:rFonts w:ascii="Times New Roman" w:hAnsi="Times New Roman"/>
        </w:rPr>
        <w:t>e</w:t>
      </w:r>
      <w:r w:rsidRPr="005C0CFD">
        <w:rPr>
          <w:rFonts w:ascii="Times New Roman" w:hAnsi="Times New Roman"/>
        </w:rPr>
        <w:t>: 12.11.2013</w:t>
      </w:r>
      <w:r>
        <w:rPr>
          <w:rFonts w:ascii="Times New Roman" w:hAnsi="Times New Roman"/>
        </w:rPr>
        <w:t xml:space="preserve">. Disponível em: </w:t>
      </w:r>
      <w:r w:rsidRPr="002D6F1C">
        <w:rPr>
          <w:rFonts w:ascii="Times New Roman" w:hAnsi="Times New Roman"/>
        </w:rPr>
        <w:t>http://redir.stf.jus.br/paginadorpub/paginador.jsp?docTP=TP&amp;docID=5032953</w:t>
      </w:r>
      <w:r>
        <w:rPr>
          <w:rFonts w:ascii="Times New Roman" w:hAnsi="Times New Roman"/>
        </w:rPr>
        <w:t xml:space="preserve">. Acesso em: 24 mar. 2015 – grifos nossos). </w:t>
      </w:r>
    </w:p>
  </w:footnote>
  <w:footnote w:id="173">
    <w:p w:rsidR="00D549BC" w:rsidRDefault="00D549BC" w:rsidP="00161AA2">
      <w:pPr>
        <w:pStyle w:val="FootnoteText"/>
        <w:ind w:firstLine="0"/>
        <w:rPr>
          <w:rFonts w:ascii="Times New Roman" w:hAnsi="Times New Roman"/>
        </w:rPr>
      </w:pPr>
      <w:r w:rsidRPr="00161AA2">
        <w:rPr>
          <w:rStyle w:val="FootnoteReference"/>
          <w:rFonts w:ascii="Times New Roman" w:hAnsi="Times New Roman"/>
        </w:rPr>
        <w:footnoteRef/>
      </w:r>
      <w:r w:rsidRPr="00161AA2">
        <w:rPr>
          <w:rFonts w:ascii="Times New Roman" w:hAnsi="Times New Roman"/>
        </w:rPr>
        <w:t xml:space="preserve"> Art. 76.  </w:t>
      </w:r>
      <w:r w:rsidRPr="00161AA2">
        <w:rPr>
          <w:rFonts w:ascii="Times New Roman" w:hAnsi="Times New Roman"/>
          <w:i/>
        </w:rPr>
        <w:t>Verificada a incapacidade processual ou a irregularidade da representação da parte, o juiz suspenderá o processo e designará prazo razoável para que seja sanado o vício</w:t>
      </w:r>
      <w:r w:rsidRPr="00161AA2">
        <w:rPr>
          <w:rFonts w:ascii="Times New Roman" w:hAnsi="Times New Roman"/>
        </w:rPr>
        <w:t>.</w:t>
      </w:r>
      <w:r>
        <w:rPr>
          <w:rFonts w:ascii="Times New Roman" w:hAnsi="Times New Roman"/>
        </w:rPr>
        <w:t xml:space="preserve"> (...)</w:t>
      </w:r>
    </w:p>
    <w:p w:rsidR="00D549BC" w:rsidRDefault="00D549BC" w:rsidP="00161AA2">
      <w:pPr>
        <w:pStyle w:val="FootnoteText"/>
        <w:ind w:firstLine="0"/>
        <w:rPr>
          <w:rFonts w:ascii="Times New Roman" w:hAnsi="Times New Roman"/>
        </w:rPr>
      </w:pPr>
      <w:r>
        <w:rPr>
          <w:rFonts w:ascii="Times New Roman" w:hAnsi="Times New Roman"/>
        </w:rPr>
        <w:t>§ 2º</w:t>
      </w:r>
      <w:r w:rsidRPr="00161AA2">
        <w:rPr>
          <w:rFonts w:ascii="Times New Roman" w:hAnsi="Times New Roman"/>
        </w:rPr>
        <w:t xml:space="preserve"> Descumprida a determinação em fase recursal perante tribunal de justiça, tribunal regional federal ou </w:t>
      </w:r>
      <w:r w:rsidRPr="00161AA2">
        <w:rPr>
          <w:rFonts w:ascii="Times New Roman" w:hAnsi="Times New Roman"/>
          <w:i/>
        </w:rPr>
        <w:t>tribunal superior</w:t>
      </w:r>
      <w:r w:rsidRPr="00161AA2">
        <w:rPr>
          <w:rFonts w:ascii="Times New Roman" w:hAnsi="Times New Roman"/>
        </w:rPr>
        <w:t>, o relator:</w:t>
      </w:r>
      <w:r>
        <w:rPr>
          <w:rFonts w:ascii="Times New Roman" w:hAnsi="Times New Roman"/>
        </w:rPr>
        <w:t xml:space="preserve"> </w:t>
      </w:r>
    </w:p>
    <w:p w:rsidR="00D549BC" w:rsidRDefault="00D549BC" w:rsidP="00161AA2">
      <w:pPr>
        <w:pStyle w:val="FootnoteText"/>
        <w:ind w:firstLine="0"/>
        <w:rPr>
          <w:rFonts w:ascii="Times New Roman" w:hAnsi="Times New Roman"/>
        </w:rPr>
      </w:pPr>
      <w:r w:rsidRPr="00161AA2">
        <w:rPr>
          <w:rFonts w:ascii="Times New Roman" w:hAnsi="Times New Roman"/>
        </w:rPr>
        <w:t>I - não conhecerá do recurso, se a providência couber ao recorrente;</w:t>
      </w:r>
      <w:r>
        <w:rPr>
          <w:rFonts w:ascii="Times New Roman" w:hAnsi="Times New Roman"/>
        </w:rPr>
        <w:t xml:space="preserve"> </w:t>
      </w:r>
    </w:p>
    <w:p w:rsidR="00D549BC" w:rsidRDefault="00D549BC" w:rsidP="00161AA2">
      <w:pPr>
        <w:pStyle w:val="FootnoteText"/>
        <w:ind w:firstLine="0"/>
      </w:pPr>
      <w:r w:rsidRPr="00161AA2">
        <w:rPr>
          <w:rFonts w:ascii="Times New Roman" w:hAnsi="Times New Roman"/>
        </w:rPr>
        <w:t xml:space="preserve">II - determinará o desentranhamento das contrarrazões, se a </w:t>
      </w:r>
      <w:r>
        <w:rPr>
          <w:rFonts w:ascii="Times New Roman" w:hAnsi="Times New Roman"/>
        </w:rPr>
        <w:t xml:space="preserve">providência couber ao recorrido (BRASIL. </w:t>
      </w:r>
      <w:r w:rsidRPr="00B37A79">
        <w:rPr>
          <w:rFonts w:ascii="Times New Roman" w:hAnsi="Times New Roman"/>
        </w:rPr>
        <w:t>Planalto</w:t>
      </w:r>
      <w:r>
        <w:rPr>
          <w:rFonts w:ascii="Times New Roman" w:hAnsi="Times New Roman"/>
        </w:rPr>
        <w:t xml:space="preserve">. Lei 13.105, de 16 de março de 2015 – Código de Processo Civil. Disponível em: </w:t>
      </w:r>
      <w:r w:rsidRPr="00B37A79">
        <w:rPr>
          <w:rFonts w:ascii="Times New Roman" w:hAnsi="Times New Roman"/>
        </w:rPr>
        <w:t>http://www.planalto.gov.br/ccivil_03/_Ato2015-2018/2015/Lei/L13105.htm#art1046</w:t>
      </w:r>
      <w:r>
        <w:rPr>
          <w:rFonts w:ascii="Times New Roman" w:hAnsi="Times New Roman"/>
        </w:rPr>
        <w:t xml:space="preserve">. Acesso em: 24 mar. 2015 – grifos nossos).   </w:t>
      </w:r>
    </w:p>
  </w:footnote>
  <w:footnote w:id="174">
    <w:p w:rsidR="00D549BC" w:rsidRDefault="00D549BC" w:rsidP="00A26198">
      <w:pPr>
        <w:pStyle w:val="FootnoteText"/>
        <w:ind w:firstLine="0"/>
      </w:pPr>
      <w:r w:rsidRPr="00A26198">
        <w:rPr>
          <w:rStyle w:val="FootnoteReference"/>
          <w:rFonts w:ascii="Times New Roman" w:hAnsi="Times New Roman"/>
        </w:rPr>
        <w:footnoteRef/>
      </w:r>
      <w:r w:rsidRPr="00A26198">
        <w:rPr>
          <w:rFonts w:ascii="Times New Roman" w:hAnsi="Times New Roman"/>
        </w:rPr>
        <w:t xml:space="preserve"> EMENTA</w:t>
      </w:r>
      <w:r>
        <w:rPr>
          <w:rFonts w:ascii="Times New Roman" w:hAnsi="Times New Roman"/>
        </w:rPr>
        <w:t xml:space="preserve">: </w:t>
      </w:r>
      <w:r w:rsidRPr="00A26198">
        <w:rPr>
          <w:rFonts w:ascii="Times New Roman" w:hAnsi="Times New Roman"/>
        </w:rPr>
        <w:t xml:space="preserve">AGRAVO REGIMENTAL NO RECURSO ESPECIAL </w:t>
      </w:r>
      <w:r>
        <w:rPr>
          <w:rFonts w:ascii="Times New Roman" w:hAnsi="Times New Roman"/>
        </w:rPr>
        <w:t>–</w:t>
      </w:r>
      <w:r w:rsidRPr="00A26198">
        <w:rPr>
          <w:rFonts w:ascii="Times New Roman" w:hAnsi="Times New Roman"/>
        </w:rPr>
        <w:t xml:space="preserve"> AÇÃO</w:t>
      </w:r>
      <w:r>
        <w:rPr>
          <w:rFonts w:ascii="Times New Roman" w:hAnsi="Times New Roman"/>
        </w:rPr>
        <w:t xml:space="preserve"> </w:t>
      </w:r>
      <w:r w:rsidRPr="00A26198">
        <w:rPr>
          <w:rFonts w:ascii="Times New Roman" w:hAnsi="Times New Roman"/>
        </w:rPr>
        <w:t>DE COBRANÇA DE HONORÁRIOS CONTRATUAIS C/C</w:t>
      </w:r>
      <w:r>
        <w:rPr>
          <w:rFonts w:ascii="Times New Roman" w:hAnsi="Times New Roman"/>
        </w:rPr>
        <w:t xml:space="preserve"> </w:t>
      </w:r>
      <w:r w:rsidRPr="00A26198">
        <w:rPr>
          <w:rFonts w:ascii="Times New Roman" w:hAnsi="Times New Roman"/>
        </w:rPr>
        <w:t xml:space="preserve">PEDIDO DE INDENIZAÇÃO POR DANOS MORAIS </w:t>
      </w:r>
      <w:r>
        <w:rPr>
          <w:rFonts w:ascii="Times New Roman" w:hAnsi="Times New Roman"/>
        </w:rPr>
        <w:t>–</w:t>
      </w:r>
      <w:r w:rsidRPr="00A26198">
        <w:rPr>
          <w:rFonts w:ascii="Times New Roman" w:hAnsi="Times New Roman"/>
        </w:rPr>
        <w:t xml:space="preserve"> DECISÃO</w:t>
      </w:r>
      <w:r>
        <w:rPr>
          <w:rFonts w:ascii="Times New Roman" w:hAnsi="Times New Roman"/>
        </w:rPr>
        <w:t xml:space="preserve"> </w:t>
      </w:r>
      <w:r w:rsidRPr="00A26198">
        <w:rPr>
          <w:rFonts w:ascii="Times New Roman" w:hAnsi="Times New Roman"/>
        </w:rPr>
        <w:t>MONOCRÁTICA NEGANDO SEGUIMENTO AO RECLAMO,</w:t>
      </w:r>
      <w:r>
        <w:rPr>
          <w:rFonts w:ascii="Times New Roman" w:hAnsi="Times New Roman"/>
        </w:rPr>
        <w:t xml:space="preserve"> </w:t>
      </w:r>
      <w:r w:rsidRPr="00A26198">
        <w:rPr>
          <w:rFonts w:ascii="Times New Roman" w:hAnsi="Times New Roman"/>
        </w:rPr>
        <w:t>PORQUANTO CONSTATADA SUA DESERÇÃO.</w:t>
      </w:r>
      <w:r>
        <w:rPr>
          <w:rFonts w:ascii="Times New Roman" w:hAnsi="Times New Roman"/>
        </w:rPr>
        <w:t xml:space="preserve"> </w:t>
      </w:r>
      <w:r w:rsidRPr="00A26198">
        <w:rPr>
          <w:rFonts w:ascii="Times New Roman" w:hAnsi="Times New Roman"/>
        </w:rPr>
        <w:t xml:space="preserve">1. Preparo. </w:t>
      </w:r>
      <w:r w:rsidRPr="00A26198">
        <w:rPr>
          <w:rFonts w:ascii="Times New Roman" w:hAnsi="Times New Roman"/>
          <w:b/>
        </w:rPr>
        <w:t>É ônus da parte recorrente o correto preenchimento da Guia de Recolhimento da União - GRU</w:t>
      </w:r>
      <w:r w:rsidRPr="00A26198">
        <w:rPr>
          <w:rFonts w:ascii="Times New Roman" w:hAnsi="Times New Roman"/>
        </w:rPr>
        <w:t>, destinada ao pagamento das custas judiciais dos recursos dirigidos ao Superior Tribunal de Justiça, com a indicação dos dados obrigatórios (códigos identificadores, entre outros previstos nos normativos vigentes à época da interposição),</w:t>
      </w:r>
      <w:r w:rsidRPr="00A26198">
        <w:rPr>
          <w:rFonts w:ascii="Times New Roman" w:hAnsi="Times New Roman"/>
          <w:b/>
        </w:rPr>
        <w:t xml:space="preserve"> sob pena de deserção</w:t>
      </w:r>
      <w:r w:rsidRPr="00A26198">
        <w:rPr>
          <w:rFonts w:ascii="Times New Roman" w:hAnsi="Times New Roman"/>
        </w:rPr>
        <w:t xml:space="preserve">. </w:t>
      </w:r>
      <w:r w:rsidRPr="00A26198">
        <w:rPr>
          <w:rFonts w:ascii="Times New Roman" w:hAnsi="Times New Roman"/>
          <w:b/>
        </w:rPr>
        <w:t>Inviabilidade da juntada posterior de guia devidamente preenchida, em virtude da ocorrência da preclusão consumativa</w:t>
      </w:r>
      <w:r w:rsidRPr="00A26198">
        <w:rPr>
          <w:rFonts w:ascii="Times New Roman" w:hAnsi="Times New Roman"/>
        </w:rPr>
        <w:t>.</w:t>
      </w:r>
      <w:r>
        <w:rPr>
          <w:rFonts w:ascii="Times New Roman" w:hAnsi="Times New Roman"/>
        </w:rPr>
        <w:t xml:space="preserve"> </w:t>
      </w:r>
      <w:r w:rsidRPr="00A26198">
        <w:rPr>
          <w:rFonts w:ascii="Times New Roman" w:hAnsi="Times New Roman"/>
        </w:rPr>
        <w:t>Inaplicabilidade da regra do § 2º do artigo 511 do CPC, por não se tratar de preparo insuficiente. Precedentes.</w:t>
      </w:r>
      <w:r>
        <w:rPr>
          <w:rFonts w:ascii="Times New Roman" w:hAnsi="Times New Roman"/>
        </w:rPr>
        <w:t xml:space="preserve"> </w:t>
      </w:r>
      <w:r w:rsidRPr="00A26198">
        <w:rPr>
          <w:rFonts w:ascii="Times New Roman" w:hAnsi="Times New Roman"/>
        </w:rPr>
        <w:t>2. Agravo regimental desprovido.</w:t>
      </w:r>
      <w:r>
        <w:rPr>
          <w:rFonts w:ascii="Times New Roman" w:hAnsi="Times New Roman"/>
        </w:rPr>
        <w:t xml:space="preserve"> (Disponível em: </w:t>
      </w:r>
      <w:r w:rsidRPr="00AB6B02">
        <w:rPr>
          <w:rFonts w:ascii="Times New Roman" w:hAnsi="Times New Roman"/>
          <w:sz w:val="18"/>
        </w:rPr>
        <w:t>https://ww2.stj.jus.br/processo/revista/inteiroteor/?num_registro=200800434442&amp;dt_publicacao=03/12/2013</w:t>
      </w:r>
      <w:r>
        <w:rPr>
          <w:rFonts w:ascii="Times New Roman" w:hAnsi="Times New Roman"/>
        </w:rPr>
        <w:t xml:space="preserve">. Acesso em: 24 mar. 2015 – grifos nossos). </w:t>
      </w:r>
    </w:p>
  </w:footnote>
  <w:footnote w:id="175">
    <w:p w:rsidR="00D549BC" w:rsidRPr="004123CB" w:rsidRDefault="00D549BC" w:rsidP="004123CB">
      <w:pPr>
        <w:pStyle w:val="FootnoteText"/>
        <w:ind w:firstLine="0"/>
        <w:rPr>
          <w:rFonts w:ascii="Times New Roman" w:hAnsi="Times New Roman"/>
        </w:rPr>
      </w:pPr>
      <w:r w:rsidRPr="00A26198">
        <w:rPr>
          <w:rStyle w:val="FootnoteReference"/>
          <w:rFonts w:ascii="Times New Roman" w:hAnsi="Times New Roman"/>
        </w:rPr>
        <w:footnoteRef/>
      </w:r>
      <w:r w:rsidRPr="00A26198">
        <w:rPr>
          <w:rFonts w:ascii="Times New Roman" w:hAnsi="Times New Roman"/>
        </w:rPr>
        <w:t xml:space="preserve"> BRASIL. </w:t>
      </w:r>
      <w:r w:rsidRPr="00A31DFB">
        <w:rPr>
          <w:rFonts w:ascii="Times New Roman" w:hAnsi="Times New Roman"/>
        </w:rPr>
        <w:t>Supremo Tribunal Federal</w:t>
      </w:r>
      <w:r w:rsidRPr="00A26198">
        <w:rPr>
          <w:rFonts w:ascii="Times New Roman" w:hAnsi="Times New Roman"/>
        </w:rPr>
        <w:t xml:space="preserve">. </w:t>
      </w:r>
      <w:r w:rsidRPr="000C3190">
        <w:rPr>
          <w:rFonts w:ascii="Times New Roman" w:hAnsi="Times New Roman"/>
        </w:rPr>
        <w:t xml:space="preserve">ARE 776.855/RS. Rel. </w:t>
      </w:r>
      <w:r w:rsidRPr="00F07956">
        <w:rPr>
          <w:rFonts w:ascii="Times New Roman" w:hAnsi="Times New Roman"/>
        </w:rPr>
        <w:t xml:space="preserve">Min. Rosa Weber. </w:t>
      </w:r>
      <w:r w:rsidRPr="004123CB">
        <w:rPr>
          <w:rFonts w:ascii="Times New Roman" w:hAnsi="Times New Roman"/>
        </w:rPr>
        <w:t>DJe: 11.12.2013. EMENTA</w:t>
      </w:r>
      <w:r>
        <w:rPr>
          <w:rFonts w:ascii="Times New Roman" w:hAnsi="Times New Roman"/>
        </w:rPr>
        <w:t xml:space="preserve"> </w:t>
      </w:r>
      <w:r w:rsidRPr="004123CB">
        <w:rPr>
          <w:rFonts w:ascii="Times New Roman" w:hAnsi="Times New Roman"/>
        </w:rPr>
        <w:t>DIREITO PROCESSUAL CIVIL. JUIZADOS ESPECIAIS CÍVEIS.</w:t>
      </w:r>
      <w:r>
        <w:rPr>
          <w:rFonts w:ascii="Times New Roman" w:hAnsi="Times New Roman"/>
        </w:rPr>
        <w:t xml:space="preserve"> </w:t>
      </w:r>
      <w:r w:rsidRPr="004123CB">
        <w:rPr>
          <w:rFonts w:ascii="Times New Roman" w:hAnsi="Times New Roman"/>
        </w:rPr>
        <w:t>DESERÇÃO DO RECURSO RECONHECIDA POR TURMA RECURSAL.</w:t>
      </w:r>
      <w:r>
        <w:rPr>
          <w:rFonts w:ascii="Times New Roman" w:hAnsi="Times New Roman"/>
        </w:rPr>
        <w:t xml:space="preserve"> </w:t>
      </w:r>
      <w:r w:rsidRPr="004123CB">
        <w:rPr>
          <w:rFonts w:ascii="Times New Roman" w:hAnsi="Times New Roman"/>
        </w:rPr>
        <w:t>DEFICIENTE COMPROVAÇÃO DO PREPARO. ÂMBITO</w:t>
      </w:r>
      <w:r>
        <w:rPr>
          <w:rFonts w:ascii="Times New Roman" w:hAnsi="Times New Roman"/>
        </w:rPr>
        <w:t xml:space="preserve"> </w:t>
      </w:r>
      <w:r w:rsidRPr="004123CB">
        <w:rPr>
          <w:rFonts w:ascii="Times New Roman" w:hAnsi="Times New Roman"/>
        </w:rPr>
        <w:t>INFRACONSTITUCIONAL DO DEBATE. EVENTUAL VIOLAÇÃO</w:t>
      </w:r>
      <w:r>
        <w:rPr>
          <w:rFonts w:ascii="Times New Roman" w:hAnsi="Times New Roman"/>
        </w:rPr>
        <w:t xml:space="preserve"> </w:t>
      </w:r>
      <w:r w:rsidRPr="004123CB">
        <w:rPr>
          <w:rFonts w:ascii="Times New Roman" w:hAnsi="Times New Roman"/>
        </w:rPr>
        <w:t>REFLEXA DA CONSTITUIÇÃO DA REPÚBLICA NÃO VIABILIZA O</w:t>
      </w:r>
      <w:r>
        <w:rPr>
          <w:rFonts w:ascii="Times New Roman" w:hAnsi="Times New Roman"/>
        </w:rPr>
        <w:t xml:space="preserve"> </w:t>
      </w:r>
      <w:r w:rsidRPr="004123CB">
        <w:rPr>
          <w:rFonts w:ascii="Times New Roman" w:hAnsi="Times New Roman"/>
        </w:rPr>
        <w:t>MANEJO DE RECURSO EXTRAORDINÁRIO. ACÓRDÃO RECORRIDO</w:t>
      </w:r>
    </w:p>
    <w:p w:rsidR="00D549BC" w:rsidRDefault="00D549BC" w:rsidP="004123CB">
      <w:pPr>
        <w:pStyle w:val="FootnoteText"/>
        <w:ind w:firstLine="0"/>
      </w:pPr>
      <w:r w:rsidRPr="004123CB">
        <w:rPr>
          <w:rFonts w:ascii="Times New Roman" w:hAnsi="Times New Roman"/>
        </w:rPr>
        <w:t>DISPONIBILIZADO EM 24.01.2013.</w:t>
      </w:r>
      <w:r>
        <w:rPr>
          <w:rFonts w:ascii="Times New Roman" w:hAnsi="Times New Roman"/>
        </w:rPr>
        <w:t xml:space="preserve"> </w:t>
      </w:r>
      <w:r w:rsidRPr="004123CB">
        <w:rPr>
          <w:rFonts w:ascii="Times New Roman" w:hAnsi="Times New Roman"/>
          <w:b/>
        </w:rPr>
        <w:t>As razões do agravo regimental não são aptas a infirmar os fundamentos que lastrearam a decisão agravada, mormente no que se refere ao âmbito infraconstitucional do debate atinente à deserção do recurso manejado contra acórdão de Turma Recursal, em razão da deficiente comprovação do preparo</w:t>
      </w:r>
      <w:r w:rsidRPr="004123CB">
        <w:rPr>
          <w:rFonts w:ascii="Times New Roman" w:hAnsi="Times New Roman"/>
        </w:rPr>
        <w:t>.</w:t>
      </w:r>
      <w:r>
        <w:rPr>
          <w:rFonts w:ascii="Times New Roman" w:hAnsi="Times New Roman"/>
        </w:rPr>
        <w:t xml:space="preserve"> </w:t>
      </w:r>
      <w:r w:rsidRPr="004123CB">
        <w:rPr>
          <w:rFonts w:ascii="Times New Roman" w:hAnsi="Times New Roman"/>
        </w:rPr>
        <w:t>A suposta afronta aos preceitos constitucionais indicados nas razões</w:t>
      </w:r>
      <w:r>
        <w:rPr>
          <w:rFonts w:ascii="Times New Roman" w:hAnsi="Times New Roman"/>
        </w:rPr>
        <w:t xml:space="preserve"> </w:t>
      </w:r>
      <w:r w:rsidRPr="004123CB">
        <w:rPr>
          <w:rFonts w:ascii="Times New Roman" w:hAnsi="Times New Roman"/>
        </w:rPr>
        <w:t>recursais dependeria da análise de legislação infraconstitucional, o que</w:t>
      </w:r>
      <w:r>
        <w:rPr>
          <w:rFonts w:ascii="Times New Roman" w:hAnsi="Times New Roman"/>
        </w:rPr>
        <w:t xml:space="preserve"> </w:t>
      </w:r>
      <w:r w:rsidRPr="004123CB">
        <w:rPr>
          <w:rFonts w:ascii="Times New Roman" w:hAnsi="Times New Roman"/>
        </w:rPr>
        <w:t>torna oblíqua e reflexa eventual ofensa, insuscetível, portanto, de</w:t>
      </w:r>
      <w:r>
        <w:rPr>
          <w:rFonts w:ascii="Times New Roman" w:hAnsi="Times New Roman"/>
        </w:rPr>
        <w:t xml:space="preserve"> </w:t>
      </w:r>
      <w:r w:rsidRPr="004123CB">
        <w:rPr>
          <w:rFonts w:ascii="Times New Roman" w:hAnsi="Times New Roman"/>
        </w:rPr>
        <w:t>viabilizar o conhecimento do recurso extraordinário, considerada a</w:t>
      </w:r>
      <w:r>
        <w:rPr>
          <w:rFonts w:ascii="Times New Roman" w:hAnsi="Times New Roman"/>
        </w:rPr>
        <w:t xml:space="preserve"> </w:t>
      </w:r>
      <w:r w:rsidRPr="004123CB">
        <w:rPr>
          <w:rFonts w:ascii="Times New Roman" w:hAnsi="Times New Roman"/>
        </w:rPr>
        <w:t>disposição do art. 102, III, “a”, da Lei Maior.</w:t>
      </w:r>
      <w:r>
        <w:rPr>
          <w:rFonts w:ascii="Times New Roman" w:hAnsi="Times New Roman"/>
        </w:rPr>
        <w:t xml:space="preserve"> </w:t>
      </w:r>
      <w:r w:rsidRPr="004123CB">
        <w:rPr>
          <w:rFonts w:ascii="Times New Roman" w:hAnsi="Times New Roman"/>
        </w:rPr>
        <w:t>Agravo regimental conhecido e não provi</w:t>
      </w:r>
      <w:r>
        <w:rPr>
          <w:rFonts w:ascii="Times New Roman" w:hAnsi="Times New Roman"/>
        </w:rPr>
        <w:t>do (</w:t>
      </w:r>
      <w:r w:rsidRPr="00A26198">
        <w:rPr>
          <w:rFonts w:ascii="Times New Roman" w:hAnsi="Times New Roman"/>
        </w:rPr>
        <w:t xml:space="preserve">BRASIL. </w:t>
      </w:r>
      <w:r w:rsidRPr="00AB6B02">
        <w:rPr>
          <w:rFonts w:ascii="Times New Roman" w:hAnsi="Times New Roman"/>
        </w:rPr>
        <w:t>Superior Tribunal de Justiça</w:t>
      </w:r>
      <w:r w:rsidRPr="00A26198">
        <w:rPr>
          <w:rFonts w:ascii="Times New Roman" w:hAnsi="Times New Roman"/>
        </w:rPr>
        <w:t>. AgRg no REsp 1</w:t>
      </w:r>
      <w:r>
        <w:rPr>
          <w:rFonts w:ascii="Times New Roman" w:hAnsi="Times New Roman"/>
        </w:rPr>
        <w:t>.</w:t>
      </w:r>
      <w:r w:rsidRPr="00A26198">
        <w:rPr>
          <w:rFonts w:ascii="Times New Roman" w:hAnsi="Times New Roman"/>
        </w:rPr>
        <w:t>034</w:t>
      </w:r>
      <w:r>
        <w:rPr>
          <w:rFonts w:ascii="Times New Roman" w:hAnsi="Times New Roman"/>
        </w:rPr>
        <w:t>.</w:t>
      </w:r>
      <w:r w:rsidRPr="00A26198">
        <w:rPr>
          <w:rFonts w:ascii="Times New Roman" w:hAnsi="Times New Roman"/>
        </w:rPr>
        <w:t>913/MA. Rel. Min. Marco Buzzi. DJ</w:t>
      </w:r>
      <w:r>
        <w:rPr>
          <w:rFonts w:ascii="Times New Roman" w:hAnsi="Times New Roman"/>
        </w:rPr>
        <w:t>e</w:t>
      </w:r>
      <w:r w:rsidRPr="00A26198">
        <w:rPr>
          <w:rFonts w:ascii="Times New Roman" w:hAnsi="Times New Roman"/>
        </w:rPr>
        <w:t>: 03.12.2013</w:t>
      </w:r>
      <w:r>
        <w:rPr>
          <w:rFonts w:ascii="Times New Roman" w:hAnsi="Times New Roman"/>
        </w:rPr>
        <w:t xml:space="preserve">. Disponível em: </w:t>
      </w:r>
      <w:r w:rsidRPr="00A31DFB">
        <w:rPr>
          <w:rFonts w:ascii="Times New Roman" w:hAnsi="Times New Roman"/>
        </w:rPr>
        <w:t>http://redir.stf.jus.br/paginadorpub/paginador.jsp?docTP=TP&amp;docID=4864417</w:t>
      </w:r>
      <w:r>
        <w:rPr>
          <w:rFonts w:ascii="Times New Roman" w:hAnsi="Times New Roman"/>
        </w:rPr>
        <w:t xml:space="preserve">. Acesso em: 25 mar. 2015). </w:t>
      </w:r>
    </w:p>
  </w:footnote>
  <w:footnote w:id="176">
    <w:p w:rsidR="00D549BC" w:rsidRDefault="00D549BC" w:rsidP="004123CB">
      <w:pPr>
        <w:pStyle w:val="FootnoteText"/>
        <w:ind w:firstLine="0"/>
        <w:rPr>
          <w:rFonts w:ascii="Times New Roman" w:hAnsi="Times New Roman"/>
        </w:rPr>
      </w:pPr>
      <w:r w:rsidRPr="004123CB">
        <w:rPr>
          <w:rStyle w:val="FootnoteReference"/>
          <w:rFonts w:ascii="Times New Roman" w:hAnsi="Times New Roman"/>
        </w:rPr>
        <w:footnoteRef/>
      </w:r>
      <w:r w:rsidRPr="004123CB">
        <w:rPr>
          <w:rFonts w:ascii="Times New Roman" w:hAnsi="Times New Roman"/>
        </w:rPr>
        <w:t xml:space="preserve"> Art. 1.007.  </w:t>
      </w:r>
      <w:r w:rsidRPr="004123CB">
        <w:rPr>
          <w:rFonts w:ascii="Times New Roman" w:hAnsi="Times New Roman"/>
          <w:i/>
        </w:rPr>
        <w:t>No ato de interposição do recurso, o recorrente comprovará, quando exigido pela legislação pertinente, o respectivo preparo, inclusive porte de remessa e de retorno, sob pena de deserção</w:t>
      </w:r>
      <w:r w:rsidRPr="004123CB">
        <w:rPr>
          <w:rFonts w:ascii="Times New Roman" w:hAnsi="Times New Roman"/>
        </w:rPr>
        <w:t>.</w:t>
      </w:r>
    </w:p>
    <w:p w:rsidR="00D549BC" w:rsidRDefault="00D549BC" w:rsidP="004123CB">
      <w:pPr>
        <w:pStyle w:val="FootnoteText"/>
        <w:ind w:firstLine="0"/>
        <w:rPr>
          <w:rFonts w:ascii="Times New Roman" w:hAnsi="Times New Roman"/>
        </w:rPr>
      </w:pPr>
      <w:r>
        <w:rPr>
          <w:rFonts w:ascii="Times New Roman" w:hAnsi="Times New Roman"/>
        </w:rPr>
        <w:t>(...)</w:t>
      </w:r>
    </w:p>
    <w:p w:rsidR="00D549BC" w:rsidRDefault="00D549BC" w:rsidP="004123CB">
      <w:pPr>
        <w:pStyle w:val="FootnoteText"/>
        <w:ind w:firstLine="0"/>
      </w:pPr>
      <w:r>
        <w:rPr>
          <w:rFonts w:ascii="Times New Roman" w:hAnsi="Times New Roman"/>
        </w:rPr>
        <w:t xml:space="preserve">§ </w:t>
      </w:r>
      <w:r w:rsidRPr="004123CB">
        <w:rPr>
          <w:rFonts w:ascii="Times New Roman" w:hAnsi="Times New Roman"/>
          <w:i/>
        </w:rPr>
        <w:t>7º O equívoco no preenchimento da guia de custas não implicará a aplicação da pena de deserção, cabendo ao relator, na hipótese de dúvida quanto ao recolhimento, intimar o recorrente para sanar o vício no prazo de 5 (cinco) dias</w:t>
      </w:r>
      <w:r>
        <w:rPr>
          <w:rFonts w:ascii="Times New Roman" w:hAnsi="Times New Roman"/>
        </w:rPr>
        <w:t xml:space="preserve"> (BRASIL. </w:t>
      </w:r>
      <w:r w:rsidRPr="004C54DF">
        <w:rPr>
          <w:rFonts w:ascii="Times New Roman" w:hAnsi="Times New Roman"/>
        </w:rPr>
        <w:t>Planalto</w:t>
      </w:r>
      <w:r>
        <w:rPr>
          <w:rFonts w:ascii="Times New Roman" w:hAnsi="Times New Roman"/>
        </w:rPr>
        <w:t xml:space="preserve">. Lei 13.105, de 16 de março de 2015 – Código de Processo Civil. Disponível em: </w:t>
      </w:r>
      <w:r w:rsidRPr="004C54DF">
        <w:rPr>
          <w:rFonts w:ascii="Times New Roman" w:hAnsi="Times New Roman"/>
        </w:rPr>
        <w:t>http://www.planalto.gov.br/ccivil_03/_Ato2015-2018/2015/Lei/L13105.htm</w:t>
      </w:r>
      <w:r>
        <w:rPr>
          <w:rFonts w:ascii="Times New Roman" w:hAnsi="Times New Roman"/>
        </w:rPr>
        <w:t xml:space="preserve">. Acesso em: 25 mar. 2015 – grifos nossos). </w:t>
      </w:r>
    </w:p>
  </w:footnote>
  <w:footnote w:id="177">
    <w:p w:rsidR="00D549BC" w:rsidRDefault="00D549BC" w:rsidP="006F05CB">
      <w:pPr>
        <w:pStyle w:val="FootnoteText"/>
        <w:ind w:firstLine="0"/>
      </w:pPr>
      <w:r w:rsidRPr="006F05CB">
        <w:rPr>
          <w:rStyle w:val="FootnoteReference"/>
          <w:rFonts w:ascii="Times New Roman" w:hAnsi="Times New Roman"/>
        </w:rPr>
        <w:footnoteRef/>
      </w:r>
      <w:r w:rsidRPr="006F05CB">
        <w:rPr>
          <w:rFonts w:ascii="Times New Roman" w:hAnsi="Times New Roman"/>
        </w:rPr>
        <w:t xml:space="preserve"> EMENTA</w:t>
      </w:r>
      <w:r>
        <w:rPr>
          <w:rFonts w:ascii="Times New Roman" w:hAnsi="Times New Roman"/>
        </w:rPr>
        <w:t xml:space="preserve">: </w:t>
      </w:r>
      <w:r w:rsidRPr="006F05CB">
        <w:rPr>
          <w:rFonts w:ascii="Times New Roman" w:hAnsi="Times New Roman"/>
        </w:rPr>
        <w:t>DIREITO PROCESSUAL CIVIL. RECURSO EXTRAORDINÁRIO</w:t>
      </w:r>
      <w:r>
        <w:rPr>
          <w:rFonts w:ascii="Times New Roman" w:hAnsi="Times New Roman"/>
        </w:rPr>
        <w:t xml:space="preserve"> </w:t>
      </w:r>
      <w:r w:rsidRPr="006F05CB">
        <w:rPr>
          <w:rFonts w:ascii="Times New Roman" w:hAnsi="Times New Roman"/>
        </w:rPr>
        <w:t>EXTEMPORÂNEO. INTERPOSIÇÃO ANTES DO JULGAMENTO DOS</w:t>
      </w:r>
      <w:r>
        <w:rPr>
          <w:rFonts w:ascii="Times New Roman" w:hAnsi="Times New Roman"/>
        </w:rPr>
        <w:t xml:space="preserve"> </w:t>
      </w:r>
      <w:r w:rsidRPr="006F05CB">
        <w:rPr>
          <w:rFonts w:ascii="Times New Roman" w:hAnsi="Times New Roman"/>
        </w:rPr>
        <w:t>EMBARGOS DE DECLARAÇÃO. AUSÊNCIA DE RATIFICAÇÃO.</w:t>
      </w:r>
      <w:r>
        <w:rPr>
          <w:rFonts w:ascii="Times New Roman" w:hAnsi="Times New Roman"/>
        </w:rPr>
        <w:t xml:space="preserve"> </w:t>
      </w:r>
      <w:r w:rsidRPr="006F05CB">
        <w:rPr>
          <w:rFonts w:ascii="Times New Roman" w:hAnsi="Times New Roman"/>
        </w:rPr>
        <w:t>ACÓRDÃO RECORRIDO PUBLICADO EM 24.11.2009.</w:t>
      </w:r>
      <w:r>
        <w:rPr>
          <w:rFonts w:ascii="Times New Roman" w:hAnsi="Times New Roman"/>
        </w:rPr>
        <w:t xml:space="preserve"> </w:t>
      </w:r>
      <w:r w:rsidRPr="006F05CB">
        <w:rPr>
          <w:rFonts w:ascii="Times New Roman" w:hAnsi="Times New Roman"/>
          <w:b/>
        </w:rPr>
        <w:t>Esta Corte tem firme jurisprudência no sentido de que é extemporâneo o recurso extraordinário interposto antes do julgamento de embargos de declaração opostos no Tribunal de origem e sem que tenha ocorrido ulterior ratificação</w:t>
      </w:r>
      <w:r w:rsidRPr="006F05CB">
        <w:rPr>
          <w:rFonts w:ascii="Times New Roman" w:hAnsi="Times New Roman"/>
        </w:rPr>
        <w:t xml:space="preserve">. </w:t>
      </w:r>
      <w:r w:rsidRPr="006F05CB">
        <w:rPr>
          <w:rFonts w:ascii="Times New Roman" w:hAnsi="Times New Roman"/>
          <w:b/>
        </w:rPr>
        <w:t>Precedentes</w:t>
      </w:r>
      <w:r w:rsidRPr="006F05CB">
        <w:rPr>
          <w:rFonts w:ascii="Times New Roman" w:hAnsi="Times New Roman"/>
        </w:rPr>
        <w:t>.</w:t>
      </w:r>
      <w:r w:rsidRPr="006F05CB">
        <w:rPr>
          <w:rFonts w:ascii="Times New Roman" w:hAnsi="Times New Roman"/>
          <w:b/>
        </w:rPr>
        <w:t xml:space="preserve"> Agravo regimental conhecido e não provido</w:t>
      </w:r>
      <w:r w:rsidRPr="006F05CB">
        <w:rPr>
          <w:rFonts w:ascii="Times New Roman" w:hAnsi="Times New Roman"/>
        </w:rPr>
        <w:t>.</w:t>
      </w:r>
      <w:r>
        <w:rPr>
          <w:rFonts w:ascii="Times New Roman" w:hAnsi="Times New Roman"/>
        </w:rPr>
        <w:t xml:space="preserve"> (</w:t>
      </w:r>
      <w:r w:rsidRPr="006F05CB">
        <w:rPr>
          <w:rFonts w:ascii="Times New Roman" w:hAnsi="Times New Roman"/>
        </w:rPr>
        <w:t xml:space="preserve">BRASIL. </w:t>
      </w:r>
      <w:r w:rsidRPr="002631CD">
        <w:rPr>
          <w:rFonts w:ascii="Times New Roman" w:hAnsi="Times New Roman"/>
        </w:rPr>
        <w:t>Supremo Tribunal Federal</w:t>
      </w:r>
      <w:r w:rsidRPr="006F05CB">
        <w:rPr>
          <w:rFonts w:ascii="Times New Roman" w:hAnsi="Times New Roman"/>
        </w:rPr>
        <w:t xml:space="preserve">. </w:t>
      </w:r>
      <w:r w:rsidRPr="000C3190">
        <w:rPr>
          <w:rFonts w:ascii="Times New Roman" w:hAnsi="Times New Roman"/>
        </w:rPr>
        <w:t xml:space="preserve">ARE 773.889 AgR/SC. Rel. </w:t>
      </w:r>
      <w:r w:rsidRPr="00F07956">
        <w:rPr>
          <w:rFonts w:ascii="Times New Roman" w:hAnsi="Times New Roman"/>
        </w:rPr>
        <w:t xml:space="preserve">Min. Rosa Weber. </w:t>
      </w:r>
      <w:r w:rsidRPr="006F05CB">
        <w:rPr>
          <w:rFonts w:ascii="Times New Roman" w:hAnsi="Times New Roman"/>
        </w:rPr>
        <w:t>DJe: 12.12.2013.</w:t>
      </w:r>
      <w:r>
        <w:rPr>
          <w:rFonts w:ascii="Times New Roman" w:hAnsi="Times New Roman"/>
        </w:rPr>
        <w:t xml:space="preserve"> Disponível em: </w:t>
      </w:r>
      <w:r w:rsidRPr="002631CD">
        <w:rPr>
          <w:rFonts w:ascii="Times New Roman" w:hAnsi="Times New Roman"/>
        </w:rPr>
        <w:t>http://redir.stf.jus.br/paginadorpub/paginador.jsp?docTP=TP&amp;docID=5017470</w:t>
      </w:r>
      <w:r>
        <w:rPr>
          <w:rFonts w:ascii="Times New Roman" w:hAnsi="Times New Roman"/>
        </w:rPr>
        <w:t xml:space="preserve">. Acesso em: 25 mar. 2015 – grifos nossos). </w:t>
      </w:r>
    </w:p>
  </w:footnote>
  <w:footnote w:id="178">
    <w:p w:rsidR="00D549BC" w:rsidRDefault="00D549BC" w:rsidP="006F05CB">
      <w:pPr>
        <w:pStyle w:val="FootnoteText"/>
        <w:ind w:firstLine="0"/>
      </w:pPr>
      <w:r w:rsidRPr="006F05CB">
        <w:rPr>
          <w:rStyle w:val="FootnoteReference"/>
          <w:rFonts w:ascii="Times New Roman" w:hAnsi="Times New Roman"/>
        </w:rPr>
        <w:footnoteRef/>
      </w:r>
      <w:r w:rsidRPr="006F05CB">
        <w:rPr>
          <w:rFonts w:ascii="Times New Roman" w:hAnsi="Times New Roman"/>
        </w:rPr>
        <w:t xml:space="preserve"> Súmula 418</w:t>
      </w:r>
      <w:r>
        <w:rPr>
          <w:rFonts w:ascii="Times New Roman" w:hAnsi="Times New Roman"/>
        </w:rPr>
        <w:t xml:space="preserve"> do STJ: “</w:t>
      </w:r>
      <w:r w:rsidRPr="006F05CB">
        <w:rPr>
          <w:rFonts w:ascii="Times New Roman" w:hAnsi="Times New Roman"/>
          <w:i/>
        </w:rPr>
        <w:t>É inadmissível o recurso especial interposto antes da publicação do acórdão de embargos de declaração, sem posterior ratificação</w:t>
      </w:r>
      <w:r>
        <w:rPr>
          <w:rFonts w:ascii="Times New Roman" w:hAnsi="Times New Roman"/>
        </w:rPr>
        <w:t>”</w:t>
      </w:r>
      <w:r w:rsidRPr="006F05CB">
        <w:rPr>
          <w:rFonts w:ascii="Times New Roman" w:hAnsi="Times New Roman"/>
        </w:rPr>
        <w:t>.</w:t>
      </w:r>
    </w:p>
  </w:footnote>
  <w:footnote w:id="179">
    <w:p w:rsidR="00D549BC" w:rsidRDefault="00D549BC" w:rsidP="001A50DB">
      <w:pPr>
        <w:pStyle w:val="FootnoteText"/>
        <w:ind w:firstLine="0"/>
      </w:pPr>
      <w:r w:rsidRPr="001A50DB">
        <w:rPr>
          <w:rStyle w:val="FootnoteReference"/>
          <w:rFonts w:ascii="Times New Roman" w:hAnsi="Times New Roman"/>
        </w:rPr>
        <w:footnoteRef/>
      </w:r>
      <w:r>
        <w:rPr>
          <w:rFonts w:ascii="Times New Roman" w:hAnsi="Times New Roman"/>
        </w:rPr>
        <w:t xml:space="preserve"> EMENTA: AGRAVO REGIMENTAL. </w:t>
      </w:r>
      <w:r w:rsidRPr="001A50DB">
        <w:rPr>
          <w:rFonts w:ascii="Times New Roman" w:hAnsi="Times New Roman"/>
        </w:rPr>
        <w:t xml:space="preserve">AGRAVO EM RECURSO ESPECIAL. RESPONSABILIDADE CIVIL. INSCRIÇÃO INDEVIDA. DÍVIDA INEXISTENTE. DANOS MORAIS. VALOR. </w:t>
      </w:r>
      <w:r w:rsidRPr="001A50DB">
        <w:rPr>
          <w:rFonts w:ascii="Times New Roman" w:hAnsi="Times New Roman"/>
          <w:b/>
        </w:rPr>
        <w:t>VIOLAÇÃO A ARTIGO DA CONSTITUIÇÃO</w:t>
      </w:r>
      <w:r w:rsidRPr="001A50DB">
        <w:rPr>
          <w:rFonts w:ascii="Times New Roman" w:hAnsi="Times New Roman"/>
        </w:rPr>
        <w:t xml:space="preserve">. VIOLAÇÃO A ARTIGO DE LEI. 1. </w:t>
      </w:r>
      <w:r w:rsidRPr="001A50DB">
        <w:rPr>
          <w:rFonts w:ascii="Times New Roman" w:hAnsi="Times New Roman"/>
          <w:b/>
        </w:rPr>
        <w:t>Não cabe ao STJ, em sede de recurso especial, o exame de matéria constitucional</w:t>
      </w:r>
      <w:r w:rsidRPr="001A50DB">
        <w:rPr>
          <w:rFonts w:ascii="Times New Roman" w:hAnsi="Times New Roman"/>
        </w:rPr>
        <w:t>. 2. Configura deficiência de fundamentação do recurso especial a ausência de indicação precisa de artigo de lei violado ou a respeito de cuja interpretação divergiu o acórdão recorrido. Incidência da Súmula 284/STF. 3. Consoante entendimento pacificado no âmbito desta Corte, o valor da indenização por danos morais só pode ser alterado na instância especial quando manifestamente ínfimo ou exagerado, o que não se verifica na hipótese dos autos. 4. Agravo regimental a que se nega provimento</w:t>
      </w:r>
      <w:r>
        <w:rPr>
          <w:rFonts w:ascii="Times New Roman" w:hAnsi="Times New Roman"/>
        </w:rPr>
        <w:t xml:space="preserve"> (</w:t>
      </w:r>
      <w:r w:rsidRPr="001A50DB">
        <w:rPr>
          <w:rFonts w:ascii="Times New Roman" w:hAnsi="Times New Roman"/>
        </w:rPr>
        <w:t xml:space="preserve">BRASIL. </w:t>
      </w:r>
      <w:r w:rsidRPr="006E5386">
        <w:rPr>
          <w:rFonts w:ascii="Times New Roman" w:hAnsi="Times New Roman"/>
        </w:rPr>
        <w:t>Superior Tribunal de Justiça</w:t>
      </w:r>
      <w:r w:rsidRPr="001A50DB">
        <w:rPr>
          <w:rFonts w:ascii="Times New Roman" w:hAnsi="Times New Roman"/>
        </w:rPr>
        <w:t xml:space="preserve">. </w:t>
      </w:r>
      <w:r w:rsidRPr="00817DF9">
        <w:rPr>
          <w:rFonts w:ascii="Times New Roman" w:hAnsi="Times New Roman"/>
        </w:rPr>
        <w:t xml:space="preserve">AgRg no AREsp 418.395/RS. Rel. Min. Maria Isabel Gallotti. </w:t>
      </w:r>
      <w:r w:rsidRPr="001A50DB">
        <w:rPr>
          <w:rFonts w:ascii="Times New Roman" w:hAnsi="Times New Roman"/>
        </w:rPr>
        <w:t>DJe: 10.12.2013.</w:t>
      </w:r>
      <w:r>
        <w:rPr>
          <w:rFonts w:ascii="Times New Roman" w:hAnsi="Times New Roman"/>
        </w:rPr>
        <w:t xml:space="preserve"> Disponível em:  </w:t>
      </w:r>
      <w:r w:rsidRPr="00653D89">
        <w:rPr>
          <w:rFonts w:ascii="Times New Roman" w:hAnsi="Times New Roman"/>
        </w:rPr>
        <w:t>https://ww2.stj.jus.br/processo/revista/inteiroteor/?num_registro=201303585444&amp;dt_publicacao=10/12/2013</w:t>
      </w:r>
      <w:r>
        <w:rPr>
          <w:rFonts w:ascii="Times New Roman" w:hAnsi="Times New Roman"/>
        </w:rPr>
        <w:t xml:space="preserve">. Acesso em: 27 mar. 2015 – grifos nossos). </w:t>
      </w:r>
    </w:p>
  </w:footnote>
  <w:footnote w:id="180">
    <w:p w:rsidR="00D549BC" w:rsidRDefault="00D549BC" w:rsidP="00857BEC">
      <w:pPr>
        <w:pStyle w:val="FootnoteText"/>
        <w:ind w:firstLine="0"/>
      </w:pPr>
      <w:r w:rsidRPr="00857BEC">
        <w:rPr>
          <w:rStyle w:val="FootnoteReference"/>
          <w:rFonts w:ascii="Times New Roman" w:hAnsi="Times New Roman"/>
        </w:rPr>
        <w:footnoteRef/>
      </w:r>
      <w:r>
        <w:rPr>
          <w:rFonts w:ascii="Times New Roman" w:hAnsi="Times New Roman"/>
        </w:rPr>
        <w:t xml:space="preserve"> </w:t>
      </w:r>
      <w:r w:rsidRPr="00857BEC">
        <w:rPr>
          <w:rFonts w:ascii="Times New Roman" w:hAnsi="Times New Roman"/>
        </w:rPr>
        <w:t>EMENTA: AGRAVO REGIMENTAL NO RECURSO</w:t>
      </w:r>
      <w:r>
        <w:rPr>
          <w:rFonts w:ascii="Times New Roman" w:hAnsi="Times New Roman"/>
        </w:rPr>
        <w:t xml:space="preserve"> </w:t>
      </w:r>
      <w:r w:rsidRPr="00857BEC">
        <w:rPr>
          <w:rFonts w:ascii="Times New Roman" w:hAnsi="Times New Roman"/>
        </w:rPr>
        <w:t>EXTRAORDINÁRIO COM AGRAVO. PROCESSUAL PENAL.</w:t>
      </w:r>
      <w:r>
        <w:rPr>
          <w:rFonts w:ascii="Times New Roman" w:hAnsi="Times New Roman"/>
        </w:rPr>
        <w:t xml:space="preserve"> </w:t>
      </w:r>
      <w:r w:rsidRPr="00857BEC">
        <w:rPr>
          <w:rFonts w:ascii="Times New Roman" w:hAnsi="Times New Roman"/>
        </w:rPr>
        <w:t>TRIBUNAL DO JÚRI. 1. Inexistência de contrariedade ao art. 93, inc. IX,</w:t>
      </w:r>
      <w:r>
        <w:rPr>
          <w:rFonts w:ascii="Times New Roman" w:hAnsi="Times New Roman"/>
        </w:rPr>
        <w:t xml:space="preserve"> </w:t>
      </w:r>
      <w:r w:rsidRPr="00857BEC">
        <w:rPr>
          <w:rFonts w:ascii="Times New Roman" w:hAnsi="Times New Roman"/>
        </w:rPr>
        <w:t>da Constituição da República. 2. Ausência de impugnação dos</w:t>
      </w:r>
      <w:r>
        <w:rPr>
          <w:rFonts w:ascii="Times New Roman" w:hAnsi="Times New Roman"/>
        </w:rPr>
        <w:t xml:space="preserve"> </w:t>
      </w:r>
      <w:r w:rsidRPr="00857BEC">
        <w:rPr>
          <w:rFonts w:ascii="Times New Roman" w:hAnsi="Times New Roman"/>
        </w:rPr>
        <w:t>fundamentos da decisão de inadmissibilidade do recurso extraordinário.</w:t>
      </w:r>
      <w:r>
        <w:rPr>
          <w:rFonts w:ascii="Times New Roman" w:hAnsi="Times New Roman"/>
        </w:rPr>
        <w:t xml:space="preserve"> </w:t>
      </w:r>
      <w:r w:rsidRPr="00857BEC">
        <w:rPr>
          <w:rFonts w:ascii="Times New Roman" w:hAnsi="Times New Roman"/>
        </w:rPr>
        <w:t xml:space="preserve">Súmula n. 287 do Supremo Tribunal Federal. 3. </w:t>
      </w:r>
      <w:r w:rsidRPr="00857BEC">
        <w:rPr>
          <w:rFonts w:ascii="Times New Roman" w:hAnsi="Times New Roman"/>
          <w:b/>
        </w:rPr>
        <w:t>Alegada afronta aos princípios constitucionais do contraditório, da ampla defesa e do devido processo legal</w:t>
      </w:r>
      <w:r w:rsidRPr="00857BEC">
        <w:rPr>
          <w:rFonts w:ascii="Times New Roman" w:hAnsi="Times New Roman"/>
        </w:rPr>
        <w:t xml:space="preserve">. </w:t>
      </w:r>
      <w:r w:rsidRPr="00857BEC">
        <w:rPr>
          <w:rFonts w:ascii="Times New Roman" w:hAnsi="Times New Roman"/>
          <w:b/>
        </w:rPr>
        <w:t>Necessidade de análise de matéria infraconstitucional: ofensa constitucional indireta</w:t>
      </w:r>
      <w:r w:rsidRPr="00857BEC">
        <w:rPr>
          <w:rFonts w:ascii="Times New Roman" w:hAnsi="Times New Roman"/>
        </w:rPr>
        <w:t>. 4. Nulidade do julgamento proferido pelo</w:t>
      </w:r>
      <w:r>
        <w:rPr>
          <w:rFonts w:ascii="Times New Roman" w:hAnsi="Times New Roman"/>
        </w:rPr>
        <w:t xml:space="preserve"> </w:t>
      </w:r>
      <w:r w:rsidRPr="00857BEC">
        <w:rPr>
          <w:rFonts w:ascii="Times New Roman" w:hAnsi="Times New Roman"/>
        </w:rPr>
        <w:t>Tribunal do Júri. Reexame de fatos e provas: Súmula n. 279 do Supremo</w:t>
      </w:r>
      <w:r>
        <w:rPr>
          <w:rFonts w:ascii="Times New Roman" w:hAnsi="Times New Roman"/>
        </w:rPr>
        <w:t xml:space="preserve"> </w:t>
      </w:r>
      <w:r w:rsidRPr="00857BEC">
        <w:rPr>
          <w:rFonts w:ascii="Times New Roman" w:hAnsi="Times New Roman"/>
        </w:rPr>
        <w:t>Tribunal Federal. 5. Agravo regime</w:t>
      </w:r>
      <w:r>
        <w:rPr>
          <w:rFonts w:ascii="Times New Roman" w:hAnsi="Times New Roman"/>
        </w:rPr>
        <w:t>ntal ao qual se nega provimento (</w:t>
      </w:r>
      <w:r w:rsidRPr="00857BEC">
        <w:rPr>
          <w:rFonts w:ascii="Times New Roman" w:hAnsi="Times New Roman"/>
        </w:rPr>
        <w:t xml:space="preserve">BRASIL. </w:t>
      </w:r>
      <w:r w:rsidRPr="00C64B30">
        <w:rPr>
          <w:rFonts w:ascii="Times New Roman" w:hAnsi="Times New Roman"/>
        </w:rPr>
        <w:t>Supremo Tribunal Federal</w:t>
      </w:r>
      <w:r w:rsidRPr="00857BEC">
        <w:rPr>
          <w:rFonts w:ascii="Times New Roman" w:hAnsi="Times New Roman"/>
        </w:rPr>
        <w:t xml:space="preserve">. </w:t>
      </w:r>
      <w:r w:rsidRPr="000C3190">
        <w:rPr>
          <w:rFonts w:ascii="Times New Roman" w:hAnsi="Times New Roman"/>
        </w:rPr>
        <w:t xml:space="preserve">ARE 769.536 AgR/RR. Rel. </w:t>
      </w:r>
      <w:r w:rsidRPr="00F07956">
        <w:rPr>
          <w:rFonts w:ascii="Times New Roman" w:hAnsi="Times New Roman"/>
        </w:rPr>
        <w:t xml:space="preserve">Min. Cármen Lúcia. </w:t>
      </w:r>
      <w:r w:rsidRPr="00857BEC">
        <w:rPr>
          <w:rFonts w:ascii="Times New Roman" w:hAnsi="Times New Roman"/>
        </w:rPr>
        <w:t>DJe: 10.12.2013.</w:t>
      </w:r>
      <w:r>
        <w:rPr>
          <w:rFonts w:ascii="Times New Roman" w:hAnsi="Times New Roman"/>
        </w:rPr>
        <w:t xml:space="preserve"> Disponível em: </w:t>
      </w:r>
      <w:r w:rsidRPr="00C64B30">
        <w:rPr>
          <w:rFonts w:ascii="Times New Roman" w:hAnsi="Times New Roman"/>
        </w:rPr>
        <w:t>http://redir.stf.jus.br/paginadorpub/paginador.jsp?docTP=TP&amp;docID=5004893</w:t>
      </w:r>
      <w:r>
        <w:rPr>
          <w:rFonts w:ascii="Times New Roman" w:hAnsi="Times New Roman"/>
        </w:rPr>
        <w:t xml:space="preserve">. Acesso em: 27 mar. 2015). </w:t>
      </w:r>
    </w:p>
  </w:footnote>
  <w:footnote w:id="181">
    <w:p w:rsidR="00D549BC" w:rsidRDefault="00D549BC" w:rsidP="00E91C1F">
      <w:pPr>
        <w:pStyle w:val="FootnoteText"/>
        <w:ind w:firstLine="0"/>
      </w:pPr>
      <w:r w:rsidRPr="00E91C1F">
        <w:rPr>
          <w:rStyle w:val="FootnoteReference"/>
          <w:rFonts w:ascii="Times New Roman" w:hAnsi="Times New Roman"/>
        </w:rPr>
        <w:footnoteRef/>
      </w:r>
      <w:r w:rsidRPr="00E91C1F">
        <w:rPr>
          <w:rFonts w:ascii="Times New Roman" w:hAnsi="Times New Roman"/>
        </w:rPr>
        <w:t xml:space="preserve"> </w:t>
      </w:r>
      <w:r>
        <w:rPr>
          <w:rFonts w:ascii="Times New Roman" w:hAnsi="Times New Roman"/>
        </w:rPr>
        <w:t xml:space="preserve">BRASIL. </w:t>
      </w:r>
      <w:r w:rsidRPr="00B2455E">
        <w:rPr>
          <w:rFonts w:ascii="Times New Roman" w:hAnsi="Times New Roman"/>
        </w:rPr>
        <w:t>Supremo Tribunal Federal</w:t>
      </w:r>
      <w:r>
        <w:rPr>
          <w:rFonts w:ascii="Times New Roman" w:hAnsi="Times New Roman"/>
        </w:rPr>
        <w:t xml:space="preserve">. Disponível em: </w:t>
      </w:r>
      <w:r w:rsidRPr="00A71A36">
        <w:rPr>
          <w:rFonts w:ascii="Times New Roman" w:hAnsi="Times New Roman"/>
        </w:rPr>
        <w:t>http://www.stf.jus.br/portal/cms/verTexto.asp?servico=jurisprudenciaSumula</w:t>
      </w:r>
      <w:r>
        <w:rPr>
          <w:rFonts w:ascii="Times New Roman" w:hAnsi="Times New Roman"/>
        </w:rPr>
        <w:t xml:space="preserve">. Acesso em: 30 mar. 2015.      </w:t>
      </w:r>
    </w:p>
  </w:footnote>
  <w:footnote w:id="182">
    <w:p w:rsidR="00D549BC" w:rsidRDefault="00D549BC" w:rsidP="00A55732">
      <w:pPr>
        <w:pStyle w:val="FootnoteText"/>
        <w:ind w:firstLine="0"/>
      </w:pPr>
      <w:r w:rsidRPr="00A55732">
        <w:rPr>
          <w:rStyle w:val="FootnoteReference"/>
          <w:rFonts w:ascii="Times New Roman" w:hAnsi="Times New Roman"/>
        </w:rPr>
        <w:footnoteRef/>
      </w:r>
      <w:r w:rsidRPr="00A55732">
        <w:rPr>
          <w:rFonts w:ascii="Times New Roman" w:hAnsi="Times New Roman"/>
        </w:rPr>
        <w:t xml:space="preserve"> PROCESSUAL CIVIL E ADMINISTRATIVO. NEGATIVA DE PRESTAÇÃO</w:t>
      </w:r>
      <w:r>
        <w:rPr>
          <w:rFonts w:ascii="Times New Roman" w:hAnsi="Times New Roman"/>
        </w:rPr>
        <w:t xml:space="preserve"> </w:t>
      </w:r>
      <w:r w:rsidRPr="00A55732">
        <w:rPr>
          <w:rFonts w:ascii="Times New Roman" w:hAnsi="Times New Roman"/>
        </w:rPr>
        <w:t>JURISDICIONAL NÃO CONFIGURADA. OMISSÃO QUANTO A DISPOSITIVOS</w:t>
      </w:r>
      <w:r>
        <w:rPr>
          <w:rFonts w:ascii="Times New Roman" w:hAnsi="Times New Roman"/>
        </w:rPr>
        <w:t xml:space="preserve"> </w:t>
      </w:r>
      <w:r w:rsidRPr="00A55732">
        <w:rPr>
          <w:rFonts w:ascii="Times New Roman" w:hAnsi="Times New Roman"/>
        </w:rPr>
        <w:t>CONSTITUCIONAIS.</w:t>
      </w:r>
      <w:r>
        <w:rPr>
          <w:rFonts w:ascii="Times New Roman" w:hAnsi="Times New Roman"/>
        </w:rPr>
        <w:t xml:space="preserve"> </w:t>
      </w:r>
      <w:r w:rsidRPr="00A55732">
        <w:rPr>
          <w:rFonts w:ascii="Times New Roman" w:hAnsi="Times New Roman"/>
        </w:rPr>
        <w:t>1. Alegações genéricas quanto às prefaciais de afronta ao artigo 535 do Código de</w:t>
      </w:r>
      <w:r>
        <w:rPr>
          <w:rFonts w:ascii="Times New Roman" w:hAnsi="Times New Roman"/>
        </w:rPr>
        <w:t xml:space="preserve"> </w:t>
      </w:r>
      <w:r w:rsidRPr="00A55732">
        <w:rPr>
          <w:rFonts w:ascii="Times New Roman" w:hAnsi="Times New Roman"/>
        </w:rPr>
        <w:t xml:space="preserve">Processo Civil não bastam à abertura da via especial pela alínea </w:t>
      </w:r>
      <w:r>
        <w:rPr>
          <w:rFonts w:ascii="Times New Roman" w:hAnsi="Times New Roman"/>
        </w:rPr>
        <w:t>“a”</w:t>
      </w:r>
      <w:r w:rsidRPr="00A55732">
        <w:rPr>
          <w:rFonts w:ascii="Times New Roman" w:hAnsi="Times New Roman"/>
        </w:rPr>
        <w:t xml:space="preserve"> do permissivo</w:t>
      </w:r>
      <w:r>
        <w:rPr>
          <w:rFonts w:ascii="Times New Roman" w:hAnsi="Times New Roman"/>
        </w:rPr>
        <w:t xml:space="preserve"> </w:t>
      </w:r>
      <w:r w:rsidRPr="00A55732">
        <w:rPr>
          <w:rFonts w:ascii="Times New Roman" w:hAnsi="Times New Roman"/>
        </w:rPr>
        <w:t>constitucional, a teor do que dispõe a Súmula 284 do Supremo Tribunal Federal.</w:t>
      </w:r>
      <w:r>
        <w:rPr>
          <w:rFonts w:ascii="Times New Roman" w:hAnsi="Times New Roman"/>
        </w:rPr>
        <w:t xml:space="preserve"> </w:t>
      </w:r>
      <w:r w:rsidRPr="00A55732">
        <w:rPr>
          <w:rFonts w:ascii="Times New Roman" w:hAnsi="Times New Roman"/>
        </w:rPr>
        <w:t xml:space="preserve">2. </w:t>
      </w:r>
      <w:r w:rsidRPr="00A55732">
        <w:rPr>
          <w:rFonts w:ascii="Times New Roman" w:hAnsi="Times New Roman"/>
          <w:b/>
          <w:i/>
        </w:rPr>
        <w:t>O Supremo Tribunal Federal, diferentemente do Superior Tribunal de Justiça, adota o chamado “prequestionamento ficto”, de modo que a mera oposição dos embargos declaratórios, por si só, já preenche o requisito do prequestionamento para fins de interposição de recurso extraordinário, não havendo prejuízos à parte pela rejeição dos aclaratórios, em face do disposto na Súmula 356/STF</w:t>
      </w:r>
      <w:r w:rsidRPr="00A55732">
        <w:rPr>
          <w:rFonts w:ascii="Times New Roman" w:hAnsi="Times New Roman"/>
        </w:rPr>
        <w:t>.</w:t>
      </w:r>
      <w:r>
        <w:rPr>
          <w:rFonts w:ascii="Times New Roman" w:hAnsi="Times New Roman"/>
        </w:rPr>
        <w:t xml:space="preserve"> </w:t>
      </w:r>
      <w:r w:rsidRPr="00A55732">
        <w:rPr>
          <w:rFonts w:ascii="Times New Roman" w:hAnsi="Times New Roman"/>
        </w:rPr>
        <w:t>3. Inexiste violação ao art. 535 do CPC, quando o Tribunal de origem analisa todas</w:t>
      </w:r>
      <w:r>
        <w:rPr>
          <w:rFonts w:ascii="Times New Roman" w:hAnsi="Times New Roman"/>
        </w:rPr>
        <w:t xml:space="preserve"> </w:t>
      </w:r>
      <w:r w:rsidRPr="00A55732">
        <w:rPr>
          <w:rFonts w:ascii="Times New Roman" w:hAnsi="Times New Roman"/>
        </w:rPr>
        <w:t>as questões relevantes ao deslinde da controvérsia de modo suficiente e integral.</w:t>
      </w:r>
      <w:r>
        <w:rPr>
          <w:rFonts w:ascii="Times New Roman" w:hAnsi="Times New Roman"/>
        </w:rPr>
        <w:t xml:space="preserve"> </w:t>
      </w:r>
      <w:r w:rsidRPr="00A55732">
        <w:rPr>
          <w:rFonts w:ascii="Times New Roman" w:hAnsi="Times New Roman"/>
        </w:rPr>
        <w:t>4. Agravo regimental não provido.</w:t>
      </w:r>
      <w:r>
        <w:rPr>
          <w:rFonts w:ascii="Times New Roman" w:hAnsi="Times New Roman"/>
        </w:rPr>
        <w:t xml:space="preserve"> (</w:t>
      </w:r>
      <w:r w:rsidRPr="001A50DB">
        <w:rPr>
          <w:rFonts w:ascii="Times New Roman" w:hAnsi="Times New Roman"/>
        </w:rPr>
        <w:t xml:space="preserve">BRASIL. </w:t>
      </w:r>
      <w:r w:rsidRPr="00A71A36">
        <w:rPr>
          <w:rFonts w:ascii="Times New Roman" w:hAnsi="Times New Roman"/>
        </w:rPr>
        <w:t>Superior Tribunal de Justiça</w:t>
      </w:r>
      <w:r w:rsidRPr="001A50DB">
        <w:rPr>
          <w:rFonts w:ascii="Times New Roman" w:hAnsi="Times New Roman"/>
        </w:rPr>
        <w:t xml:space="preserve">. </w:t>
      </w:r>
      <w:r w:rsidRPr="0014370F">
        <w:rPr>
          <w:rFonts w:ascii="Times New Roman" w:hAnsi="Times New Roman"/>
        </w:rPr>
        <w:t xml:space="preserve">AgRg no Ag 1.113.494/SP. Rel. </w:t>
      </w:r>
      <w:r w:rsidRPr="00A55732">
        <w:rPr>
          <w:rFonts w:ascii="Times New Roman" w:hAnsi="Times New Roman"/>
        </w:rPr>
        <w:t>Min. Castro Meira.</w:t>
      </w:r>
      <w:r>
        <w:rPr>
          <w:rFonts w:ascii="Times New Roman" w:hAnsi="Times New Roman"/>
        </w:rPr>
        <w:t xml:space="preserve"> DJe: 29.05.2009. Disponível em: </w:t>
      </w:r>
      <w:r w:rsidRPr="00A71A36">
        <w:rPr>
          <w:rFonts w:ascii="Times New Roman" w:hAnsi="Times New Roman"/>
        </w:rPr>
        <w:t>https://ww2.stj.jus.br/processo/revista/inteiroteor/?num_registro=200802302980&amp;dt_publicacao=29/05/2009</w:t>
      </w:r>
      <w:r>
        <w:rPr>
          <w:rFonts w:ascii="Times New Roman" w:hAnsi="Times New Roman"/>
        </w:rPr>
        <w:t>. Acesso em: 30 de mar. 2015 – grifos nossos).</w:t>
      </w:r>
    </w:p>
  </w:footnote>
  <w:footnote w:id="183">
    <w:p w:rsidR="00D549BC" w:rsidRDefault="00D549BC" w:rsidP="00910497">
      <w:pPr>
        <w:pStyle w:val="FootnoteText"/>
        <w:ind w:firstLine="0"/>
      </w:pPr>
      <w:r w:rsidRPr="00910497">
        <w:rPr>
          <w:rStyle w:val="FootnoteReference"/>
          <w:rFonts w:ascii="Times New Roman" w:hAnsi="Times New Roman"/>
        </w:rPr>
        <w:footnoteRef/>
      </w:r>
      <w:r w:rsidRPr="00910497">
        <w:rPr>
          <w:rFonts w:ascii="Times New Roman" w:hAnsi="Times New Roman"/>
        </w:rPr>
        <w:t xml:space="preserve"> </w:t>
      </w:r>
      <w:r w:rsidRPr="00857BEC">
        <w:rPr>
          <w:rFonts w:ascii="Times New Roman" w:hAnsi="Times New Roman"/>
        </w:rPr>
        <w:t xml:space="preserve">BRASIL. </w:t>
      </w:r>
      <w:r w:rsidRPr="00916D7B">
        <w:rPr>
          <w:rFonts w:ascii="Times New Roman" w:hAnsi="Times New Roman"/>
        </w:rPr>
        <w:t>Supremo Tribunal Federal</w:t>
      </w:r>
      <w:r w:rsidRPr="00857BEC">
        <w:rPr>
          <w:rFonts w:ascii="Times New Roman" w:hAnsi="Times New Roman"/>
        </w:rPr>
        <w:t>.</w:t>
      </w:r>
      <w:r>
        <w:rPr>
          <w:rFonts w:ascii="Times New Roman" w:hAnsi="Times New Roman"/>
        </w:rPr>
        <w:t xml:space="preserve"> </w:t>
      </w:r>
      <w:r w:rsidRPr="0014370F">
        <w:rPr>
          <w:rFonts w:ascii="Times New Roman" w:hAnsi="Times New Roman"/>
          <w:lang w:val="en-US"/>
        </w:rPr>
        <w:t xml:space="preserve">ARE 644.840 AgR/DF. Rel. Min. Luiz Fux. </w:t>
      </w:r>
      <w:r w:rsidRPr="00910497">
        <w:rPr>
          <w:rFonts w:ascii="Times New Roman" w:hAnsi="Times New Roman"/>
        </w:rPr>
        <w:t>DJe: 13.08.2013. Disponível em</w:t>
      </w:r>
      <w:r>
        <w:rPr>
          <w:rFonts w:ascii="Times New Roman" w:hAnsi="Times New Roman"/>
        </w:rPr>
        <w:t>:</w:t>
      </w:r>
      <w:r w:rsidRPr="00910497">
        <w:rPr>
          <w:rFonts w:ascii="Times New Roman" w:hAnsi="Times New Roman"/>
        </w:rPr>
        <w:t xml:space="preserve"> </w:t>
      </w:r>
      <w:r w:rsidRPr="00916D7B">
        <w:rPr>
          <w:rFonts w:ascii="Times New Roman" w:hAnsi="Times New Roman"/>
        </w:rPr>
        <w:t>http://redir.stf.jus.br/paginadorpub/paginador.jsp?docTP=TP&amp;docID=4313255</w:t>
      </w:r>
      <w:r>
        <w:rPr>
          <w:rFonts w:ascii="Times New Roman" w:hAnsi="Times New Roman"/>
        </w:rPr>
        <w:t xml:space="preserve">. Acesso em: 30 mar. 2015.  </w:t>
      </w:r>
    </w:p>
  </w:footnote>
  <w:footnote w:id="184">
    <w:p w:rsidR="00D549BC" w:rsidRDefault="00D549BC" w:rsidP="002E6A34">
      <w:pPr>
        <w:pStyle w:val="FootnoteText"/>
        <w:ind w:firstLine="0"/>
      </w:pPr>
      <w:r w:rsidRPr="002E6A34">
        <w:rPr>
          <w:rStyle w:val="FootnoteReference"/>
          <w:rFonts w:ascii="Times New Roman" w:hAnsi="Times New Roman"/>
        </w:rPr>
        <w:footnoteRef/>
      </w:r>
      <w:r w:rsidRPr="002E6A34">
        <w:rPr>
          <w:rFonts w:ascii="Times New Roman" w:hAnsi="Times New Roman"/>
        </w:rPr>
        <w:t xml:space="preserve"> </w:t>
      </w:r>
      <w:r>
        <w:rPr>
          <w:rFonts w:ascii="Times New Roman" w:hAnsi="Times New Roman"/>
        </w:rPr>
        <w:t xml:space="preserve">BRASIL. </w:t>
      </w:r>
      <w:r w:rsidRPr="00A35401">
        <w:rPr>
          <w:rFonts w:ascii="Times New Roman" w:hAnsi="Times New Roman"/>
        </w:rPr>
        <w:t>Supremo Tribunal Federal</w:t>
      </w:r>
      <w:r>
        <w:rPr>
          <w:rFonts w:ascii="Times New Roman" w:hAnsi="Times New Roman"/>
        </w:rPr>
        <w:t xml:space="preserve">. </w:t>
      </w:r>
      <w:r w:rsidRPr="002E6A34">
        <w:rPr>
          <w:rFonts w:ascii="Times New Roman" w:hAnsi="Times New Roman"/>
        </w:rPr>
        <w:t>AI 664</w:t>
      </w:r>
      <w:r>
        <w:rPr>
          <w:rFonts w:ascii="Times New Roman" w:hAnsi="Times New Roman"/>
        </w:rPr>
        <w:t xml:space="preserve">.567 QO/RS. Rel. Min. Sepúlveda Pertence (Aposentado). DJe: 06.09.2007. Disponível em: </w:t>
      </w:r>
      <w:r w:rsidRPr="00A35401">
        <w:rPr>
          <w:rFonts w:ascii="Times New Roman" w:hAnsi="Times New Roman"/>
        </w:rPr>
        <w:t>http://redir.stf.jus.br/paginadorpub/paginador.jsp?docTP=AC&amp;docID=485554</w:t>
      </w:r>
      <w:r>
        <w:rPr>
          <w:rFonts w:ascii="Times New Roman" w:hAnsi="Times New Roman"/>
        </w:rPr>
        <w:t xml:space="preserve">. Acesso em: 31 mar. 2015. </w:t>
      </w:r>
    </w:p>
  </w:footnote>
  <w:footnote w:id="185">
    <w:p w:rsidR="00D549BC" w:rsidRDefault="00D549BC" w:rsidP="007B23D2">
      <w:pPr>
        <w:pStyle w:val="FootnoteText"/>
        <w:ind w:firstLine="0"/>
      </w:pPr>
      <w:r w:rsidRPr="007B23D2">
        <w:rPr>
          <w:rStyle w:val="FootnoteReference"/>
          <w:rFonts w:ascii="Times New Roman" w:hAnsi="Times New Roman"/>
        </w:rPr>
        <w:footnoteRef/>
      </w:r>
      <w:r>
        <w:rPr>
          <w:rFonts w:ascii="Times New Roman" w:hAnsi="Times New Roman"/>
        </w:rPr>
        <w:t xml:space="preserve"> Art. 5º “</w:t>
      </w:r>
      <w:r w:rsidRPr="007B23D2">
        <w:rPr>
          <w:rFonts w:ascii="Times New Roman" w:hAnsi="Times New Roman"/>
        </w:rPr>
        <w:t>Esta Lei entra em vigor 60 (sessenta) dias após a data de sua publicação</w:t>
      </w:r>
      <w:r>
        <w:rPr>
          <w:rFonts w:ascii="Times New Roman" w:hAnsi="Times New Roman"/>
        </w:rPr>
        <w:t xml:space="preserve">” (BRASIL. </w:t>
      </w:r>
      <w:r w:rsidRPr="00A108B0">
        <w:rPr>
          <w:rFonts w:ascii="Times New Roman" w:hAnsi="Times New Roman"/>
        </w:rPr>
        <w:t>Planalto</w:t>
      </w:r>
      <w:r>
        <w:rPr>
          <w:rFonts w:ascii="Times New Roman" w:hAnsi="Times New Roman"/>
        </w:rPr>
        <w:t xml:space="preserve">. Lei 11.418, de 19 de dezembro de 2006. Disponível em: </w:t>
      </w:r>
      <w:r w:rsidRPr="00A108B0">
        <w:rPr>
          <w:rFonts w:ascii="Times New Roman" w:hAnsi="Times New Roman"/>
        </w:rPr>
        <w:t>http://www.planalto.gov.br/ccivil_03/_ato2004-2006/2006/lei/l11418.htm</w:t>
      </w:r>
      <w:r>
        <w:rPr>
          <w:rFonts w:ascii="Times New Roman" w:hAnsi="Times New Roman"/>
        </w:rPr>
        <w:t xml:space="preserve">. Acesso em: 1º abr. 2015).  </w:t>
      </w:r>
    </w:p>
  </w:footnote>
  <w:footnote w:id="186">
    <w:p w:rsidR="00D549BC" w:rsidRDefault="00D549BC" w:rsidP="00AD02BF">
      <w:pPr>
        <w:pStyle w:val="FootnoteText"/>
        <w:ind w:firstLine="0"/>
      </w:pPr>
      <w:r w:rsidRPr="00AD02BF">
        <w:rPr>
          <w:rStyle w:val="FootnoteReference"/>
          <w:rFonts w:ascii="Times New Roman" w:hAnsi="Times New Roman"/>
        </w:rPr>
        <w:footnoteRef/>
      </w:r>
      <w:r>
        <w:rPr>
          <w:rFonts w:ascii="Times New Roman" w:hAnsi="Times New Roman"/>
        </w:rPr>
        <w:t>Art. 543-A,</w:t>
      </w:r>
      <w:r w:rsidRPr="00AD02BF">
        <w:rPr>
          <w:rFonts w:ascii="Times New Roman" w:hAnsi="Times New Roman"/>
        </w:rPr>
        <w:t xml:space="preserve"> </w:t>
      </w:r>
      <w:r>
        <w:rPr>
          <w:rFonts w:ascii="Times New Roman" w:hAnsi="Times New Roman"/>
        </w:rPr>
        <w:t xml:space="preserve">§ 5º </w:t>
      </w:r>
      <w:r w:rsidRPr="00A0742F">
        <w:rPr>
          <w:rFonts w:ascii="Times New Roman" w:hAnsi="Times New Roman"/>
          <w:i/>
        </w:rPr>
        <w:t>Negada a existência da repercussão geral, a decisão valerá para todos os recursos sobre matéria idêntica, que serão indeferidos liminarmente, salvo revisão da tese, tudo nos termos do Regimento Interno do Supremo Tribunal Federal</w:t>
      </w:r>
      <w:r w:rsidRPr="00AD02BF">
        <w:rPr>
          <w:rFonts w:ascii="Times New Roman" w:hAnsi="Times New Roman"/>
        </w:rPr>
        <w:t>.</w:t>
      </w:r>
    </w:p>
  </w:footnote>
  <w:footnote w:id="187">
    <w:p w:rsidR="00D549BC" w:rsidRDefault="00D549BC" w:rsidP="003524E5">
      <w:pPr>
        <w:pStyle w:val="FootnoteText"/>
        <w:ind w:firstLine="0"/>
      </w:pPr>
      <w:r w:rsidRPr="00A75405">
        <w:rPr>
          <w:rStyle w:val="FootnoteReference"/>
          <w:rFonts w:ascii="Times New Roman" w:hAnsi="Times New Roman"/>
        </w:rPr>
        <w:footnoteRef/>
      </w:r>
      <w:r w:rsidRPr="00A75405">
        <w:rPr>
          <w:rFonts w:ascii="Times New Roman" w:hAnsi="Times New Roman"/>
        </w:rPr>
        <w:t xml:space="preserve"> Trata-se, segundo</w:t>
      </w:r>
      <w:r>
        <w:rPr>
          <w:rFonts w:ascii="Times New Roman" w:hAnsi="Times New Roman"/>
        </w:rPr>
        <w:t xml:space="preserve"> </w:t>
      </w:r>
      <w:r w:rsidRPr="003524E5">
        <w:rPr>
          <w:rFonts w:ascii="Times New Roman" w:hAnsi="Times New Roman"/>
        </w:rPr>
        <w:t>ANDRÉ DE ALBUQUERQUE CAVALCANTI ABBUD</w:t>
      </w:r>
      <w:r w:rsidRPr="00A75405">
        <w:rPr>
          <w:rFonts w:ascii="Times New Roman" w:hAnsi="Times New Roman"/>
        </w:rPr>
        <w:t>, de uma “modalidade qualificada desta, isto é,</w:t>
      </w:r>
      <w:r>
        <w:rPr>
          <w:rFonts w:ascii="Times New Roman" w:hAnsi="Times New Roman"/>
        </w:rPr>
        <w:t xml:space="preserve"> </w:t>
      </w:r>
      <w:r w:rsidRPr="00A75405">
        <w:rPr>
          <w:rFonts w:ascii="Times New Roman" w:hAnsi="Times New Roman"/>
        </w:rPr>
        <w:t xml:space="preserve">presunção absoluta, </w:t>
      </w:r>
      <w:r w:rsidRPr="003524E5">
        <w:rPr>
          <w:rFonts w:ascii="Times New Roman" w:hAnsi="Times New Roman"/>
          <w:i/>
        </w:rPr>
        <w:t>iures et de iure</w:t>
      </w:r>
      <w:r w:rsidRPr="00A75405">
        <w:rPr>
          <w:rFonts w:ascii="Times New Roman" w:hAnsi="Times New Roman"/>
        </w:rPr>
        <w:t>, que não admite prova em contrário. Sendo assim, caso a decisão</w:t>
      </w:r>
      <w:r>
        <w:rPr>
          <w:rFonts w:ascii="Times New Roman" w:hAnsi="Times New Roman"/>
        </w:rPr>
        <w:t xml:space="preserve"> </w:t>
      </w:r>
      <w:r w:rsidRPr="00A75405">
        <w:rPr>
          <w:rFonts w:ascii="Times New Roman" w:hAnsi="Times New Roman"/>
        </w:rPr>
        <w:t>recorrida contrarie súmula ou jurisprudência dominante do Supremo Tribunal Federal, o conhecimento do</w:t>
      </w:r>
      <w:r>
        <w:rPr>
          <w:rFonts w:ascii="Times New Roman" w:hAnsi="Times New Roman"/>
        </w:rPr>
        <w:t xml:space="preserve"> </w:t>
      </w:r>
      <w:r w:rsidRPr="00A75405">
        <w:rPr>
          <w:rFonts w:ascii="Times New Roman" w:hAnsi="Times New Roman"/>
        </w:rPr>
        <w:t>extraordinário não poderá ser negado com base na ausência de repercussão geral. Dúvida poderá haver sobre</w:t>
      </w:r>
      <w:r>
        <w:rPr>
          <w:rFonts w:ascii="Times New Roman" w:hAnsi="Times New Roman"/>
        </w:rPr>
        <w:t xml:space="preserve"> </w:t>
      </w:r>
      <w:r w:rsidRPr="00A75405">
        <w:rPr>
          <w:rFonts w:ascii="Times New Roman" w:hAnsi="Times New Roman"/>
        </w:rPr>
        <w:t>tratar-se ou não de verdadeira contrariedade, ou de jurisprudência realmente dominante; fixados esses</w:t>
      </w:r>
      <w:r>
        <w:rPr>
          <w:rFonts w:ascii="Times New Roman" w:hAnsi="Times New Roman"/>
        </w:rPr>
        <w:t xml:space="preserve"> </w:t>
      </w:r>
      <w:r w:rsidRPr="00A75405">
        <w:rPr>
          <w:rFonts w:ascii="Times New Roman" w:hAnsi="Times New Roman"/>
        </w:rPr>
        <w:t>pontos, no entanto, a repercussão geral é ditada na lei</w:t>
      </w:r>
      <w:r>
        <w:rPr>
          <w:rFonts w:ascii="Times New Roman" w:hAnsi="Times New Roman"/>
        </w:rPr>
        <w:t>” (</w:t>
      </w:r>
      <w:r w:rsidRPr="003524E5">
        <w:rPr>
          <w:rFonts w:ascii="Times New Roman" w:hAnsi="Times New Roman"/>
        </w:rPr>
        <w:t xml:space="preserve">ABBUD, André de Albuquerque Cavalcanti. </w:t>
      </w:r>
      <w:r w:rsidRPr="00A108B0">
        <w:rPr>
          <w:rFonts w:ascii="Times New Roman" w:hAnsi="Times New Roman"/>
        </w:rPr>
        <w:t>A repercussão geral dos recursos extraordinários e o julgamento por amostragem no âmbito do Supremo Tribunal Federal.</w:t>
      </w:r>
      <w:r w:rsidRPr="003524E5">
        <w:rPr>
          <w:rFonts w:ascii="Times New Roman" w:hAnsi="Times New Roman"/>
        </w:rPr>
        <w:t xml:space="preserve"> In: MONTEIRO</w:t>
      </w:r>
      <w:r>
        <w:rPr>
          <w:rFonts w:ascii="Times New Roman" w:hAnsi="Times New Roman"/>
        </w:rPr>
        <w:t>,</w:t>
      </w:r>
      <w:r w:rsidRPr="003524E5">
        <w:rPr>
          <w:rFonts w:ascii="Times New Roman" w:hAnsi="Times New Roman"/>
        </w:rPr>
        <w:t xml:space="preserve"> Vítor José de Melo;</w:t>
      </w:r>
      <w:r>
        <w:rPr>
          <w:rFonts w:ascii="Times New Roman" w:hAnsi="Times New Roman"/>
        </w:rPr>
        <w:t xml:space="preserve"> </w:t>
      </w:r>
      <w:r w:rsidRPr="003524E5">
        <w:rPr>
          <w:rFonts w:ascii="Times New Roman" w:hAnsi="Times New Roman"/>
        </w:rPr>
        <w:t>GIANNICO</w:t>
      </w:r>
      <w:r>
        <w:rPr>
          <w:rFonts w:ascii="Times New Roman" w:hAnsi="Times New Roman"/>
        </w:rPr>
        <w:t>,</w:t>
      </w:r>
      <w:r w:rsidRPr="003524E5">
        <w:rPr>
          <w:rFonts w:ascii="Times New Roman" w:hAnsi="Times New Roman"/>
        </w:rPr>
        <w:t xml:space="preserve"> Maurício. (Org.). </w:t>
      </w:r>
      <w:r w:rsidRPr="00A108B0">
        <w:rPr>
          <w:rFonts w:ascii="Times New Roman" w:hAnsi="Times New Roman"/>
          <w:b/>
        </w:rPr>
        <w:t>As novas reformas do CPC e de outras normas processuais</w:t>
      </w:r>
      <w:r w:rsidRPr="003524E5">
        <w:rPr>
          <w:rFonts w:ascii="Times New Roman" w:hAnsi="Times New Roman"/>
        </w:rPr>
        <w:t xml:space="preserve">. São </w:t>
      </w:r>
      <w:r>
        <w:rPr>
          <w:rFonts w:ascii="Times New Roman" w:hAnsi="Times New Roman"/>
        </w:rPr>
        <w:t>Paulo: Saraiva, 2008, p. 303).</w:t>
      </w:r>
    </w:p>
  </w:footnote>
  <w:footnote w:id="188">
    <w:p w:rsidR="00D549BC" w:rsidRDefault="00D549BC" w:rsidP="008B3E17">
      <w:pPr>
        <w:pStyle w:val="FootnoteText"/>
        <w:ind w:firstLine="0"/>
        <w:rPr>
          <w:rFonts w:ascii="Times New Roman" w:hAnsi="Times New Roman"/>
        </w:rPr>
      </w:pPr>
      <w:r w:rsidRPr="008B3E17">
        <w:rPr>
          <w:rStyle w:val="FootnoteReference"/>
          <w:rFonts w:ascii="Times New Roman" w:hAnsi="Times New Roman"/>
        </w:rPr>
        <w:footnoteRef/>
      </w:r>
      <w:r>
        <w:rPr>
          <w:rFonts w:ascii="Times New Roman" w:hAnsi="Times New Roman"/>
        </w:rPr>
        <w:t xml:space="preserve"> </w:t>
      </w:r>
      <w:r w:rsidRPr="008B3E17">
        <w:rPr>
          <w:rFonts w:ascii="Times New Roman" w:hAnsi="Times New Roman"/>
        </w:rPr>
        <w:t xml:space="preserve">EMENTA: INTERPRETAÇÃO DO ART. 543-A, § 3º, DO CÓDIGO DE PROCESSO CIVIL C/C ART. 323, § 1º, DO REGIMENTO INTERNO DO SUPREMO TRIBUNAL FEDERAL. 1. </w:t>
      </w:r>
      <w:r w:rsidRPr="008B3E17">
        <w:rPr>
          <w:rFonts w:ascii="Times New Roman" w:hAnsi="Times New Roman"/>
          <w:b/>
          <w:i/>
        </w:rPr>
        <w:t>Não se presume a ausência de repercussão geral quando o recurso extraordinário impugnar decisão que esteja de acordo com a jurisprudência do Supremo Tribunal Federal, vencida a Relatora</w:t>
      </w:r>
      <w:r w:rsidRPr="008B3E17">
        <w:rPr>
          <w:rFonts w:ascii="Times New Roman" w:hAnsi="Times New Roman"/>
        </w:rPr>
        <w:t>. 2. Julgamento conjunto dos Recursos Extraordinários n. 563.965, 565.202, 565.294, 565.305, 565.347, 565.352, 565.360, 565.366, 565.392, 565.401, 565.411, 565.549, 565.822, 566.519, 570.772 e 576.220.</w:t>
      </w:r>
      <w:r>
        <w:rPr>
          <w:rFonts w:ascii="Times New Roman" w:hAnsi="Times New Roman"/>
        </w:rPr>
        <w:t xml:space="preserve"> </w:t>
      </w:r>
    </w:p>
    <w:p w:rsidR="00D549BC" w:rsidRDefault="00D549BC" w:rsidP="008B3E17">
      <w:pPr>
        <w:pStyle w:val="FootnoteText"/>
        <w:ind w:firstLine="0"/>
      </w:pPr>
      <w:r w:rsidRPr="008B3E17">
        <w:rPr>
          <w:rFonts w:ascii="Times New Roman" w:hAnsi="Times New Roman"/>
        </w:rPr>
        <w:t>Decisão: O Tribunal reconheceu a existência de repercussão geral da questão constitucional suscitada, vencidos os Ministros Joaquim Barbosa, Cezar Peluso, Cármen Lúcia e Menezes Direito. Não se manifestou o Ministro Celso de Mello. Ministra CÁRMEN LÚCIA Relatora</w:t>
      </w:r>
      <w:r>
        <w:rPr>
          <w:rFonts w:ascii="Times New Roman" w:hAnsi="Times New Roman"/>
        </w:rPr>
        <w:t xml:space="preserve">. (BRASIL. </w:t>
      </w:r>
      <w:r w:rsidRPr="00A108B0">
        <w:rPr>
          <w:rFonts w:ascii="Times New Roman" w:hAnsi="Times New Roman"/>
        </w:rPr>
        <w:t>Supremo Tribunal Federal</w:t>
      </w:r>
      <w:r>
        <w:rPr>
          <w:rFonts w:ascii="Times New Roman" w:hAnsi="Times New Roman"/>
        </w:rPr>
        <w:t xml:space="preserve">. RE </w:t>
      </w:r>
      <w:r w:rsidRPr="008B3E17">
        <w:rPr>
          <w:rFonts w:ascii="Times New Roman" w:hAnsi="Times New Roman"/>
        </w:rPr>
        <w:t>563</w:t>
      </w:r>
      <w:r>
        <w:rPr>
          <w:rFonts w:ascii="Times New Roman" w:hAnsi="Times New Roman"/>
        </w:rPr>
        <w:t>.</w:t>
      </w:r>
      <w:r w:rsidRPr="008B3E17">
        <w:rPr>
          <w:rFonts w:ascii="Times New Roman" w:hAnsi="Times New Roman"/>
        </w:rPr>
        <w:t>9</w:t>
      </w:r>
      <w:r>
        <w:rPr>
          <w:rFonts w:ascii="Times New Roman" w:hAnsi="Times New Roman"/>
        </w:rPr>
        <w:t xml:space="preserve">65/RN </w:t>
      </w:r>
      <w:r w:rsidRPr="008B3E17">
        <w:rPr>
          <w:rFonts w:ascii="Times New Roman" w:hAnsi="Times New Roman"/>
        </w:rPr>
        <w:t>Repercussão Geral no Recurso Extraordinário</w:t>
      </w:r>
      <w:r>
        <w:rPr>
          <w:rFonts w:ascii="Times New Roman" w:hAnsi="Times New Roman"/>
        </w:rPr>
        <w:t xml:space="preserve">. </w:t>
      </w:r>
      <w:r w:rsidRPr="008B3E17">
        <w:rPr>
          <w:rFonts w:ascii="Times New Roman" w:hAnsi="Times New Roman"/>
        </w:rPr>
        <w:t>Relatora:  Min. Cármen Lúcia</w:t>
      </w:r>
      <w:r>
        <w:rPr>
          <w:rFonts w:ascii="Times New Roman" w:hAnsi="Times New Roman"/>
        </w:rPr>
        <w:t xml:space="preserve">. </w:t>
      </w:r>
      <w:r w:rsidRPr="008B3E17">
        <w:rPr>
          <w:rFonts w:ascii="Times New Roman" w:hAnsi="Times New Roman"/>
        </w:rPr>
        <w:t>Julgamento: 20/03/2008</w:t>
      </w:r>
      <w:r>
        <w:rPr>
          <w:rFonts w:ascii="Times New Roman" w:hAnsi="Times New Roman"/>
        </w:rPr>
        <w:t xml:space="preserve">. DJe: </w:t>
      </w:r>
      <w:r w:rsidRPr="008B3E17">
        <w:rPr>
          <w:rFonts w:ascii="Times New Roman" w:hAnsi="Times New Roman"/>
        </w:rPr>
        <w:t>18-04-2008</w:t>
      </w:r>
      <w:r>
        <w:rPr>
          <w:rFonts w:ascii="Times New Roman" w:hAnsi="Times New Roman"/>
        </w:rPr>
        <w:t xml:space="preserve">. Disponível em: </w:t>
      </w:r>
      <w:r w:rsidRPr="00987281">
        <w:rPr>
          <w:rFonts w:ascii="Times New Roman" w:hAnsi="Times New Roman"/>
        </w:rPr>
        <w:t>http://redir.stf.jus.br/paginadorpub/paginador.jsp?docTP=AC&amp;docID=521921</w:t>
      </w:r>
      <w:r>
        <w:rPr>
          <w:rStyle w:val="Hyperlink"/>
          <w:rFonts w:ascii="Times New Roman" w:hAnsi="Times New Roman"/>
        </w:rPr>
        <w:t>.</w:t>
      </w:r>
      <w:r>
        <w:rPr>
          <w:rFonts w:ascii="Times New Roman" w:hAnsi="Times New Roman"/>
        </w:rPr>
        <w:t xml:space="preserve"> Acesso em: 1º abr. 2015 – grifos nossos). </w:t>
      </w:r>
      <w:r w:rsidRPr="008B3E17">
        <w:rPr>
          <w:rFonts w:ascii="Times New Roman" w:hAnsi="Times New Roman"/>
        </w:rPr>
        <w:t xml:space="preserve">      </w:t>
      </w:r>
    </w:p>
  </w:footnote>
  <w:footnote w:id="189">
    <w:p w:rsidR="00D549BC" w:rsidRDefault="00D549BC" w:rsidP="00DA050A">
      <w:pPr>
        <w:pStyle w:val="FootnoteText"/>
        <w:ind w:firstLine="0"/>
      </w:pPr>
      <w:r w:rsidRPr="00E10A67">
        <w:rPr>
          <w:rStyle w:val="FootnoteReference"/>
          <w:rFonts w:ascii="Times New Roman" w:hAnsi="Times New Roman"/>
        </w:rPr>
        <w:footnoteRef/>
      </w:r>
      <w:r w:rsidRPr="00E10A67">
        <w:rPr>
          <w:rFonts w:ascii="Times New Roman" w:hAnsi="Times New Roman"/>
        </w:rPr>
        <w:t xml:space="preserve"> </w:t>
      </w:r>
      <w:r>
        <w:rPr>
          <w:rFonts w:ascii="Times New Roman" w:hAnsi="Times New Roman"/>
        </w:rPr>
        <w:t xml:space="preserve">Instituto jurídico originário da </w:t>
      </w:r>
      <w:r w:rsidRPr="00DA050A">
        <w:rPr>
          <w:rFonts w:ascii="Times New Roman" w:hAnsi="Times New Roman"/>
          <w:i/>
        </w:rPr>
        <w:t>Common Law</w:t>
      </w:r>
      <w:r>
        <w:rPr>
          <w:rFonts w:ascii="Times New Roman" w:hAnsi="Times New Roman"/>
          <w:i/>
        </w:rPr>
        <w:t>,</w:t>
      </w:r>
      <w:r w:rsidRPr="00DA050A">
        <w:rPr>
          <w:rFonts w:ascii="Times New Roman" w:hAnsi="Times New Roman"/>
        </w:rPr>
        <w:t xml:space="preserve"> </w:t>
      </w:r>
      <w:r>
        <w:rPr>
          <w:rFonts w:ascii="Times New Roman" w:hAnsi="Times New Roman"/>
        </w:rPr>
        <w:t xml:space="preserve">o </w:t>
      </w:r>
      <w:r w:rsidRPr="00DA050A">
        <w:rPr>
          <w:rFonts w:ascii="Times New Roman" w:hAnsi="Times New Roman"/>
          <w:i/>
        </w:rPr>
        <w:t>overruling</w:t>
      </w:r>
      <w:r w:rsidRPr="00DA050A">
        <w:rPr>
          <w:rFonts w:ascii="Times New Roman" w:hAnsi="Times New Roman"/>
        </w:rPr>
        <w:t xml:space="preserve"> (superação </w:t>
      </w:r>
      <w:r>
        <w:rPr>
          <w:rFonts w:ascii="Times New Roman" w:hAnsi="Times New Roman"/>
        </w:rPr>
        <w:t>do precedente) ocorre quando o T</w:t>
      </w:r>
      <w:r w:rsidRPr="00DA050A">
        <w:rPr>
          <w:rFonts w:ascii="Times New Roman" w:hAnsi="Times New Roman"/>
        </w:rPr>
        <w:t>ribunal entende que</w:t>
      </w:r>
      <w:r>
        <w:rPr>
          <w:rFonts w:ascii="Times New Roman" w:hAnsi="Times New Roman"/>
        </w:rPr>
        <w:t xml:space="preserve"> </w:t>
      </w:r>
      <w:r w:rsidRPr="00DA050A">
        <w:rPr>
          <w:rFonts w:ascii="Times New Roman" w:hAnsi="Times New Roman"/>
        </w:rPr>
        <w:t xml:space="preserve">a regra aplicada pelo julgador hierarquicamente inferior não é a mais </w:t>
      </w:r>
      <w:r>
        <w:rPr>
          <w:rFonts w:ascii="Times New Roman" w:hAnsi="Times New Roman"/>
        </w:rPr>
        <w:t>adequ</w:t>
      </w:r>
      <w:r w:rsidRPr="00DA050A">
        <w:rPr>
          <w:rFonts w:ascii="Times New Roman" w:hAnsi="Times New Roman"/>
        </w:rPr>
        <w:t>ada para</w:t>
      </w:r>
      <w:r>
        <w:rPr>
          <w:rFonts w:ascii="Times New Roman" w:hAnsi="Times New Roman"/>
        </w:rPr>
        <w:t xml:space="preserve"> o</w:t>
      </w:r>
      <w:r w:rsidRPr="00DA050A">
        <w:rPr>
          <w:rFonts w:ascii="Times New Roman" w:hAnsi="Times New Roman"/>
        </w:rPr>
        <w:t xml:space="preserve"> </w:t>
      </w:r>
      <w:r>
        <w:rPr>
          <w:rFonts w:ascii="Times New Roman" w:hAnsi="Times New Roman"/>
        </w:rPr>
        <w:t xml:space="preserve">caso </w:t>
      </w:r>
      <w:r w:rsidRPr="00DA050A">
        <w:rPr>
          <w:rFonts w:ascii="Times New Roman" w:hAnsi="Times New Roman"/>
        </w:rPr>
        <w:t>presente</w:t>
      </w:r>
      <w:r>
        <w:rPr>
          <w:rFonts w:ascii="Times New Roman" w:hAnsi="Times New Roman"/>
        </w:rPr>
        <w:t xml:space="preserve"> e, por isso, há necessidade de sua superação</w:t>
      </w:r>
      <w:r w:rsidRPr="00DA050A">
        <w:rPr>
          <w:rFonts w:ascii="Times New Roman" w:hAnsi="Times New Roman"/>
        </w:rPr>
        <w:t xml:space="preserve"> para</w:t>
      </w:r>
      <w:r>
        <w:rPr>
          <w:rFonts w:ascii="Times New Roman" w:hAnsi="Times New Roman"/>
        </w:rPr>
        <w:t>,</w:t>
      </w:r>
      <w:r w:rsidRPr="00DA050A">
        <w:rPr>
          <w:rFonts w:ascii="Times New Roman" w:hAnsi="Times New Roman"/>
        </w:rPr>
        <w:t xml:space="preserve"> então</w:t>
      </w:r>
      <w:r>
        <w:rPr>
          <w:rFonts w:ascii="Times New Roman" w:hAnsi="Times New Roman"/>
        </w:rPr>
        <w:t>,</w:t>
      </w:r>
      <w:r w:rsidRPr="00DA050A">
        <w:rPr>
          <w:rFonts w:ascii="Times New Roman" w:hAnsi="Times New Roman"/>
        </w:rPr>
        <w:t xml:space="preserve"> estabelecer </w:t>
      </w:r>
      <w:r>
        <w:rPr>
          <w:rFonts w:ascii="Times New Roman" w:hAnsi="Times New Roman"/>
        </w:rPr>
        <w:t>nov</w:t>
      </w:r>
      <w:r w:rsidRPr="00DA050A">
        <w:rPr>
          <w:rFonts w:ascii="Times New Roman" w:hAnsi="Times New Roman"/>
        </w:rPr>
        <w:t>a regra</w:t>
      </w:r>
      <w:r>
        <w:rPr>
          <w:rFonts w:ascii="Times New Roman" w:hAnsi="Times New Roman"/>
        </w:rPr>
        <w:t>;</w:t>
      </w:r>
      <w:r w:rsidRPr="00DA050A">
        <w:rPr>
          <w:rFonts w:ascii="Times New Roman" w:hAnsi="Times New Roman"/>
        </w:rPr>
        <w:t xml:space="preserve"> ou quando o</w:t>
      </w:r>
      <w:r>
        <w:rPr>
          <w:rFonts w:ascii="Times New Roman" w:hAnsi="Times New Roman"/>
        </w:rPr>
        <w:t xml:space="preserve"> T</w:t>
      </w:r>
      <w:r w:rsidRPr="00DA050A">
        <w:rPr>
          <w:rFonts w:ascii="Times New Roman" w:hAnsi="Times New Roman"/>
        </w:rPr>
        <w:t>ribunal hierarquicamente superior considera que seu próprio precedente não serve</w:t>
      </w:r>
      <w:r>
        <w:rPr>
          <w:rFonts w:ascii="Times New Roman" w:hAnsi="Times New Roman"/>
        </w:rPr>
        <w:t xml:space="preserve"> </w:t>
      </w:r>
      <w:r w:rsidRPr="00DA050A">
        <w:rPr>
          <w:rFonts w:ascii="Times New Roman" w:hAnsi="Times New Roman"/>
        </w:rPr>
        <w:t xml:space="preserve">mais como direito. Trata-se de possibilidade exclusiva </w:t>
      </w:r>
      <w:r>
        <w:rPr>
          <w:rFonts w:ascii="Times New Roman" w:hAnsi="Times New Roman"/>
        </w:rPr>
        <w:t>p</w:t>
      </w:r>
      <w:r w:rsidRPr="00DA050A">
        <w:rPr>
          <w:rFonts w:ascii="Times New Roman" w:hAnsi="Times New Roman"/>
        </w:rPr>
        <w:t>a</w:t>
      </w:r>
      <w:r>
        <w:rPr>
          <w:rFonts w:ascii="Times New Roman" w:hAnsi="Times New Roman"/>
        </w:rPr>
        <w:t xml:space="preserve">ra </w:t>
      </w:r>
      <w:r w:rsidRPr="00DA050A">
        <w:rPr>
          <w:rFonts w:ascii="Times New Roman" w:hAnsi="Times New Roman"/>
        </w:rPr>
        <w:t>o julgador de</w:t>
      </w:r>
      <w:r>
        <w:rPr>
          <w:rFonts w:ascii="Times New Roman" w:hAnsi="Times New Roman"/>
        </w:rPr>
        <w:t xml:space="preserve"> </w:t>
      </w:r>
      <w:r w:rsidRPr="00DA050A">
        <w:rPr>
          <w:rFonts w:ascii="Times New Roman" w:hAnsi="Times New Roman"/>
        </w:rPr>
        <w:t xml:space="preserve">hierarquia superior </w:t>
      </w:r>
      <w:r>
        <w:rPr>
          <w:rFonts w:ascii="Times New Roman" w:hAnsi="Times New Roman"/>
        </w:rPr>
        <w:t>ao órgão prolator da decisão originária</w:t>
      </w:r>
      <w:r w:rsidRPr="00DA050A">
        <w:rPr>
          <w:rFonts w:ascii="Times New Roman" w:hAnsi="Times New Roman"/>
        </w:rPr>
        <w:t>.</w:t>
      </w:r>
      <w:r>
        <w:rPr>
          <w:rFonts w:ascii="Times New Roman" w:hAnsi="Times New Roman"/>
        </w:rPr>
        <w:t xml:space="preserve"> </w:t>
      </w:r>
    </w:p>
  </w:footnote>
  <w:footnote w:id="190">
    <w:p w:rsidR="00D549BC" w:rsidRDefault="00D549BC" w:rsidP="00DC5788">
      <w:pPr>
        <w:pStyle w:val="FootnoteText"/>
        <w:ind w:firstLine="0"/>
      </w:pPr>
      <w:r w:rsidRPr="00DC5788">
        <w:rPr>
          <w:rStyle w:val="FootnoteReference"/>
          <w:rFonts w:ascii="Times New Roman" w:hAnsi="Times New Roman"/>
        </w:rPr>
        <w:footnoteRef/>
      </w:r>
      <w:r w:rsidRPr="00DC5788">
        <w:rPr>
          <w:rFonts w:ascii="Times New Roman" w:hAnsi="Times New Roman"/>
        </w:rPr>
        <w:t xml:space="preserve"> O </w:t>
      </w:r>
      <w:r w:rsidRPr="00DC5788">
        <w:rPr>
          <w:rFonts w:ascii="Times New Roman" w:hAnsi="Times New Roman"/>
          <w:i/>
        </w:rPr>
        <w:t>distinguish</w:t>
      </w:r>
      <w:r w:rsidRPr="00DC5788">
        <w:rPr>
          <w:rFonts w:ascii="Times New Roman" w:hAnsi="Times New Roman"/>
        </w:rPr>
        <w:t>, por sua vez</w:t>
      </w:r>
      <w:r>
        <w:rPr>
          <w:rFonts w:ascii="Times New Roman" w:hAnsi="Times New Roman"/>
        </w:rPr>
        <w:t>,</w:t>
      </w:r>
      <w:r w:rsidRPr="00DC5788">
        <w:rPr>
          <w:rFonts w:ascii="Times New Roman" w:hAnsi="Times New Roman"/>
        </w:rPr>
        <w:t xml:space="preserve"> é </w:t>
      </w:r>
      <w:r>
        <w:rPr>
          <w:rFonts w:ascii="Times New Roman" w:hAnsi="Times New Roman"/>
        </w:rPr>
        <w:t xml:space="preserve">um </w:t>
      </w:r>
      <w:r w:rsidRPr="00DC5788">
        <w:rPr>
          <w:rFonts w:ascii="Times New Roman" w:hAnsi="Times New Roman"/>
        </w:rPr>
        <w:t>mecanismo que permite ao julgador que faça</w:t>
      </w:r>
      <w:r>
        <w:rPr>
          <w:rFonts w:ascii="Times New Roman" w:hAnsi="Times New Roman"/>
        </w:rPr>
        <w:t xml:space="preserve"> a distinção entre</w:t>
      </w:r>
      <w:r w:rsidRPr="00DC5788">
        <w:rPr>
          <w:rFonts w:ascii="Times New Roman" w:hAnsi="Times New Roman"/>
        </w:rPr>
        <w:t xml:space="preserve"> um caso</w:t>
      </w:r>
      <w:r>
        <w:rPr>
          <w:rFonts w:ascii="Times New Roman" w:hAnsi="Times New Roman"/>
        </w:rPr>
        <w:t xml:space="preserve"> recente</w:t>
      </w:r>
      <w:r w:rsidRPr="00DC5788">
        <w:rPr>
          <w:rFonts w:ascii="Times New Roman" w:hAnsi="Times New Roman"/>
        </w:rPr>
        <w:t xml:space="preserve"> e o precedente estabelecido. Sendo o</w:t>
      </w:r>
      <w:r>
        <w:rPr>
          <w:rFonts w:ascii="Times New Roman" w:hAnsi="Times New Roman"/>
        </w:rPr>
        <w:t>s</w:t>
      </w:r>
      <w:r w:rsidRPr="00DC5788">
        <w:rPr>
          <w:rFonts w:ascii="Times New Roman" w:hAnsi="Times New Roman"/>
        </w:rPr>
        <w:t xml:space="preserve"> caso</w:t>
      </w:r>
      <w:r>
        <w:rPr>
          <w:rFonts w:ascii="Times New Roman" w:hAnsi="Times New Roman"/>
        </w:rPr>
        <w:t xml:space="preserve">s </w:t>
      </w:r>
      <w:r w:rsidRPr="00DC5788">
        <w:rPr>
          <w:rFonts w:ascii="Times New Roman" w:hAnsi="Times New Roman"/>
        </w:rPr>
        <w:t>diferente</w:t>
      </w:r>
      <w:r>
        <w:rPr>
          <w:rFonts w:ascii="Times New Roman" w:hAnsi="Times New Roman"/>
        </w:rPr>
        <w:t>s,</w:t>
      </w:r>
      <w:r w:rsidRPr="00DC5788">
        <w:rPr>
          <w:rFonts w:ascii="Times New Roman" w:hAnsi="Times New Roman"/>
        </w:rPr>
        <w:t xml:space="preserve"> não há por que se aplicar o precedente</w:t>
      </w:r>
      <w:r>
        <w:rPr>
          <w:rFonts w:ascii="Times New Roman" w:hAnsi="Times New Roman"/>
        </w:rPr>
        <w:t xml:space="preserve"> invocado, havendo, portanto,</w:t>
      </w:r>
      <w:r w:rsidRPr="00DC5788">
        <w:rPr>
          <w:rFonts w:ascii="Times New Roman" w:hAnsi="Times New Roman"/>
        </w:rPr>
        <w:t xml:space="preserve"> apreciação diversa d</w:t>
      </w:r>
      <w:r>
        <w:rPr>
          <w:rFonts w:ascii="Times New Roman" w:hAnsi="Times New Roman"/>
        </w:rPr>
        <w:t>aquela</w:t>
      </w:r>
      <w:r w:rsidRPr="00DC5788">
        <w:rPr>
          <w:rFonts w:ascii="Times New Roman" w:hAnsi="Times New Roman"/>
        </w:rPr>
        <w:t xml:space="preserve"> estabelecida </w:t>
      </w:r>
      <w:r>
        <w:rPr>
          <w:rFonts w:ascii="Times New Roman" w:hAnsi="Times New Roman"/>
        </w:rPr>
        <w:t>anteriormente</w:t>
      </w:r>
      <w:r w:rsidRPr="00DC5788">
        <w:rPr>
          <w:rFonts w:ascii="Times New Roman" w:hAnsi="Times New Roman"/>
        </w:rPr>
        <w:t>.</w:t>
      </w:r>
      <w:r>
        <w:rPr>
          <w:rFonts w:ascii="Times New Roman" w:hAnsi="Times New Roman"/>
        </w:rPr>
        <w:t xml:space="preserve"> </w:t>
      </w:r>
    </w:p>
  </w:footnote>
  <w:footnote w:id="191">
    <w:p w:rsidR="00D549BC" w:rsidRDefault="00D549BC" w:rsidP="00C82198">
      <w:pPr>
        <w:pStyle w:val="FootnoteText"/>
        <w:ind w:firstLine="0"/>
        <w:rPr>
          <w:rFonts w:ascii="Times New Roman" w:hAnsi="Times New Roman"/>
        </w:rPr>
      </w:pPr>
      <w:r w:rsidRPr="00C82198">
        <w:rPr>
          <w:rStyle w:val="FootnoteReference"/>
          <w:rFonts w:ascii="Times New Roman" w:hAnsi="Times New Roman"/>
        </w:rPr>
        <w:footnoteRef/>
      </w:r>
      <w:r>
        <w:rPr>
          <w:rFonts w:ascii="Times New Roman" w:hAnsi="Times New Roman"/>
        </w:rPr>
        <w:t xml:space="preserve"> </w:t>
      </w:r>
      <w:r w:rsidRPr="00C82198">
        <w:rPr>
          <w:rFonts w:ascii="Times New Roman" w:hAnsi="Times New Roman"/>
        </w:rPr>
        <w:t xml:space="preserve">EMENTA: </w:t>
      </w:r>
      <w:r w:rsidRPr="00C82198">
        <w:rPr>
          <w:rFonts w:ascii="Times New Roman" w:hAnsi="Times New Roman"/>
          <w:i/>
        </w:rPr>
        <w:t>Não há repercussão geral na questão relativa à equiparação remuneratória entre procuradores autárquicos e procuradores de estado, pois o Supremo Tribunal Federal já decidiu que não é possível equiparar as referidas categorias profissionais</w:t>
      </w:r>
      <w:r w:rsidRPr="00C82198">
        <w:rPr>
          <w:rFonts w:ascii="Times New Roman" w:hAnsi="Times New Roman"/>
        </w:rPr>
        <w:t xml:space="preserve"> (Ação Direta de Inconstitucionalidade 1.434-MC, Relator o Ministro Celso de Mello, DJ 22.11.1996).</w:t>
      </w:r>
      <w:r>
        <w:rPr>
          <w:rFonts w:ascii="Times New Roman" w:hAnsi="Times New Roman"/>
        </w:rPr>
        <w:t xml:space="preserve"> </w:t>
      </w:r>
      <w:r w:rsidRPr="00C82198">
        <w:rPr>
          <w:rFonts w:ascii="Times New Roman" w:hAnsi="Times New Roman"/>
        </w:rPr>
        <w:t>Decisão: O Tribunal, por maioria, recusou o recurso extraordinário ante a ausência de repercussão geral da questão constitucional suscitada, vencidos os Ministros Gilmar Mendes, Marco Aurélio e Eros Grau. Ministra Cármen Lúcia Relatora</w:t>
      </w:r>
      <w:r>
        <w:rPr>
          <w:rFonts w:ascii="Times New Roman" w:hAnsi="Times New Roman"/>
        </w:rPr>
        <w:t xml:space="preserve"> (Disponível em: </w:t>
      </w:r>
      <w:r w:rsidRPr="00CE7A23">
        <w:rPr>
          <w:rFonts w:ascii="Times New Roman" w:hAnsi="Times New Roman"/>
        </w:rPr>
        <w:t>http://redir.stf.jus.br/paginadorpub/pag</w:t>
      </w:r>
      <w:r>
        <w:rPr>
          <w:rFonts w:ascii="Times New Roman" w:hAnsi="Times New Roman"/>
        </w:rPr>
        <w:t xml:space="preserve">inador.jsp?docTP=AC&amp;docID=510965. Acesso em: 1º abr. 2015 – grifos nossos). </w:t>
      </w:r>
    </w:p>
    <w:p w:rsidR="00D549BC" w:rsidRDefault="00D549BC" w:rsidP="003D6EEC">
      <w:pPr>
        <w:pStyle w:val="FootnoteText"/>
        <w:ind w:firstLine="0"/>
      </w:pPr>
      <w:r w:rsidRPr="003D6EEC">
        <w:rPr>
          <w:rFonts w:ascii="Times New Roman" w:hAnsi="Times New Roman"/>
        </w:rPr>
        <w:t xml:space="preserve">EMENTA: CONSTITUCIONAL. ARTIGOS 1º E 2º DA LEI COMPLEMENTAR N. 110/2001. ART. 37, § 6º, DA CONSTITUIÇÃO DA REPÚBLICA. CORREÇÃO MONETÁRIA DO FGTS: ÍNDICES ABAIXO DA INFLAÇÃO REAL. RESPONSABILIDADE OBJETIVA DO ESTADO. IMPOSSIBILIDADE DE SE INSTITUIR TRIBUTO PARA CUSTEAR O ÔNUS FINANCEIRO DECORRENTE DA RESPONSABILIDADE OBJETIVA. MANIFESTAÇÃO PELA AUSÊNCIA DE REPERCUSSÃO GERAL. </w:t>
      </w:r>
      <w:r w:rsidRPr="003D6EEC">
        <w:rPr>
          <w:rFonts w:ascii="Times New Roman" w:hAnsi="Times New Roman"/>
          <w:i/>
        </w:rPr>
        <w:t>A tese suscitada no recurso extraordinário, segundo a qual a correção monetária de determinados períodos de correção do Fundo de Garantia por Tempo de Serviço por índices abaixo da inflação real caracterizaria responsabilidade objetiva do Estado, razão pela qual o ônus financeiro decorrente daquele ato não pode ser custeado pela instituição de novos tributos, não tem repercussão geral dada a existência de várias decisões no Supremo Tribunal Federal pela constitucionalidade dos arts. 1º e 2º da Lei Complementar n. 110/2001</w:t>
      </w:r>
      <w:r w:rsidRPr="003D6EEC">
        <w:rPr>
          <w:rFonts w:ascii="Times New Roman" w:hAnsi="Times New Roman"/>
        </w:rPr>
        <w:t>.</w:t>
      </w:r>
      <w:r>
        <w:rPr>
          <w:rFonts w:ascii="Times New Roman" w:hAnsi="Times New Roman"/>
        </w:rPr>
        <w:t xml:space="preserve"> (BRASIL. </w:t>
      </w:r>
      <w:r w:rsidRPr="00D562E7">
        <w:rPr>
          <w:rFonts w:ascii="Times New Roman" w:hAnsi="Times New Roman"/>
        </w:rPr>
        <w:t>Supremo Tribunal Federal</w:t>
      </w:r>
      <w:r>
        <w:rPr>
          <w:rFonts w:ascii="Times New Roman" w:hAnsi="Times New Roman"/>
        </w:rPr>
        <w:t xml:space="preserve">. </w:t>
      </w:r>
      <w:r w:rsidRPr="003D6EEC">
        <w:rPr>
          <w:rFonts w:ascii="Times New Roman" w:hAnsi="Times New Roman"/>
        </w:rPr>
        <w:t>RE 571</w:t>
      </w:r>
      <w:r>
        <w:rPr>
          <w:rFonts w:ascii="Times New Roman" w:hAnsi="Times New Roman"/>
        </w:rPr>
        <w:t>.184 RG/</w:t>
      </w:r>
      <w:r w:rsidRPr="003D6EEC">
        <w:rPr>
          <w:rFonts w:ascii="Times New Roman" w:hAnsi="Times New Roman"/>
        </w:rPr>
        <w:t xml:space="preserve">SP </w:t>
      </w:r>
      <w:r>
        <w:rPr>
          <w:rFonts w:ascii="Times New Roman" w:hAnsi="Times New Roman"/>
        </w:rPr>
        <w:t>–</w:t>
      </w:r>
      <w:r w:rsidRPr="003D6EEC">
        <w:rPr>
          <w:rFonts w:ascii="Times New Roman" w:hAnsi="Times New Roman"/>
        </w:rPr>
        <w:t xml:space="preserve"> </w:t>
      </w:r>
      <w:r>
        <w:rPr>
          <w:rFonts w:ascii="Times New Roman" w:hAnsi="Times New Roman"/>
        </w:rPr>
        <w:t>RE</w:t>
      </w:r>
      <w:r w:rsidRPr="003D6EEC">
        <w:rPr>
          <w:rFonts w:ascii="Times New Roman" w:hAnsi="Times New Roman"/>
        </w:rPr>
        <w:t>PERCUSSÃO GERAL NO RECURSO EXTRAORDINÁRIO</w:t>
      </w:r>
      <w:r>
        <w:rPr>
          <w:rFonts w:ascii="Times New Roman" w:hAnsi="Times New Roman"/>
        </w:rPr>
        <w:t xml:space="preserve">. </w:t>
      </w:r>
      <w:r w:rsidRPr="003D6EEC">
        <w:rPr>
          <w:rFonts w:ascii="Times New Roman" w:hAnsi="Times New Roman"/>
        </w:rPr>
        <w:t>Relatora:  Min. Cármen Lúcia</w:t>
      </w:r>
      <w:r>
        <w:rPr>
          <w:rFonts w:ascii="Times New Roman" w:hAnsi="Times New Roman"/>
        </w:rPr>
        <w:t xml:space="preserve">. </w:t>
      </w:r>
      <w:r w:rsidRPr="003D6EEC">
        <w:rPr>
          <w:rFonts w:ascii="Times New Roman" w:hAnsi="Times New Roman"/>
        </w:rPr>
        <w:t>Julgamento: 16/10/2008</w:t>
      </w:r>
      <w:r>
        <w:rPr>
          <w:rFonts w:ascii="Times New Roman" w:hAnsi="Times New Roman"/>
        </w:rPr>
        <w:t xml:space="preserve">. DJe: </w:t>
      </w:r>
      <w:r w:rsidRPr="003D6EEC">
        <w:rPr>
          <w:rFonts w:ascii="Times New Roman" w:hAnsi="Times New Roman"/>
        </w:rPr>
        <w:t>31-10-2008</w:t>
      </w:r>
      <w:r>
        <w:rPr>
          <w:rFonts w:ascii="Times New Roman" w:hAnsi="Times New Roman"/>
        </w:rPr>
        <w:t xml:space="preserve">. Disponível em: </w:t>
      </w:r>
      <w:r w:rsidRPr="00D562E7">
        <w:rPr>
          <w:rFonts w:ascii="Times New Roman" w:hAnsi="Times New Roman"/>
        </w:rPr>
        <w:t>http://redir.stf.jus.br/paginadorpub/paginador.jsp?docTP=AC&amp;docID=558919</w:t>
      </w:r>
      <w:r>
        <w:rPr>
          <w:rFonts w:ascii="Times New Roman" w:hAnsi="Times New Roman"/>
        </w:rPr>
        <w:t xml:space="preserve">. Acesso em: 1º abr. 2015 – grifos nossos). </w:t>
      </w:r>
      <w:r w:rsidRPr="003D6EEC">
        <w:rPr>
          <w:rFonts w:ascii="Times New Roman" w:hAnsi="Times New Roman"/>
        </w:rPr>
        <w:t xml:space="preserve">   </w:t>
      </w:r>
    </w:p>
  </w:footnote>
  <w:footnote w:id="192">
    <w:p w:rsidR="00D549BC" w:rsidRDefault="00D549BC" w:rsidP="00E23F1B">
      <w:pPr>
        <w:pStyle w:val="FootnoteText"/>
        <w:ind w:firstLine="0"/>
        <w:rPr>
          <w:rFonts w:ascii="Times New Roman" w:hAnsi="Times New Roman"/>
        </w:rPr>
      </w:pPr>
      <w:r w:rsidRPr="00E23F1B">
        <w:rPr>
          <w:rStyle w:val="FootnoteReference"/>
          <w:rFonts w:ascii="Times New Roman" w:hAnsi="Times New Roman"/>
        </w:rPr>
        <w:footnoteRef/>
      </w:r>
      <w:r>
        <w:rPr>
          <w:rFonts w:ascii="Times New Roman" w:hAnsi="Times New Roman"/>
        </w:rPr>
        <w:t xml:space="preserve"> </w:t>
      </w:r>
      <w:r w:rsidRPr="00E23F1B">
        <w:rPr>
          <w:rFonts w:ascii="Times New Roman" w:hAnsi="Times New Roman"/>
        </w:rPr>
        <w:t>Art. 131. Nos julgamentos, o Presidente do Plenário ou da Turma, feito o relatório,</w:t>
      </w:r>
      <w:r>
        <w:rPr>
          <w:rFonts w:ascii="Times New Roman" w:hAnsi="Times New Roman"/>
        </w:rPr>
        <w:t xml:space="preserve"> </w:t>
      </w:r>
      <w:r w:rsidRPr="00E23F1B">
        <w:rPr>
          <w:rFonts w:ascii="Times New Roman" w:hAnsi="Times New Roman"/>
        </w:rPr>
        <w:t>dará a palavra, sucessivamente, ao autor, recorrente, peticionário ou impetrante, e</w:t>
      </w:r>
      <w:r>
        <w:rPr>
          <w:rFonts w:ascii="Times New Roman" w:hAnsi="Times New Roman"/>
        </w:rPr>
        <w:t xml:space="preserve"> </w:t>
      </w:r>
      <w:r w:rsidRPr="00E23F1B">
        <w:rPr>
          <w:rFonts w:ascii="Times New Roman" w:hAnsi="Times New Roman"/>
        </w:rPr>
        <w:t>ao réu, recorrido ou impetrado, para sustentação oral.</w:t>
      </w:r>
      <w:r>
        <w:rPr>
          <w:rFonts w:ascii="Times New Roman" w:hAnsi="Times New Roman"/>
        </w:rPr>
        <w:t xml:space="preserve"> </w:t>
      </w:r>
    </w:p>
    <w:p w:rsidR="00D549BC" w:rsidRDefault="00D549BC" w:rsidP="00E23F1B">
      <w:pPr>
        <w:pStyle w:val="FootnoteText"/>
        <w:ind w:firstLine="0"/>
        <w:rPr>
          <w:rFonts w:ascii="Times New Roman" w:hAnsi="Times New Roman"/>
        </w:rPr>
      </w:pPr>
      <w:r>
        <w:rPr>
          <w:rFonts w:ascii="Times New Roman" w:hAnsi="Times New Roman"/>
        </w:rPr>
        <w:t>(...)</w:t>
      </w:r>
    </w:p>
    <w:p w:rsidR="00D549BC" w:rsidRPr="00E23F1B" w:rsidRDefault="00D549BC" w:rsidP="00E23F1B">
      <w:pPr>
        <w:pStyle w:val="FootnoteText"/>
        <w:ind w:firstLine="0"/>
        <w:rPr>
          <w:rFonts w:ascii="Times New Roman" w:hAnsi="Times New Roman"/>
        </w:rPr>
      </w:pPr>
      <w:r>
        <w:rPr>
          <w:rFonts w:ascii="Times New Roman" w:hAnsi="Times New Roman"/>
        </w:rPr>
        <w:t>§ 3º</w:t>
      </w:r>
      <w:r w:rsidRPr="00E23F1B">
        <w:rPr>
          <w:rFonts w:ascii="Times New Roman" w:hAnsi="Times New Roman"/>
        </w:rPr>
        <w:t xml:space="preserve"> </w:t>
      </w:r>
      <w:r w:rsidRPr="00E23F1B">
        <w:rPr>
          <w:rFonts w:ascii="Times New Roman" w:hAnsi="Times New Roman"/>
          <w:i/>
        </w:rPr>
        <w:t>Admitida a intervenção de terceiros no processo de controle concentrado de constitucionalidade, fica-lhes facultado produzir sustentação oral, aplicando-se, quando for o caso, a regra do § 2º do art. 132 deste Regimento</w:t>
      </w:r>
      <w:r>
        <w:rPr>
          <w:rFonts w:ascii="Times New Roman" w:hAnsi="Times New Roman"/>
        </w:rPr>
        <w:t>.</w:t>
      </w:r>
    </w:p>
    <w:p w:rsidR="00D549BC" w:rsidRDefault="00D549BC" w:rsidP="00E23F1B">
      <w:pPr>
        <w:pStyle w:val="FootnoteText"/>
        <w:ind w:firstLine="0"/>
      </w:pPr>
      <w:r>
        <w:rPr>
          <w:rFonts w:ascii="Times New Roman" w:hAnsi="Times New Roman"/>
        </w:rPr>
        <w:t>(</w:t>
      </w:r>
      <w:r w:rsidRPr="00E23F1B">
        <w:rPr>
          <w:rFonts w:ascii="Times New Roman" w:hAnsi="Times New Roman"/>
        </w:rPr>
        <w:t>Atualizado com a introdução da Emenda Regimental 15/2004</w:t>
      </w:r>
      <w:r>
        <w:rPr>
          <w:rFonts w:ascii="Times New Roman" w:hAnsi="Times New Roman"/>
        </w:rPr>
        <w:t xml:space="preserve">). (BRASIL. </w:t>
      </w:r>
      <w:r w:rsidRPr="00D562E7">
        <w:rPr>
          <w:rFonts w:ascii="Times New Roman" w:hAnsi="Times New Roman"/>
        </w:rPr>
        <w:t>Supremo Tribunal Federal.</w:t>
      </w:r>
      <w:r>
        <w:rPr>
          <w:rFonts w:ascii="Times New Roman" w:hAnsi="Times New Roman"/>
        </w:rPr>
        <w:t xml:space="preserve"> Regimento Interno atualizado até janeiro de 2015. Disponível em: </w:t>
      </w:r>
      <w:r w:rsidRPr="00D562E7">
        <w:rPr>
          <w:rFonts w:ascii="Times New Roman" w:hAnsi="Times New Roman"/>
        </w:rPr>
        <w:t>http://www.stf.jus.br/arquivo/cms/legislacaoRegimentoInterno/anexo/RISTF_Janeiro_2015_versao_eletronica.pdf</w:t>
      </w:r>
      <w:r>
        <w:rPr>
          <w:rFonts w:ascii="Times New Roman" w:hAnsi="Times New Roman"/>
        </w:rPr>
        <w:t xml:space="preserve">. Acesso em: 1 abr. 2015 – grifos nossos).    </w:t>
      </w:r>
    </w:p>
  </w:footnote>
  <w:footnote w:id="193">
    <w:p w:rsidR="00D549BC" w:rsidRDefault="00D549BC" w:rsidP="00373CA4">
      <w:pPr>
        <w:pStyle w:val="FootnoteText"/>
        <w:ind w:firstLine="0"/>
        <w:rPr>
          <w:rFonts w:ascii="Times New Roman" w:hAnsi="Times New Roman"/>
        </w:rPr>
      </w:pPr>
      <w:r w:rsidRPr="00373CA4">
        <w:rPr>
          <w:rStyle w:val="FootnoteReference"/>
          <w:rFonts w:ascii="Times New Roman" w:hAnsi="Times New Roman"/>
        </w:rPr>
        <w:footnoteRef/>
      </w:r>
      <w:r>
        <w:rPr>
          <w:rFonts w:ascii="Times New Roman" w:hAnsi="Times New Roman"/>
        </w:rPr>
        <w:t xml:space="preserve"> Art. 3º </w:t>
      </w:r>
      <w:r w:rsidRPr="00373CA4">
        <w:rPr>
          <w:rFonts w:ascii="Times New Roman" w:hAnsi="Times New Roman"/>
        </w:rPr>
        <w:t>São legitimados a propor a edição, a revisão ou o cancelamento de enunciado de súmula vinculante:</w:t>
      </w:r>
      <w:r>
        <w:rPr>
          <w:rFonts w:ascii="Times New Roman" w:hAnsi="Times New Roman"/>
        </w:rPr>
        <w:t xml:space="preserve"> </w:t>
      </w:r>
    </w:p>
    <w:p w:rsidR="00D549BC" w:rsidRDefault="00D549BC" w:rsidP="00373CA4">
      <w:pPr>
        <w:pStyle w:val="FootnoteText"/>
        <w:ind w:firstLine="0"/>
        <w:rPr>
          <w:rFonts w:ascii="Times New Roman" w:hAnsi="Times New Roman"/>
        </w:rPr>
      </w:pPr>
      <w:r>
        <w:rPr>
          <w:rFonts w:ascii="Times New Roman" w:hAnsi="Times New Roman"/>
        </w:rPr>
        <w:t xml:space="preserve">(...) </w:t>
      </w:r>
    </w:p>
    <w:p w:rsidR="00D549BC" w:rsidRDefault="00D549BC" w:rsidP="00373CA4">
      <w:pPr>
        <w:pStyle w:val="FootnoteText"/>
        <w:ind w:firstLine="0"/>
      </w:pPr>
      <w:r>
        <w:rPr>
          <w:rFonts w:ascii="Times New Roman" w:hAnsi="Times New Roman"/>
        </w:rPr>
        <w:t>§ 2º</w:t>
      </w:r>
      <w:r w:rsidRPr="00373CA4">
        <w:rPr>
          <w:rFonts w:ascii="Times New Roman" w:hAnsi="Times New Roman"/>
        </w:rPr>
        <w:t xml:space="preserve"> </w:t>
      </w:r>
      <w:r w:rsidRPr="00373CA4">
        <w:rPr>
          <w:rFonts w:ascii="Times New Roman" w:hAnsi="Times New Roman"/>
          <w:i/>
        </w:rPr>
        <w:t>No procedimento de edição, revisão ou cancelamento de enunciado da súmula vinculante, o relator poderá admitir, por decisão irrecorrível, a manifestação de terceiros na questão, nos termos do Regimento Interno do Supremo Tribunal Federal</w:t>
      </w:r>
      <w:r w:rsidRPr="00373CA4">
        <w:rPr>
          <w:rFonts w:ascii="Times New Roman" w:hAnsi="Times New Roman"/>
        </w:rPr>
        <w:t>.</w:t>
      </w:r>
      <w:r>
        <w:rPr>
          <w:rFonts w:ascii="Times New Roman" w:hAnsi="Times New Roman"/>
        </w:rPr>
        <w:t xml:space="preserve"> (BRASIL. </w:t>
      </w:r>
      <w:r w:rsidRPr="00745B50">
        <w:rPr>
          <w:rFonts w:ascii="Times New Roman" w:hAnsi="Times New Roman"/>
        </w:rPr>
        <w:t>Planalto</w:t>
      </w:r>
      <w:r>
        <w:rPr>
          <w:rFonts w:ascii="Times New Roman" w:hAnsi="Times New Roman"/>
        </w:rPr>
        <w:t>. Lei n</w:t>
      </w:r>
      <w:r w:rsidRPr="00373CA4">
        <w:rPr>
          <w:rFonts w:ascii="Times New Roman" w:hAnsi="Times New Roman"/>
        </w:rPr>
        <w:t>º 11.417, de 19 de dezembro de 2006.</w:t>
      </w:r>
      <w:r>
        <w:rPr>
          <w:rFonts w:ascii="Times New Roman" w:hAnsi="Times New Roman"/>
        </w:rPr>
        <w:t xml:space="preserve"> Disponível em: </w:t>
      </w:r>
      <w:r w:rsidRPr="00745B50">
        <w:rPr>
          <w:rFonts w:ascii="Times New Roman" w:hAnsi="Times New Roman"/>
        </w:rPr>
        <w:t>http://www.planalto.gov.br/ccivil_03/_ato2004-2006/2006/lei/l11417.htm</w:t>
      </w:r>
      <w:r>
        <w:rPr>
          <w:rFonts w:ascii="Times New Roman" w:hAnsi="Times New Roman"/>
        </w:rPr>
        <w:t xml:space="preserve">. Acesso em: 1º abr. 2015 – grifos nossos).  </w:t>
      </w:r>
    </w:p>
  </w:footnote>
  <w:footnote w:id="194">
    <w:p w:rsidR="00D549BC" w:rsidRDefault="00D549BC" w:rsidP="00083296">
      <w:pPr>
        <w:pStyle w:val="FootnoteText"/>
        <w:ind w:firstLine="0"/>
      </w:pPr>
      <w:r w:rsidRPr="000450B8">
        <w:rPr>
          <w:rStyle w:val="FootnoteReference"/>
          <w:rFonts w:ascii="Times New Roman" w:hAnsi="Times New Roman"/>
        </w:rPr>
        <w:footnoteRef/>
      </w:r>
      <w:r w:rsidRPr="000450B8">
        <w:rPr>
          <w:rFonts w:ascii="Times New Roman" w:hAnsi="Times New Roman"/>
        </w:rPr>
        <w:t xml:space="preserve"> </w:t>
      </w:r>
      <w:r w:rsidRPr="00083296">
        <w:rPr>
          <w:rFonts w:ascii="Times New Roman" w:hAnsi="Times New Roman"/>
        </w:rPr>
        <w:t xml:space="preserve">Art. 341. </w:t>
      </w:r>
      <w:r w:rsidRPr="00083296">
        <w:rPr>
          <w:rFonts w:ascii="Times New Roman" w:hAnsi="Times New Roman"/>
          <w:i/>
        </w:rPr>
        <w:t>Compete ao terceiro</w:t>
      </w:r>
      <w:r w:rsidRPr="00083296">
        <w:rPr>
          <w:rFonts w:ascii="Times New Roman" w:hAnsi="Times New Roman"/>
        </w:rPr>
        <w:t>, em relação a qualquer pleito:</w:t>
      </w:r>
      <w:r>
        <w:rPr>
          <w:rFonts w:ascii="Times New Roman" w:hAnsi="Times New Roman"/>
        </w:rPr>
        <w:t xml:space="preserve"> </w:t>
      </w:r>
      <w:r w:rsidRPr="00083296">
        <w:rPr>
          <w:rFonts w:ascii="Times New Roman" w:hAnsi="Times New Roman"/>
        </w:rPr>
        <w:t xml:space="preserve">I - </w:t>
      </w:r>
      <w:r w:rsidRPr="00083296">
        <w:rPr>
          <w:rFonts w:ascii="Times New Roman" w:hAnsi="Times New Roman"/>
          <w:i/>
        </w:rPr>
        <w:t>informar ao juiz os fatos e as circunstâncias, de que tenha conhecimento</w:t>
      </w:r>
      <w:r w:rsidRPr="00083296">
        <w:rPr>
          <w:rFonts w:ascii="Times New Roman" w:hAnsi="Times New Roman"/>
        </w:rPr>
        <w:t>;</w:t>
      </w:r>
      <w:r>
        <w:rPr>
          <w:rFonts w:ascii="Times New Roman" w:hAnsi="Times New Roman"/>
        </w:rPr>
        <w:t xml:space="preserve"> (BRASIL. </w:t>
      </w:r>
      <w:r w:rsidRPr="00350A41">
        <w:rPr>
          <w:rFonts w:ascii="Times New Roman" w:hAnsi="Times New Roman"/>
        </w:rPr>
        <w:t>Planalto.</w:t>
      </w:r>
      <w:r>
        <w:rPr>
          <w:rFonts w:ascii="Times New Roman" w:hAnsi="Times New Roman"/>
        </w:rPr>
        <w:t xml:space="preserve"> </w:t>
      </w:r>
      <w:r w:rsidRPr="00CF376A">
        <w:rPr>
          <w:rFonts w:ascii="Times New Roman" w:hAnsi="Times New Roman"/>
        </w:rPr>
        <w:t>Lei</w:t>
      </w:r>
      <w:r>
        <w:rPr>
          <w:rFonts w:ascii="Times New Roman" w:hAnsi="Times New Roman"/>
        </w:rPr>
        <w:t xml:space="preserve"> nº</w:t>
      </w:r>
      <w:r w:rsidRPr="00CF376A">
        <w:rPr>
          <w:rFonts w:ascii="Times New Roman" w:hAnsi="Times New Roman"/>
        </w:rPr>
        <w:t xml:space="preserve"> 5.869, de 11 de janeiro de</w:t>
      </w:r>
      <w:r>
        <w:rPr>
          <w:rFonts w:ascii="Times New Roman" w:hAnsi="Times New Roman"/>
        </w:rPr>
        <w:t xml:space="preserve"> 1973 - Código de Processo Civil).</w:t>
      </w:r>
    </w:p>
  </w:footnote>
  <w:footnote w:id="195">
    <w:p w:rsidR="00D549BC" w:rsidRDefault="00D549BC" w:rsidP="007F2FD6">
      <w:pPr>
        <w:pStyle w:val="FootnoteText"/>
        <w:ind w:firstLine="0"/>
      </w:pPr>
      <w:r w:rsidRPr="007F2FD6">
        <w:rPr>
          <w:rStyle w:val="FootnoteReference"/>
          <w:rFonts w:ascii="Times New Roman" w:hAnsi="Times New Roman"/>
        </w:rPr>
        <w:footnoteRef/>
      </w:r>
      <w:r w:rsidRPr="007F2FD6">
        <w:rPr>
          <w:rFonts w:ascii="Times New Roman" w:hAnsi="Times New Roman"/>
        </w:rPr>
        <w:t xml:space="preserve"> Exceção feita aos entes públicos, que podem intervir em processos sem ostentar interesse</w:t>
      </w:r>
      <w:r>
        <w:rPr>
          <w:rFonts w:ascii="Times New Roman" w:hAnsi="Times New Roman"/>
        </w:rPr>
        <w:t xml:space="preserve"> jurídico, mas apenas econômico</w:t>
      </w:r>
      <w:r w:rsidRPr="007F2FD6">
        <w:rPr>
          <w:rFonts w:ascii="Times New Roman" w:hAnsi="Times New Roman"/>
        </w:rPr>
        <w:t>. É o que prevê o artigo 5º, parágrafo único da Lei nº</w:t>
      </w:r>
      <w:r>
        <w:rPr>
          <w:rFonts w:ascii="Times New Roman" w:hAnsi="Times New Roman"/>
        </w:rPr>
        <w:t xml:space="preserve"> 9.469, de 10 de julho de 1</w:t>
      </w:r>
      <w:r w:rsidRPr="007F2FD6">
        <w:rPr>
          <w:rFonts w:ascii="Times New Roman" w:hAnsi="Times New Roman"/>
        </w:rPr>
        <w:t>997: “</w:t>
      </w:r>
      <w:r w:rsidRPr="008855F9">
        <w:rPr>
          <w:rFonts w:ascii="Times New Roman" w:hAnsi="Times New Roman"/>
          <w:i/>
        </w:rPr>
        <w:t>As pessoas jurídicas de direito público poderão, nas causas cuja decisão possa ter reflexos, ainda que indiretos, de natureza econômica, intervir, independentemente da demonstração de interesse jurídico, para esclarecer questões de fato e de direito, podendo juntar documentos e memoriais reputados úteis ao exame da matéria e, se for o caso, recorrer, hipótese em que, para fins de deslocamento de competência, serão consideradas partes</w:t>
      </w:r>
      <w:r>
        <w:rPr>
          <w:rFonts w:ascii="Times New Roman" w:hAnsi="Times New Roman"/>
        </w:rPr>
        <w:t xml:space="preserve">” (BRASIL. </w:t>
      </w:r>
      <w:r w:rsidRPr="00350A41">
        <w:rPr>
          <w:rFonts w:ascii="Times New Roman" w:hAnsi="Times New Roman"/>
        </w:rPr>
        <w:t>Planalto</w:t>
      </w:r>
      <w:r>
        <w:rPr>
          <w:rFonts w:ascii="Times New Roman" w:hAnsi="Times New Roman"/>
        </w:rPr>
        <w:t xml:space="preserve">. Lei </w:t>
      </w:r>
      <w:r w:rsidRPr="007F2FD6">
        <w:rPr>
          <w:rFonts w:ascii="Times New Roman" w:hAnsi="Times New Roman"/>
        </w:rPr>
        <w:t>nº</w:t>
      </w:r>
      <w:r>
        <w:rPr>
          <w:rFonts w:ascii="Times New Roman" w:hAnsi="Times New Roman"/>
        </w:rPr>
        <w:t xml:space="preserve"> 9.469, de 10 de julho de 1</w:t>
      </w:r>
      <w:r w:rsidRPr="007F2FD6">
        <w:rPr>
          <w:rFonts w:ascii="Times New Roman" w:hAnsi="Times New Roman"/>
        </w:rPr>
        <w:t>997</w:t>
      </w:r>
      <w:r>
        <w:rPr>
          <w:rFonts w:ascii="Times New Roman" w:hAnsi="Times New Roman"/>
        </w:rPr>
        <w:t xml:space="preserve">). </w:t>
      </w:r>
    </w:p>
  </w:footnote>
  <w:footnote w:id="196">
    <w:p w:rsidR="00D549BC" w:rsidRDefault="00D549BC" w:rsidP="008855F9">
      <w:pPr>
        <w:pStyle w:val="FootnoteText"/>
        <w:ind w:firstLine="0"/>
      </w:pPr>
      <w:r w:rsidRPr="008855F9">
        <w:rPr>
          <w:rStyle w:val="FootnoteReference"/>
          <w:rFonts w:ascii="Times New Roman" w:hAnsi="Times New Roman"/>
        </w:rPr>
        <w:footnoteRef/>
      </w:r>
      <w:r>
        <w:rPr>
          <w:rFonts w:ascii="Times New Roman" w:hAnsi="Times New Roman"/>
        </w:rPr>
        <w:t xml:space="preserve"> DANTAS, Bruno. </w:t>
      </w:r>
      <w:r w:rsidRPr="007758E5">
        <w:rPr>
          <w:rFonts w:ascii="Times New Roman" w:hAnsi="Times New Roman"/>
          <w:b/>
        </w:rPr>
        <w:t>Repercussão geral</w:t>
      </w:r>
      <w:r w:rsidRPr="007758E5">
        <w:rPr>
          <w:rFonts w:ascii="Times New Roman" w:hAnsi="Times New Roman"/>
        </w:rPr>
        <w:t>: perspectivas histórica, dogmática e de direito comparado – questões processuais.</w:t>
      </w:r>
      <w:r>
        <w:rPr>
          <w:rFonts w:ascii="Times New Roman" w:hAnsi="Times New Roman"/>
        </w:rPr>
        <w:t xml:space="preserve"> 2.</w:t>
      </w:r>
      <w:r w:rsidRPr="007758E5">
        <w:rPr>
          <w:rFonts w:ascii="Times New Roman" w:hAnsi="Times New Roman"/>
        </w:rPr>
        <w:t xml:space="preserve"> ed</w:t>
      </w:r>
      <w:r>
        <w:rPr>
          <w:rFonts w:ascii="Times New Roman" w:hAnsi="Times New Roman"/>
        </w:rPr>
        <w:t xml:space="preserve">. </w:t>
      </w:r>
      <w:r w:rsidRPr="007758E5">
        <w:rPr>
          <w:rFonts w:ascii="Times New Roman" w:hAnsi="Times New Roman"/>
        </w:rPr>
        <w:t>São Paulo: Revista dos Tribunais, 2010</w:t>
      </w:r>
      <w:r>
        <w:rPr>
          <w:rFonts w:ascii="Times New Roman" w:hAnsi="Times New Roman"/>
        </w:rPr>
        <w:t>, p. 299.</w:t>
      </w:r>
    </w:p>
  </w:footnote>
  <w:footnote w:id="197">
    <w:p w:rsidR="00D549BC" w:rsidRDefault="00D549BC" w:rsidP="00705F21">
      <w:pPr>
        <w:pStyle w:val="FootnoteText"/>
        <w:ind w:firstLine="0"/>
      </w:pPr>
      <w:r w:rsidRPr="00705F21">
        <w:rPr>
          <w:rStyle w:val="FootnoteReference"/>
          <w:rFonts w:ascii="Times New Roman" w:hAnsi="Times New Roman"/>
        </w:rPr>
        <w:footnoteRef/>
      </w:r>
      <w:r w:rsidRPr="00705F21">
        <w:rPr>
          <w:rFonts w:ascii="Times New Roman" w:hAnsi="Times New Roman"/>
        </w:rPr>
        <w:t xml:space="preserve"> </w:t>
      </w:r>
      <w:r>
        <w:rPr>
          <w:rFonts w:ascii="Times New Roman" w:hAnsi="Times New Roman"/>
        </w:rPr>
        <w:t xml:space="preserve">BRASIL. </w:t>
      </w:r>
      <w:r w:rsidRPr="00350A41">
        <w:rPr>
          <w:rFonts w:ascii="Times New Roman" w:hAnsi="Times New Roman"/>
        </w:rPr>
        <w:t>Supremo Tribunal Federal</w:t>
      </w:r>
      <w:r>
        <w:rPr>
          <w:rFonts w:ascii="Times New Roman" w:hAnsi="Times New Roman"/>
        </w:rPr>
        <w:t xml:space="preserve">. </w:t>
      </w:r>
      <w:r w:rsidRPr="00705F21">
        <w:rPr>
          <w:rFonts w:ascii="Times New Roman" w:hAnsi="Times New Roman"/>
        </w:rPr>
        <w:t>RE 565</w:t>
      </w:r>
      <w:r>
        <w:rPr>
          <w:rFonts w:ascii="Times New Roman" w:hAnsi="Times New Roman"/>
        </w:rPr>
        <w:t>.714/</w:t>
      </w:r>
      <w:r w:rsidRPr="00705F21">
        <w:rPr>
          <w:rFonts w:ascii="Times New Roman" w:hAnsi="Times New Roman"/>
        </w:rPr>
        <w:t xml:space="preserve">SP - </w:t>
      </w:r>
      <w:r>
        <w:rPr>
          <w:rFonts w:ascii="Times New Roman" w:hAnsi="Times New Roman"/>
        </w:rPr>
        <w:t>Relatora</w:t>
      </w:r>
      <w:r w:rsidRPr="00705F21">
        <w:rPr>
          <w:rFonts w:ascii="Times New Roman" w:hAnsi="Times New Roman"/>
        </w:rPr>
        <w:t>:  Min. C</w:t>
      </w:r>
      <w:r>
        <w:rPr>
          <w:rFonts w:ascii="Times New Roman" w:hAnsi="Times New Roman"/>
        </w:rPr>
        <w:t>ármen L</w:t>
      </w:r>
      <w:r w:rsidRPr="00705F21">
        <w:rPr>
          <w:rFonts w:ascii="Times New Roman" w:hAnsi="Times New Roman"/>
        </w:rPr>
        <w:t>úcia</w:t>
      </w:r>
      <w:r>
        <w:rPr>
          <w:rFonts w:ascii="Times New Roman" w:hAnsi="Times New Roman"/>
        </w:rPr>
        <w:t xml:space="preserve">. </w:t>
      </w:r>
      <w:r w:rsidRPr="00705F21">
        <w:rPr>
          <w:rFonts w:ascii="Times New Roman" w:hAnsi="Times New Roman"/>
        </w:rPr>
        <w:t>Julgamento:  30/04/2008</w:t>
      </w:r>
      <w:r>
        <w:rPr>
          <w:rFonts w:ascii="Times New Roman" w:hAnsi="Times New Roman"/>
        </w:rPr>
        <w:t xml:space="preserve">. Órgão Julgador: </w:t>
      </w:r>
      <w:r w:rsidRPr="00705F21">
        <w:rPr>
          <w:rFonts w:ascii="Times New Roman" w:hAnsi="Times New Roman"/>
        </w:rPr>
        <w:t>Tribunal Pleno</w:t>
      </w:r>
      <w:r>
        <w:rPr>
          <w:rFonts w:ascii="Times New Roman" w:hAnsi="Times New Roman"/>
        </w:rPr>
        <w:t xml:space="preserve">. DJe: </w:t>
      </w:r>
      <w:r w:rsidRPr="00705F21">
        <w:rPr>
          <w:rFonts w:ascii="Times New Roman" w:hAnsi="Times New Roman"/>
        </w:rPr>
        <w:t>07-11-2008</w:t>
      </w:r>
      <w:r>
        <w:rPr>
          <w:rFonts w:ascii="Times New Roman" w:hAnsi="Times New Roman"/>
        </w:rPr>
        <w:t xml:space="preserve">. p. 1199-1200. Disponível em </w:t>
      </w:r>
      <w:r w:rsidRPr="00A43070">
        <w:rPr>
          <w:rFonts w:ascii="Times New Roman" w:hAnsi="Times New Roman"/>
        </w:rPr>
        <w:t>http://redir.stf.jus.br/paginadorpub/paginador.jsp?docTP=AC&amp;docID=560067</w:t>
      </w:r>
      <w:r>
        <w:rPr>
          <w:rFonts w:ascii="Times New Roman" w:hAnsi="Times New Roman"/>
        </w:rPr>
        <w:t xml:space="preserve">. Acesso em: 1º abr. 2015 (grifos nossos).  </w:t>
      </w:r>
    </w:p>
  </w:footnote>
  <w:footnote w:id="198">
    <w:p w:rsidR="00D549BC" w:rsidRDefault="00D549BC" w:rsidP="00D26BB6">
      <w:pPr>
        <w:pStyle w:val="FootnoteText"/>
        <w:ind w:firstLine="0"/>
      </w:pPr>
      <w:r w:rsidRPr="002D66AB">
        <w:rPr>
          <w:rStyle w:val="FootnoteReference"/>
          <w:rFonts w:ascii="Times New Roman" w:hAnsi="Times New Roman"/>
        </w:rPr>
        <w:footnoteRef/>
      </w:r>
      <w:r w:rsidRPr="002D66AB">
        <w:rPr>
          <w:rFonts w:ascii="Times New Roman" w:hAnsi="Times New Roman"/>
        </w:rPr>
        <w:t xml:space="preserve"> </w:t>
      </w:r>
      <w:r>
        <w:rPr>
          <w:rFonts w:ascii="Times New Roman" w:hAnsi="Times New Roman"/>
        </w:rPr>
        <w:t>Ibid., p. 1203.</w:t>
      </w:r>
    </w:p>
  </w:footnote>
  <w:footnote w:id="199">
    <w:p w:rsidR="00D549BC" w:rsidRDefault="00D549BC" w:rsidP="00FD14D8">
      <w:pPr>
        <w:pStyle w:val="FootnoteText"/>
        <w:ind w:firstLine="0"/>
      </w:pPr>
      <w:r w:rsidRPr="00FD14D8">
        <w:rPr>
          <w:rStyle w:val="FootnoteReference"/>
          <w:rFonts w:ascii="Times New Roman" w:hAnsi="Times New Roman"/>
        </w:rPr>
        <w:footnoteRef/>
      </w:r>
      <w:r>
        <w:rPr>
          <w:rFonts w:ascii="Times New Roman" w:hAnsi="Times New Roman"/>
        </w:rPr>
        <w:t xml:space="preserve"> art. 131,</w:t>
      </w:r>
      <w:r w:rsidRPr="00FD14D8">
        <w:rPr>
          <w:rFonts w:ascii="Times New Roman" w:hAnsi="Times New Roman"/>
        </w:rPr>
        <w:t xml:space="preserve"> </w:t>
      </w:r>
      <w:r>
        <w:rPr>
          <w:rFonts w:ascii="Times New Roman" w:hAnsi="Times New Roman"/>
        </w:rPr>
        <w:t xml:space="preserve">§ 3º </w:t>
      </w:r>
      <w:r w:rsidRPr="00FD14D8">
        <w:rPr>
          <w:rFonts w:ascii="Times New Roman" w:hAnsi="Times New Roman"/>
          <w:i/>
        </w:rPr>
        <w:t>Admitida a intervenção de terceiros no processo de controle concentrado de constitucionalidade, fica-lhes facultado produzir sustentação oral, aplicando-se, quando for o caso, a regra do § 2º do art. 132 deste Regimento</w:t>
      </w:r>
      <w:r w:rsidRPr="00FD14D8">
        <w:rPr>
          <w:rFonts w:ascii="Times New Roman" w:hAnsi="Times New Roman"/>
        </w:rPr>
        <w:t>.</w:t>
      </w:r>
      <w:r>
        <w:rPr>
          <w:rFonts w:ascii="Times New Roman" w:hAnsi="Times New Roman"/>
        </w:rPr>
        <w:t xml:space="preserve"> (</w:t>
      </w:r>
      <w:r w:rsidRPr="00FD14D8">
        <w:rPr>
          <w:rFonts w:ascii="Times New Roman" w:hAnsi="Times New Roman"/>
        </w:rPr>
        <w:t>Atualizado com a introdução da Emenda Regimental 15/2004</w:t>
      </w:r>
      <w:r>
        <w:rPr>
          <w:rFonts w:ascii="Times New Roman" w:hAnsi="Times New Roman"/>
        </w:rPr>
        <w:t xml:space="preserve">) (BRASIL. </w:t>
      </w:r>
      <w:r w:rsidRPr="002D30E9">
        <w:rPr>
          <w:rFonts w:ascii="Times New Roman" w:hAnsi="Times New Roman"/>
        </w:rPr>
        <w:t>Supremo Tribunal Federal</w:t>
      </w:r>
      <w:r>
        <w:rPr>
          <w:rFonts w:ascii="Times New Roman" w:hAnsi="Times New Roman"/>
        </w:rPr>
        <w:t xml:space="preserve">. Regimento Interno atualizado até janeiro de 2015. Disponível em: </w:t>
      </w:r>
      <w:r w:rsidRPr="002D30E9">
        <w:rPr>
          <w:rFonts w:ascii="Times New Roman" w:hAnsi="Times New Roman"/>
        </w:rPr>
        <w:t>http://www.stf.jus.br/arquivo/cms/legislacaoRegimentoInterno/anexo/RISTF_Janeiro_2015_versao_eletronica.pdf.</w:t>
      </w:r>
      <w:r>
        <w:rPr>
          <w:rFonts w:ascii="Times New Roman" w:hAnsi="Times New Roman"/>
        </w:rPr>
        <w:t xml:space="preserve"> Acesso em: 1º abr. 2015 – grifos nossos).</w:t>
      </w:r>
    </w:p>
  </w:footnote>
  <w:footnote w:id="200">
    <w:p w:rsidR="00D549BC" w:rsidRDefault="00D549BC" w:rsidP="00C65ED6">
      <w:pPr>
        <w:pStyle w:val="FootnoteText"/>
        <w:ind w:firstLine="0"/>
      </w:pPr>
      <w:r w:rsidRPr="00C65ED6">
        <w:rPr>
          <w:rStyle w:val="FootnoteReference"/>
          <w:rFonts w:ascii="Times New Roman" w:hAnsi="Times New Roman"/>
        </w:rPr>
        <w:footnoteRef/>
      </w:r>
      <w:r w:rsidRPr="00C65ED6">
        <w:rPr>
          <w:rFonts w:ascii="Times New Roman" w:hAnsi="Times New Roman"/>
        </w:rPr>
        <w:t xml:space="preserve"> </w:t>
      </w:r>
      <w:r>
        <w:rPr>
          <w:rFonts w:ascii="Times New Roman" w:hAnsi="Times New Roman"/>
        </w:rPr>
        <w:t>Ressalte-se que, no</w:t>
      </w:r>
      <w:r w:rsidRPr="00C65ED6">
        <w:rPr>
          <w:rFonts w:ascii="Times New Roman" w:hAnsi="Times New Roman"/>
        </w:rPr>
        <w:t xml:space="preserve"> </w:t>
      </w:r>
      <w:r>
        <w:rPr>
          <w:rFonts w:ascii="Times New Roman" w:hAnsi="Times New Roman"/>
        </w:rPr>
        <w:t>julgamento</w:t>
      </w:r>
      <w:r w:rsidRPr="00C65ED6">
        <w:rPr>
          <w:rFonts w:ascii="Times New Roman" w:hAnsi="Times New Roman"/>
        </w:rPr>
        <w:t xml:space="preserve"> d</w:t>
      </w:r>
      <w:r>
        <w:rPr>
          <w:rFonts w:ascii="Times New Roman" w:hAnsi="Times New Roman"/>
        </w:rPr>
        <w:t>a</w:t>
      </w:r>
      <w:r w:rsidRPr="00C65ED6">
        <w:rPr>
          <w:rFonts w:ascii="Times New Roman" w:hAnsi="Times New Roman"/>
        </w:rPr>
        <w:t xml:space="preserve"> preliminar</w:t>
      </w:r>
      <w:r>
        <w:rPr>
          <w:rFonts w:ascii="Times New Roman" w:hAnsi="Times New Roman"/>
        </w:rPr>
        <w:t xml:space="preserve"> de Repercussão Geral, não há</w:t>
      </w:r>
      <w:r w:rsidRPr="00C65ED6">
        <w:rPr>
          <w:rFonts w:ascii="Times New Roman" w:hAnsi="Times New Roman"/>
        </w:rPr>
        <w:t xml:space="preserve"> possibilidade</w:t>
      </w:r>
      <w:r>
        <w:rPr>
          <w:rFonts w:ascii="Times New Roman" w:hAnsi="Times New Roman"/>
        </w:rPr>
        <w:t xml:space="preserve"> de sustentação oral</w:t>
      </w:r>
      <w:r w:rsidRPr="00C65ED6">
        <w:rPr>
          <w:rFonts w:ascii="Times New Roman" w:hAnsi="Times New Roman"/>
        </w:rPr>
        <w:t>, na medid</w:t>
      </w:r>
      <w:r>
        <w:rPr>
          <w:rFonts w:ascii="Times New Roman" w:hAnsi="Times New Roman"/>
        </w:rPr>
        <w:t>a em que os votos são apresentados no</w:t>
      </w:r>
      <w:r w:rsidRPr="00C65ED6">
        <w:rPr>
          <w:rFonts w:ascii="Times New Roman" w:hAnsi="Times New Roman"/>
        </w:rPr>
        <w:t xml:space="preserve"> Plenário virtual, por meio eletrônico, sem debates entre os Ministros da Corte</w:t>
      </w:r>
      <w:r>
        <w:rPr>
          <w:rFonts w:ascii="Times New Roman" w:hAnsi="Times New Roman"/>
        </w:rPr>
        <w:t xml:space="preserve">. Assim, a participação oral do </w:t>
      </w:r>
      <w:r w:rsidRPr="00C65ED6">
        <w:rPr>
          <w:rFonts w:ascii="Times New Roman" w:hAnsi="Times New Roman"/>
          <w:i/>
        </w:rPr>
        <w:t>amicus curiae</w:t>
      </w:r>
      <w:r>
        <w:rPr>
          <w:rFonts w:ascii="Times New Roman" w:hAnsi="Times New Roman"/>
        </w:rPr>
        <w:t xml:space="preserve"> somente manter-se-ia autorizada no momento do julgamento do mérito do Recurso Extraordinário. </w:t>
      </w:r>
    </w:p>
  </w:footnote>
  <w:footnote w:id="201">
    <w:p w:rsidR="00D549BC" w:rsidRDefault="00D549BC" w:rsidP="005206B1">
      <w:pPr>
        <w:pStyle w:val="FootnoteText"/>
        <w:ind w:firstLine="0"/>
      </w:pPr>
      <w:r w:rsidRPr="00BC14E8">
        <w:rPr>
          <w:rStyle w:val="FootnoteReference"/>
          <w:rFonts w:ascii="Times New Roman" w:hAnsi="Times New Roman"/>
        </w:rPr>
        <w:footnoteRef/>
      </w:r>
      <w:r w:rsidRPr="00BC14E8">
        <w:rPr>
          <w:rFonts w:ascii="Times New Roman" w:hAnsi="Times New Roman"/>
        </w:rPr>
        <w:t xml:space="preserve"> </w:t>
      </w:r>
      <w:r>
        <w:rPr>
          <w:rFonts w:ascii="Times New Roman" w:hAnsi="Times New Roman"/>
        </w:rPr>
        <w:t xml:space="preserve">No julgamento do RE 599.362/RJ, que discutia a imunidade tributária em relação ao ato cooperativo (incidência ou não do PIS/PASEP), houve a sustentação oral de dois </w:t>
      </w:r>
      <w:r w:rsidRPr="00BC14E8">
        <w:rPr>
          <w:rFonts w:ascii="Times New Roman" w:hAnsi="Times New Roman"/>
          <w:i/>
        </w:rPr>
        <w:t>Amicus Curiae</w:t>
      </w:r>
      <w:r>
        <w:rPr>
          <w:rFonts w:ascii="Times New Roman" w:hAnsi="Times New Roman"/>
        </w:rPr>
        <w:t>, conforme se depreende da Ata de Julgamento: “</w:t>
      </w:r>
      <w:r w:rsidRPr="00BC14E8">
        <w:rPr>
          <w:rFonts w:ascii="Times New Roman" w:hAnsi="Times New Roman"/>
          <w:i/>
        </w:rPr>
        <w:t>Após o relatório e as sustentações orais</w:t>
      </w:r>
      <w:r w:rsidRPr="00BC14E8">
        <w:rPr>
          <w:rFonts w:ascii="Times New Roman" w:hAnsi="Times New Roman"/>
        </w:rPr>
        <w:t xml:space="preserve"> do Dr. Fabrício da Soller, Procurador-Geral Adjunto da Fazenda Nacional, pela recorrente União; </w:t>
      </w:r>
      <w:r w:rsidRPr="00BC14E8">
        <w:rPr>
          <w:rFonts w:ascii="Times New Roman" w:hAnsi="Times New Roman"/>
          <w:i/>
        </w:rPr>
        <w:t>do Dr. João Caetano Muzzi Filho, OAB/MG 64.712,</w:t>
      </w:r>
      <w:r w:rsidRPr="00BC14E8">
        <w:rPr>
          <w:rFonts w:ascii="Times New Roman" w:hAnsi="Times New Roman"/>
        </w:rPr>
        <w:t xml:space="preserve"> </w:t>
      </w:r>
      <w:r w:rsidRPr="00BC14E8">
        <w:rPr>
          <w:rFonts w:ascii="Times New Roman" w:hAnsi="Times New Roman"/>
          <w:i/>
        </w:rPr>
        <w:t>pelo</w:t>
      </w:r>
      <w:r w:rsidRPr="00BC14E8">
        <w:rPr>
          <w:rFonts w:ascii="Times New Roman" w:hAnsi="Times New Roman"/>
        </w:rPr>
        <w:t xml:space="preserve"> </w:t>
      </w:r>
      <w:r w:rsidRPr="00BC14E8">
        <w:rPr>
          <w:rFonts w:ascii="Times New Roman" w:hAnsi="Times New Roman"/>
          <w:i/>
        </w:rPr>
        <w:t>amicus curiae</w:t>
      </w:r>
      <w:r w:rsidRPr="00BC14E8">
        <w:rPr>
          <w:rFonts w:ascii="Times New Roman" w:hAnsi="Times New Roman"/>
        </w:rPr>
        <w:t xml:space="preserve"> </w:t>
      </w:r>
      <w:r w:rsidRPr="00BC14E8">
        <w:rPr>
          <w:rFonts w:ascii="Times New Roman" w:hAnsi="Times New Roman"/>
          <w:i/>
        </w:rPr>
        <w:t xml:space="preserve">Organização das Cooperativas Brasileiras </w:t>
      </w:r>
      <w:r>
        <w:rPr>
          <w:rFonts w:ascii="Times New Roman" w:hAnsi="Times New Roman"/>
          <w:i/>
        </w:rPr>
        <w:t>–</w:t>
      </w:r>
      <w:r w:rsidRPr="00BC14E8">
        <w:rPr>
          <w:rFonts w:ascii="Times New Roman" w:hAnsi="Times New Roman"/>
          <w:i/>
        </w:rPr>
        <w:t xml:space="preserve"> OCB</w:t>
      </w:r>
      <w:r w:rsidRPr="00BC14E8">
        <w:rPr>
          <w:rFonts w:ascii="Times New Roman" w:hAnsi="Times New Roman"/>
        </w:rPr>
        <w:t xml:space="preserve">, </w:t>
      </w:r>
      <w:r w:rsidRPr="00BC14E8">
        <w:rPr>
          <w:rFonts w:ascii="Times New Roman" w:hAnsi="Times New Roman"/>
          <w:i/>
        </w:rPr>
        <w:t xml:space="preserve">e do Dr. Guilherme Krueger, OAB/RJ 75.798, pelo amicus curiae Federação Brasileira das Cooperativas dos Anestesiologistas </w:t>
      </w:r>
      <w:r>
        <w:rPr>
          <w:rFonts w:ascii="Times New Roman" w:hAnsi="Times New Roman"/>
          <w:i/>
        </w:rPr>
        <w:t>–</w:t>
      </w:r>
      <w:r w:rsidRPr="00BC14E8">
        <w:rPr>
          <w:rFonts w:ascii="Times New Roman" w:hAnsi="Times New Roman"/>
          <w:i/>
        </w:rPr>
        <w:t xml:space="preserve"> Febracan</w:t>
      </w:r>
      <w:r>
        <w:rPr>
          <w:rFonts w:ascii="Times New Roman" w:hAnsi="Times New Roman"/>
        </w:rPr>
        <w:t>, o julgamento foi suspenso”</w:t>
      </w:r>
      <w:r w:rsidRPr="00BC14E8">
        <w:rPr>
          <w:rFonts w:ascii="Times New Roman" w:hAnsi="Times New Roman"/>
        </w:rPr>
        <w:t>.</w:t>
      </w:r>
      <w:r>
        <w:rPr>
          <w:rFonts w:ascii="Times New Roman" w:hAnsi="Times New Roman"/>
        </w:rPr>
        <w:t xml:space="preserve"> (BRASIL. </w:t>
      </w:r>
      <w:r w:rsidRPr="006309C8">
        <w:rPr>
          <w:rFonts w:ascii="Times New Roman" w:hAnsi="Times New Roman"/>
        </w:rPr>
        <w:t>Supremo Tribunal Federal</w:t>
      </w:r>
      <w:r>
        <w:rPr>
          <w:rFonts w:ascii="Times New Roman" w:hAnsi="Times New Roman"/>
        </w:rPr>
        <w:t xml:space="preserve">. </w:t>
      </w:r>
      <w:r w:rsidRPr="005206B1">
        <w:rPr>
          <w:rFonts w:ascii="Times New Roman" w:hAnsi="Times New Roman"/>
        </w:rPr>
        <w:t>RE 599</w:t>
      </w:r>
      <w:r>
        <w:rPr>
          <w:rFonts w:ascii="Times New Roman" w:hAnsi="Times New Roman"/>
        </w:rPr>
        <w:t>.362/</w:t>
      </w:r>
      <w:r w:rsidRPr="005206B1">
        <w:rPr>
          <w:rFonts w:ascii="Times New Roman" w:hAnsi="Times New Roman"/>
        </w:rPr>
        <w:t xml:space="preserve">RJ </w:t>
      </w:r>
      <w:r>
        <w:rPr>
          <w:rFonts w:ascii="Times New Roman" w:hAnsi="Times New Roman"/>
        </w:rPr>
        <w:t>R</w:t>
      </w:r>
      <w:r w:rsidRPr="005206B1">
        <w:rPr>
          <w:rFonts w:ascii="Times New Roman" w:hAnsi="Times New Roman"/>
        </w:rPr>
        <w:t>elator:  Min. Dias Toffoli</w:t>
      </w:r>
      <w:r>
        <w:rPr>
          <w:rFonts w:ascii="Times New Roman" w:hAnsi="Times New Roman"/>
        </w:rPr>
        <w:t xml:space="preserve">. Julgamento: </w:t>
      </w:r>
      <w:r w:rsidRPr="005206B1">
        <w:rPr>
          <w:rFonts w:ascii="Times New Roman" w:hAnsi="Times New Roman"/>
        </w:rPr>
        <w:t>06/11/</w:t>
      </w:r>
      <w:r>
        <w:rPr>
          <w:rFonts w:ascii="Times New Roman" w:hAnsi="Times New Roman"/>
        </w:rPr>
        <w:t xml:space="preserve">2014           Órgão Julgador: </w:t>
      </w:r>
      <w:r w:rsidRPr="005206B1">
        <w:rPr>
          <w:rFonts w:ascii="Times New Roman" w:hAnsi="Times New Roman"/>
        </w:rPr>
        <w:t>Tribunal Pleno</w:t>
      </w:r>
      <w:r>
        <w:rPr>
          <w:rFonts w:ascii="Times New Roman" w:hAnsi="Times New Roman"/>
        </w:rPr>
        <w:t xml:space="preserve">. DJe: </w:t>
      </w:r>
      <w:r w:rsidRPr="005206B1">
        <w:rPr>
          <w:rFonts w:ascii="Times New Roman" w:hAnsi="Times New Roman"/>
        </w:rPr>
        <w:t>10-02-2015</w:t>
      </w:r>
      <w:r>
        <w:rPr>
          <w:rFonts w:ascii="Times New Roman" w:hAnsi="Times New Roman"/>
        </w:rPr>
        <w:t xml:space="preserve">. Disponível em: </w:t>
      </w:r>
      <w:r w:rsidRPr="006309C8">
        <w:rPr>
          <w:rFonts w:ascii="Times New Roman" w:hAnsi="Times New Roman"/>
        </w:rPr>
        <w:t>http://redir.stf.jus.br/paginadorpub/paginador.jsp?docTP=TP&amp;docID=7709680</w:t>
      </w:r>
      <w:r>
        <w:rPr>
          <w:rFonts w:ascii="Times New Roman" w:hAnsi="Times New Roman"/>
        </w:rPr>
        <w:t xml:space="preserve">. Acesso em: 2 abr. 2015 – grifos nossos).    </w:t>
      </w:r>
    </w:p>
  </w:footnote>
  <w:footnote w:id="202">
    <w:p w:rsidR="00D549BC" w:rsidRDefault="00D549BC" w:rsidP="008D2582">
      <w:pPr>
        <w:pStyle w:val="FootnoteText"/>
        <w:ind w:firstLine="0"/>
        <w:rPr>
          <w:rFonts w:ascii="Times New Roman" w:hAnsi="Times New Roman"/>
        </w:rPr>
      </w:pPr>
      <w:r w:rsidRPr="008D2582">
        <w:rPr>
          <w:rStyle w:val="FootnoteReference"/>
          <w:rFonts w:ascii="Times New Roman" w:hAnsi="Times New Roman"/>
        </w:rPr>
        <w:footnoteRef/>
      </w:r>
      <w:r w:rsidRPr="008D2582">
        <w:rPr>
          <w:rFonts w:ascii="Times New Roman" w:hAnsi="Times New Roman"/>
        </w:rPr>
        <w:t xml:space="preserve"> </w:t>
      </w:r>
      <w:r>
        <w:rPr>
          <w:rFonts w:ascii="Times New Roman" w:hAnsi="Times New Roman"/>
        </w:rPr>
        <w:t xml:space="preserve">Art. 1.035. O Supremo </w:t>
      </w:r>
      <w:r w:rsidRPr="008D2582">
        <w:rPr>
          <w:rFonts w:ascii="Times New Roman" w:hAnsi="Times New Roman"/>
        </w:rPr>
        <w:t>Tribunal Federal, em decisão irrecorrível, não conhecerá do recurso extraordinário quando a questão constitucional nele versada não tiver repercussão geral, nos termos deste artigo.</w:t>
      </w:r>
    </w:p>
    <w:p w:rsidR="00D549BC" w:rsidRDefault="00D549BC" w:rsidP="008D2582">
      <w:pPr>
        <w:pStyle w:val="FootnoteText"/>
        <w:ind w:firstLine="0"/>
      </w:pPr>
      <w:r>
        <w:rPr>
          <w:rFonts w:ascii="Times New Roman" w:hAnsi="Times New Roman"/>
        </w:rPr>
        <w:t>§ 4º</w:t>
      </w:r>
      <w:r w:rsidRPr="008D2582">
        <w:rPr>
          <w:rFonts w:ascii="Times New Roman" w:hAnsi="Times New Roman"/>
        </w:rPr>
        <w:t xml:space="preserve"> </w:t>
      </w:r>
      <w:r w:rsidRPr="008D2582">
        <w:rPr>
          <w:rFonts w:ascii="Times New Roman" w:hAnsi="Times New Roman"/>
          <w:i/>
        </w:rPr>
        <w:t>O relator poderá admitir, na análise da repercussão geral, a manifestação de terceiros, subscrita por procurador habilitado, nos termos do Regimento Interno do Supremo Tribunal Federal</w:t>
      </w:r>
      <w:r w:rsidRPr="008D2582">
        <w:rPr>
          <w:rFonts w:ascii="Times New Roman" w:hAnsi="Times New Roman"/>
        </w:rPr>
        <w:t>.</w:t>
      </w:r>
      <w:r>
        <w:rPr>
          <w:rFonts w:ascii="Times New Roman" w:hAnsi="Times New Roman"/>
        </w:rPr>
        <w:t xml:space="preserve"> </w:t>
      </w:r>
    </w:p>
  </w:footnote>
  <w:footnote w:id="203">
    <w:p w:rsidR="00D549BC" w:rsidRDefault="00D549BC" w:rsidP="0060434D">
      <w:pPr>
        <w:pStyle w:val="FootnoteText"/>
        <w:ind w:firstLine="0"/>
      </w:pPr>
      <w:r w:rsidRPr="006B6169">
        <w:rPr>
          <w:rStyle w:val="FootnoteReference"/>
          <w:rFonts w:ascii="Times New Roman" w:hAnsi="Times New Roman"/>
        </w:rPr>
        <w:footnoteRef/>
      </w:r>
      <w:r w:rsidRPr="006B6169">
        <w:rPr>
          <w:rFonts w:ascii="Times New Roman" w:hAnsi="Times New Roman"/>
        </w:rPr>
        <w:t xml:space="preserve"> Art. 3º </w:t>
      </w:r>
      <w:r w:rsidRPr="006B6169">
        <w:rPr>
          <w:rFonts w:ascii="Times New Roman" w:hAnsi="Times New Roman"/>
          <w:i/>
        </w:rPr>
        <w:t>Caberá ao Supremo Tribunal Federal, em seu Regimento Interno, estabelecer as normas necessárias à execução desta Lei</w:t>
      </w:r>
      <w:r w:rsidRPr="006B6169">
        <w:rPr>
          <w:rFonts w:ascii="Times New Roman" w:hAnsi="Times New Roman"/>
        </w:rPr>
        <w:t>. (BRASIL. Planalto. Lei 11.418, de 19 de dezembro de 2006. Disponível em</w:t>
      </w:r>
      <w:r>
        <w:rPr>
          <w:rFonts w:ascii="Times New Roman" w:hAnsi="Times New Roman"/>
        </w:rPr>
        <w:t>:</w:t>
      </w:r>
      <w:r w:rsidRPr="006B6169">
        <w:rPr>
          <w:rFonts w:ascii="Times New Roman" w:hAnsi="Times New Roman"/>
        </w:rPr>
        <w:t xml:space="preserve"> http://www.planalto.gov.br/ccivil_03/_ato2004-2006/2006/lei/l11418.htm</w:t>
      </w:r>
      <w:r>
        <w:rPr>
          <w:rFonts w:ascii="Times New Roman" w:hAnsi="Times New Roman"/>
        </w:rPr>
        <w:t>.</w:t>
      </w:r>
      <w:r w:rsidRPr="006B6169">
        <w:rPr>
          <w:rFonts w:ascii="Times New Roman" w:hAnsi="Times New Roman"/>
        </w:rPr>
        <w:t xml:space="preserve"> Acesso em</w:t>
      </w:r>
      <w:r>
        <w:rPr>
          <w:rFonts w:ascii="Times New Roman" w:hAnsi="Times New Roman"/>
        </w:rPr>
        <w:t>:</w:t>
      </w:r>
      <w:r w:rsidRPr="006B6169">
        <w:rPr>
          <w:rFonts w:ascii="Times New Roman" w:hAnsi="Times New Roman"/>
        </w:rPr>
        <w:t xml:space="preserve"> 2 abr. </w:t>
      </w:r>
      <w:r>
        <w:rPr>
          <w:rFonts w:ascii="Times New Roman" w:hAnsi="Times New Roman"/>
        </w:rPr>
        <w:t>2015 – grif</w:t>
      </w:r>
      <w:r w:rsidRPr="006B6169">
        <w:rPr>
          <w:rFonts w:ascii="Times New Roman" w:hAnsi="Times New Roman"/>
        </w:rPr>
        <w:t>os</w:t>
      </w:r>
      <w:r>
        <w:rPr>
          <w:rFonts w:ascii="Times New Roman" w:hAnsi="Times New Roman"/>
        </w:rPr>
        <w:t xml:space="preserve"> nossos</w:t>
      </w:r>
      <w:r w:rsidRPr="006B6169">
        <w:rPr>
          <w:rFonts w:ascii="Times New Roman" w:hAnsi="Times New Roman"/>
        </w:rPr>
        <w:t xml:space="preserve">). </w:t>
      </w:r>
    </w:p>
  </w:footnote>
  <w:footnote w:id="204">
    <w:p w:rsidR="00D549BC" w:rsidRDefault="00D549BC" w:rsidP="006A24EF">
      <w:pPr>
        <w:pStyle w:val="FootnoteText"/>
        <w:ind w:firstLine="0"/>
      </w:pPr>
      <w:r w:rsidRPr="006A24EF">
        <w:rPr>
          <w:rStyle w:val="FootnoteReference"/>
          <w:rFonts w:ascii="Times New Roman" w:hAnsi="Times New Roman"/>
        </w:rPr>
        <w:footnoteRef/>
      </w:r>
      <w:r w:rsidRPr="006A24EF">
        <w:rPr>
          <w:rFonts w:ascii="Times New Roman" w:hAnsi="Times New Roman"/>
        </w:rPr>
        <w:t xml:space="preserve"> EMENTA: I. Questão de ordem. Recurso extraordinário, em matéria criminal e a exigência constitucional da repercussão geral.</w:t>
      </w:r>
      <w:r>
        <w:rPr>
          <w:rFonts w:ascii="Times New Roman" w:hAnsi="Times New Roman"/>
        </w:rPr>
        <w:t xml:space="preserve"> (...) </w:t>
      </w:r>
      <w:r w:rsidRPr="00F36F8C">
        <w:rPr>
          <w:rFonts w:ascii="Times New Roman" w:hAnsi="Times New Roman"/>
        </w:rPr>
        <w:t xml:space="preserve">III. Recurso extraordinário: </w:t>
      </w:r>
      <w:r w:rsidRPr="00F36F8C">
        <w:rPr>
          <w:rFonts w:ascii="Times New Roman" w:hAnsi="Times New Roman"/>
          <w:i/>
        </w:rPr>
        <w:t>exigência de demonstração, na petição do RE, da repercussão geral da questão constitucional: termo inicial</w:t>
      </w:r>
      <w:r w:rsidRPr="00F36F8C">
        <w:rPr>
          <w:rFonts w:ascii="Times New Roman" w:hAnsi="Times New Roman"/>
        </w:rPr>
        <w:t xml:space="preserve">. 1. </w:t>
      </w:r>
      <w:r w:rsidRPr="00F36F8C">
        <w:rPr>
          <w:rFonts w:ascii="Times New Roman" w:hAnsi="Times New Roman"/>
          <w:i/>
        </w:rPr>
        <w:t>A determinação expressa de aplicação da L. 11.418/06 (art. 4º) aos recursos interpostos a partir do primeiro dia de sua vigência não significa a sua plena eficácia. Tanto que ficou a cargo do Supremo Tribunal Federal a tarefa de estabelecer, em seu Regimento Interno, as normas necessárias à execução da mesma lei (art. 3º)</w:t>
      </w:r>
      <w:r w:rsidRPr="00F36F8C">
        <w:rPr>
          <w:rFonts w:ascii="Times New Roman" w:hAnsi="Times New Roman"/>
        </w:rPr>
        <w:t xml:space="preserve">. 2. </w:t>
      </w:r>
      <w:r w:rsidRPr="00F36F8C">
        <w:rPr>
          <w:rFonts w:ascii="Times New Roman" w:hAnsi="Times New Roman"/>
          <w:i/>
        </w:rPr>
        <w:t xml:space="preserve">As alterações regimentais, imprescindíveis à execução da L. 11.418/06, somente entraram em vigor no dia 03.05.07 </w:t>
      </w:r>
      <w:r>
        <w:rPr>
          <w:rFonts w:ascii="Times New Roman" w:hAnsi="Times New Roman"/>
          <w:i/>
        </w:rPr>
        <w:t>–</w:t>
      </w:r>
      <w:r w:rsidRPr="00F36F8C">
        <w:rPr>
          <w:rFonts w:ascii="Times New Roman" w:hAnsi="Times New Roman"/>
          <w:i/>
        </w:rPr>
        <w:t xml:space="preserve"> data da publicação da Emenda Regimental nº 21, de 30.04.2007</w:t>
      </w:r>
      <w:r w:rsidRPr="00F36F8C">
        <w:rPr>
          <w:rFonts w:ascii="Times New Roman" w:hAnsi="Times New Roman"/>
        </w:rPr>
        <w:t xml:space="preserve">. 3. </w:t>
      </w:r>
      <w:r w:rsidRPr="00F36F8C">
        <w:rPr>
          <w:rFonts w:ascii="Times New Roman" w:hAnsi="Times New Roman"/>
          <w:i/>
        </w:rPr>
        <w:t>No artigo 327 do RISTF foi inserida norma específica tratando da necessidade da preliminar sobre a repercussão geral, ficando estabelecida a possibilidade de, no Supremo Tribunal, a Presidência ou o Relator sorteado negarem seguimento aos recursos que não apresentem aquela preliminar, que deve ser</w:t>
      </w:r>
      <w:r w:rsidRPr="00F36F8C">
        <w:rPr>
          <w:rFonts w:ascii="Times New Roman" w:hAnsi="Times New Roman"/>
        </w:rPr>
        <w:t xml:space="preserve"> </w:t>
      </w:r>
      <w:r>
        <w:rPr>
          <w:rFonts w:ascii="Times New Roman" w:hAnsi="Times New Roman"/>
        </w:rPr>
        <w:t>“</w:t>
      </w:r>
      <w:r w:rsidRPr="00F36F8C">
        <w:rPr>
          <w:rFonts w:ascii="Times New Roman" w:hAnsi="Times New Roman"/>
          <w:i/>
        </w:rPr>
        <w:t>formal e fundamentada</w:t>
      </w:r>
      <w:r>
        <w:rPr>
          <w:rFonts w:ascii="Times New Roman" w:hAnsi="Times New Roman"/>
        </w:rPr>
        <w:t>”</w:t>
      </w:r>
      <w:r w:rsidRPr="00F36F8C">
        <w:rPr>
          <w:rFonts w:ascii="Times New Roman" w:hAnsi="Times New Roman"/>
        </w:rPr>
        <w:t xml:space="preserve">. 4. </w:t>
      </w:r>
      <w:r w:rsidRPr="00F36F8C">
        <w:rPr>
          <w:rFonts w:ascii="Times New Roman" w:hAnsi="Times New Roman"/>
          <w:i/>
        </w:rPr>
        <w:t>Assim sendo, a exigência da demonstração formal e fundamentada, no recurso extraordinário, da repercussão geral das questões constitucionais discutidas só incide quando a intimação do acórdão recorrido tenha ocorrido a partir de 03 de maio de 2007, data da publicação da Emenda Regimental n. 21, de 30 de abril de 2007</w:t>
      </w:r>
      <w:r w:rsidRPr="00F36F8C">
        <w:rPr>
          <w:rFonts w:ascii="Times New Roman" w:hAnsi="Times New Roman"/>
        </w:rPr>
        <w:t>.</w:t>
      </w:r>
      <w:r w:rsidRPr="006A24EF">
        <w:rPr>
          <w:rFonts w:ascii="Times New Roman" w:hAnsi="Times New Roman"/>
        </w:rPr>
        <w:t xml:space="preserve"> </w:t>
      </w:r>
      <w:r>
        <w:rPr>
          <w:rFonts w:ascii="Times New Roman" w:hAnsi="Times New Roman"/>
        </w:rPr>
        <w:t xml:space="preserve"> (BRASIL. </w:t>
      </w:r>
      <w:r w:rsidRPr="00393E4F">
        <w:rPr>
          <w:rFonts w:ascii="Times New Roman" w:hAnsi="Times New Roman"/>
        </w:rPr>
        <w:t>Supremo Tribunal Federal</w:t>
      </w:r>
      <w:r>
        <w:rPr>
          <w:rFonts w:ascii="Times New Roman" w:hAnsi="Times New Roman"/>
        </w:rPr>
        <w:t xml:space="preserve">. </w:t>
      </w:r>
      <w:r w:rsidRPr="002E6A34">
        <w:rPr>
          <w:rFonts w:ascii="Times New Roman" w:hAnsi="Times New Roman"/>
        </w:rPr>
        <w:t>AI 664</w:t>
      </w:r>
      <w:r>
        <w:rPr>
          <w:rFonts w:ascii="Times New Roman" w:hAnsi="Times New Roman"/>
        </w:rPr>
        <w:t xml:space="preserve">.567 QO/RS. Rel. Min. Sepúlveda Pertence (Aposentado). DJe: 06.09.2007. Disponível em: </w:t>
      </w:r>
      <w:r w:rsidRPr="00585BDF">
        <w:rPr>
          <w:rFonts w:ascii="Times New Roman" w:hAnsi="Times New Roman"/>
        </w:rPr>
        <w:t>http://redir.stf.jus.br/paginadorpub/paginador.jsp?docTP=AC&amp;docID=485554</w:t>
      </w:r>
      <w:r>
        <w:rPr>
          <w:rFonts w:ascii="Times New Roman" w:hAnsi="Times New Roman"/>
        </w:rPr>
        <w:t xml:space="preserve">. Acesso em: 2 abr. 2015 – grifos nossos).   </w:t>
      </w:r>
    </w:p>
  </w:footnote>
  <w:footnote w:id="205">
    <w:p w:rsidR="00D549BC" w:rsidRDefault="00D549BC" w:rsidP="00EC5564">
      <w:pPr>
        <w:pStyle w:val="FootnoteText"/>
        <w:ind w:firstLine="0"/>
      </w:pPr>
      <w:r w:rsidRPr="00EC5564">
        <w:rPr>
          <w:rStyle w:val="FootnoteReference"/>
          <w:rFonts w:ascii="Times New Roman" w:hAnsi="Times New Roman"/>
        </w:rPr>
        <w:footnoteRef/>
      </w:r>
      <w:r w:rsidRPr="00EC5564">
        <w:rPr>
          <w:rFonts w:ascii="Times New Roman" w:hAnsi="Times New Roman"/>
        </w:rPr>
        <w:t xml:space="preserve"> Art. 323. Quando não for caso de inadmissibilidade do recurso por outra razão,</w:t>
      </w:r>
      <w:r>
        <w:rPr>
          <w:rFonts w:ascii="Times New Roman" w:hAnsi="Times New Roman"/>
        </w:rPr>
        <w:t xml:space="preserve"> </w:t>
      </w:r>
      <w:r w:rsidRPr="00EC5564">
        <w:rPr>
          <w:rFonts w:ascii="Times New Roman" w:hAnsi="Times New Roman"/>
          <w:i/>
        </w:rPr>
        <w:t>o(a) Relator(a) submeterá, por meio eletrônico, aos demais Ministros, cópia de sua manifestação sobre a existência, ou não, de repercussão geral</w:t>
      </w:r>
      <w:r w:rsidRPr="00EC5564">
        <w:rPr>
          <w:rFonts w:ascii="Times New Roman" w:hAnsi="Times New Roman"/>
        </w:rPr>
        <w:t>.</w:t>
      </w:r>
      <w:r>
        <w:rPr>
          <w:rFonts w:ascii="Times New Roman" w:hAnsi="Times New Roman"/>
        </w:rPr>
        <w:t xml:space="preserve"> (BRASIL. </w:t>
      </w:r>
      <w:r w:rsidRPr="0002230C">
        <w:rPr>
          <w:rFonts w:ascii="Times New Roman" w:hAnsi="Times New Roman"/>
        </w:rPr>
        <w:t>Supremo Tribunal Federal</w:t>
      </w:r>
      <w:r>
        <w:rPr>
          <w:rFonts w:ascii="Times New Roman" w:hAnsi="Times New Roman"/>
        </w:rPr>
        <w:t xml:space="preserve">. Regimento Interno, p. 193. Disponível em:                                                                                   </w:t>
      </w:r>
      <w:r w:rsidRPr="0002230C">
        <w:rPr>
          <w:rFonts w:ascii="Times New Roman" w:hAnsi="Times New Roman"/>
        </w:rPr>
        <w:t>http://www.stf.jus.br/arquivo/cms/legislacaoRegimentoInterno/anexo/RISTF_Ja</w:t>
      </w:r>
      <w:r>
        <w:rPr>
          <w:rFonts w:ascii="Times New Roman" w:hAnsi="Times New Roman"/>
        </w:rPr>
        <w:t xml:space="preserve">neiro_2015_versao_eletronica.pdf. Acesso em: 2 abr. 2015 – grifos nossos). </w:t>
      </w:r>
    </w:p>
  </w:footnote>
  <w:footnote w:id="206">
    <w:p w:rsidR="00D549BC" w:rsidRDefault="00D549BC" w:rsidP="008F2B51">
      <w:pPr>
        <w:pStyle w:val="FootnoteText"/>
        <w:ind w:firstLine="0"/>
      </w:pPr>
      <w:r w:rsidRPr="008F2B51">
        <w:rPr>
          <w:rStyle w:val="FootnoteReference"/>
          <w:rFonts w:ascii="Times New Roman" w:hAnsi="Times New Roman"/>
        </w:rPr>
        <w:footnoteRef/>
      </w:r>
      <w:r w:rsidRPr="008F2B51">
        <w:rPr>
          <w:rFonts w:ascii="Times New Roman" w:hAnsi="Times New Roman"/>
        </w:rPr>
        <w:t xml:space="preserve"> </w:t>
      </w:r>
      <w:r>
        <w:rPr>
          <w:rFonts w:ascii="Times New Roman" w:hAnsi="Times New Roman"/>
        </w:rPr>
        <w:t xml:space="preserve">Ibid., p. 146 (grifos nossos). </w:t>
      </w:r>
    </w:p>
  </w:footnote>
  <w:footnote w:id="207">
    <w:p w:rsidR="00D549BC" w:rsidRDefault="00D549BC" w:rsidP="000F717B">
      <w:pPr>
        <w:pStyle w:val="FootnoteText"/>
        <w:ind w:firstLine="0"/>
        <w:rPr>
          <w:rFonts w:ascii="Times New Roman" w:hAnsi="Times New Roman"/>
        </w:rPr>
      </w:pPr>
      <w:r w:rsidRPr="008A32B9">
        <w:rPr>
          <w:rStyle w:val="FootnoteReference"/>
          <w:rFonts w:ascii="Times New Roman" w:hAnsi="Times New Roman"/>
        </w:rPr>
        <w:footnoteRef/>
      </w:r>
      <w:r w:rsidRPr="008A32B9">
        <w:rPr>
          <w:rFonts w:ascii="Times New Roman" w:hAnsi="Times New Roman"/>
        </w:rPr>
        <w:t xml:space="preserve"> </w:t>
      </w:r>
      <w:r>
        <w:rPr>
          <w:rFonts w:ascii="Times New Roman" w:hAnsi="Times New Roman"/>
        </w:rPr>
        <w:t>Veja-se parte do voto-vista do Min. Gilmar Mendes: “</w:t>
      </w:r>
      <w:r w:rsidRPr="000F717B">
        <w:rPr>
          <w:rFonts w:ascii="Times New Roman" w:hAnsi="Times New Roman"/>
        </w:rPr>
        <w:t>Por essa lógica, a verificação do tema e a pesquisa de repercussão</w:t>
      </w:r>
      <w:r>
        <w:rPr>
          <w:rFonts w:ascii="Times New Roman" w:hAnsi="Times New Roman"/>
        </w:rPr>
        <w:t xml:space="preserve"> </w:t>
      </w:r>
      <w:r w:rsidRPr="000F717B">
        <w:rPr>
          <w:rFonts w:ascii="Times New Roman" w:hAnsi="Times New Roman"/>
        </w:rPr>
        <w:t>geral passaram a anteceder a análise de admissibilidade do recurso. A</w:t>
      </w:r>
      <w:r>
        <w:rPr>
          <w:rFonts w:ascii="Times New Roman" w:hAnsi="Times New Roman"/>
        </w:rPr>
        <w:t xml:space="preserve"> </w:t>
      </w:r>
      <w:r w:rsidRPr="000F717B">
        <w:rPr>
          <w:rFonts w:ascii="Times New Roman" w:hAnsi="Times New Roman"/>
        </w:rPr>
        <w:t xml:space="preserve">Secretaria de Tecnologia da Informação desenvolveu um </w:t>
      </w:r>
      <w:r w:rsidRPr="000F717B">
        <w:rPr>
          <w:rFonts w:ascii="Times New Roman" w:hAnsi="Times New Roman"/>
          <w:i/>
        </w:rPr>
        <w:t>software</w:t>
      </w:r>
      <w:r w:rsidRPr="000F717B">
        <w:rPr>
          <w:rFonts w:ascii="Times New Roman" w:hAnsi="Times New Roman"/>
        </w:rPr>
        <w:t xml:space="preserve"> que</w:t>
      </w:r>
      <w:r>
        <w:rPr>
          <w:rFonts w:ascii="Times New Roman" w:hAnsi="Times New Roman"/>
        </w:rPr>
        <w:t xml:space="preserve"> </w:t>
      </w:r>
      <w:r w:rsidRPr="000F717B">
        <w:rPr>
          <w:rFonts w:ascii="Times New Roman" w:hAnsi="Times New Roman"/>
        </w:rPr>
        <w:t>possibilita o registro simplificado do processo para que esta Corte tenha</w:t>
      </w:r>
      <w:r>
        <w:rPr>
          <w:rFonts w:ascii="Times New Roman" w:hAnsi="Times New Roman"/>
        </w:rPr>
        <w:t xml:space="preserve"> </w:t>
      </w:r>
      <w:r w:rsidRPr="000F717B">
        <w:rPr>
          <w:rFonts w:ascii="Times New Roman" w:hAnsi="Times New Roman"/>
        </w:rPr>
        <w:t>controle de tudo que está sendo devolvido diariamente aos tribunais de</w:t>
      </w:r>
      <w:r>
        <w:rPr>
          <w:rFonts w:ascii="Times New Roman" w:hAnsi="Times New Roman"/>
        </w:rPr>
        <w:t xml:space="preserve"> </w:t>
      </w:r>
      <w:r w:rsidRPr="000F717B">
        <w:rPr>
          <w:rFonts w:ascii="Times New Roman" w:hAnsi="Times New Roman"/>
        </w:rPr>
        <w:t>origem com base na aplicação da sistemática da repercussão geral.</w:t>
      </w:r>
      <w:r>
        <w:rPr>
          <w:rFonts w:ascii="Times New Roman" w:hAnsi="Times New Roman"/>
        </w:rPr>
        <w:t xml:space="preserve"> </w:t>
      </w:r>
    </w:p>
    <w:p w:rsidR="00D549BC" w:rsidRDefault="00D549BC" w:rsidP="000F717B">
      <w:pPr>
        <w:pStyle w:val="FootnoteText"/>
        <w:ind w:firstLine="0"/>
      </w:pPr>
      <w:r w:rsidRPr="000F717B">
        <w:rPr>
          <w:rFonts w:ascii="Times New Roman" w:hAnsi="Times New Roman"/>
        </w:rPr>
        <w:t xml:space="preserve">Assim, a Secretaria Judiciária passou a adotar esse </w:t>
      </w:r>
      <w:r w:rsidRPr="005E25BD">
        <w:rPr>
          <w:rFonts w:ascii="Times New Roman" w:hAnsi="Times New Roman"/>
          <w:i/>
        </w:rPr>
        <w:t>procedimento de autuação simplificada</w:t>
      </w:r>
      <w:r w:rsidRPr="000F717B">
        <w:rPr>
          <w:rFonts w:ascii="Times New Roman" w:hAnsi="Times New Roman"/>
        </w:rPr>
        <w:t xml:space="preserve"> para processos cujos temas já foram submetidos à</w:t>
      </w:r>
      <w:r>
        <w:rPr>
          <w:rFonts w:ascii="Times New Roman" w:hAnsi="Times New Roman"/>
        </w:rPr>
        <w:t xml:space="preserve"> </w:t>
      </w:r>
      <w:r w:rsidRPr="000F717B">
        <w:rPr>
          <w:rFonts w:ascii="Times New Roman" w:hAnsi="Times New Roman"/>
        </w:rPr>
        <w:t>sistemática da repercussão geral</w:t>
      </w:r>
      <w:r>
        <w:rPr>
          <w:rFonts w:ascii="Times New Roman" w:hAnsi="Times New Roman"/>
        </w:rPr>
        <w:t xml:space="preserve">” (BRASIL. </w:t>
      </w:r>
      <w:r w:rsidRPr="005A1F61">
        <w:rPr>
          <w:rFonts w:ascii="Times New Roman" w:hAnsi="Times New Roman"/>
        </w:rPr>
        <w:t>Supremo Tribunal Federal</w:t>
      </w:r>
      <w:r>
        <w:rPr>
          <w:rFonts w:ascii="Times New Roman" w:hAnsi="Times New Roman"/>
        </w:rPr>
        <w:t xml:space="preserve">. </w:t>
      </w:r>
      <w:r w:rsidRPr="0014370F">
        <w:rPr>
          <w:rFonts w:ascii="Times New Roman" w:hAnsi="Times New Roman"/>
        </w:rPr>
        <w:t xml:space="preserve">ARE 663.637 AgR-QO/MG. Relator:  Min. Ayres Britto (Presidente). </w:t>
      </w:r>
      <w:r>
        <w:rPr>
          <w:rFonts w:ascii="Times New Roman" w:hAnsi="Times New Roman"/>
        </w:rPr>
        <w:t xml:space="preserve">Julgamento: </w:t>
      </w:r>
      <w:r w:rsidRPr="008A32B9">
        <w:rPr>
          <w:rFonts w:ascii="Times New Roman" w:hAnsi="Times New Roman"/>
        </w:rPr>
        <w:t>12/09/2012</w:t>
      </w:r>
      <w:r>
        <w:rPr>
          <w:rFonts w:ascii="Times New Roman" w:hAnsi="Times New Roman"/>
        </w:rPr>
        <w:t xml:space="preserve">. DJe: </w:t>
      </w:r>
      <w:r w:rsidRPr="000F717B">
        <w:rPr>
          <w:rFonts w:ascii="Times New Roman" w:hAnsi="Times New Roman"/>
        </w:rPr>
        <w:t>06-05-2013</w:t>
      </w:r>
      <w:r>
        <w:rPr>
          <w:rFonts w:ascii="Times New Roman" w:hAnsi="Times New Roman"/>
        </w:rPr>
        <w:t xml:space="preserve">. Disponível em: </w:t>
      </w:r>
      <w:r w:rsidRPr="00502A54">
        <w:rPr>
          <w:rFonts w:ascii="Times New Roman" w:hAnsi="Times New Roman"/>
        </w:rPr>
        <w:t>http://redir.stf.jus.br/paginadorpub/paginador.jsp?docTP=TP&amp;docID=3741427</w:t>
      </w:r>
      <w:r>
        <w:rPr>
          <w:rFonts w:ascii="Times New Roman" w:hAnsi="Times New Roman"/>
        </w:rPr>
        <w:t xml:space="preserve">, p. 23. Acesso em: 2 abr. 2015 – grifos nossos). </w:t>
      </w:r>
    </w:p>
  </w:footnote>
  <w:footnote w:id="208">
    <w:p w:rsidR="00D549BC" w:rsidRDefault="00D549BC" w:rsidP="00B65C72">
      <w:pPr>
        <w:pStyle w:val="FootnoteText"/>
        <w:ind w:firstLine="0"/>
        <w:rPr>
          <w:rFonts w:ascii="Times New Roman" w:hAnsi="Times New Roman"/>
        </w:rPr>
      </w:pPr>
      <w:r w:rsidRPr="00B65C72">
        <w:rPr>
          <w:rStyle w:val="FootnoteReference"/>
          <w:rFonts w:ascii="Times New Roman" w:hAnsi="Times New Roman"/>
        </w:rPr>
        <w:footnoteRef/>
      </w:r>
      <w:r w:rsidRPr="00B65C72">
        <w:rPr>
          <w:rFonts w:ascii="Times New Roman" w:hAnsi="Times New Roman"/>
        </w:rPr>
        <w:t xml:space="preserve"> Art. 543-B.  Quando houver multiplicidade de recursos com fundamento em idêntica controvérsia, a análise da repercussão geral será processada nos termos do Regimento Interno do Supremo Tribunal Federal, observado o disposto neste artigo.</w:t>
      </w:r>
      <w:r>
        <w:rPr>
          <w:rFonts w:ascii="Times New Roman" w:hAnsi="Times New Roman"/>
        </w:rPr>
        <w:t xml:space="preserve"> </w:t>
      </w:r>
    </w:p>
    <w:p w:rsidR="00D549BC" w:rsidRDefault="00D549BC" w:rsidP="00B65C72">
      <w:pPr>
        <w:pStyle w:val="FootnoteText"/>
        <w:ind w:firstLine="0"/>
      </w:pPr>
      <w:r>
        <w:rPr>
          <w:rFonts w:ascii="Times New Roman" w:hAnsi="Times New Roman"/>
        </w:rPr>
        <w:t xml:space="preserve">§ 1º </w:t>
      </w:r>
      <w:r w:rsidRPr="00B65C72">
        <w:rPr>
          <w:rFonts w:ascii="Times New Roman" w:hAnsi="Times New Roman"/>
          <w:i/>
        </w:rPr>
        <w:t>Caberá ao Tribunal de origem selecionar um ou mais recursos representativos da controvérsia e encaminhá-los ao Supremo Tribunal Federal, sobrestando os demais até o pronunciamento definitivo da Corte</w:t>
      </w:r>
      <w:r w:rsidRPr="00B65C72">
        <w:rPr>
          <w:rFonts w:ascii="Times New Roman" w:hAnsi="Times New Roman"/>
        </w:rPr>
        <w:t>.</w:t>
      </w:r>
    </w:p>
  </w:footnote>
  <w:footnote w:id="209">
    <w:p w:rsidR="00D549BC" w:rsidRPr="00EE6802" w:rsidRDefault="00D549BC" w:rsidP="00EE6802">
      <w:pPr>
        <w:pStyle w:val="FootnoteText"/>
        <w:ind w:firstLine="0"/>
        <w:rPr>
          <w:rFonts w:ascii="Times New Roman" w:hAnsi="Times New Roman"/>
        </w:rPr>
      </w:pPr>
      <w:r w:rsidRPr="00EE6802">
        <w:rPr>
          <w:rStyle w:val="FootnoteReference"/>
          <w:rFonts w:ascii="Times New Roman" w:hAnsi="Times New Roman"/>
        </w:rPr>
        <w:footnoteRef/>
      </w:r>
      <w:r>
        <w:rPr>
          <w:rFonts w:ascii="Times New Roman" w:hAnsi="Times New Roman"/>
        </w:rPr>
        <w:t xml:space="preserve"> “</w:t>
      </w:r>
      <w:r w:rsidRPr="00EE6802">
        <w:rPr>
          <w:rFonts w:ascii="Times New Roman" w:hAnsi="Times New Roman"/>
        </w:rPr>
        <w:t>O Presidente do Supremo Tribunal Federal,</w:t>
      </w:r>
      <w:r>
        <w:rPr>
          <w:rFonts w:ascii="Times New Roman" w:hAnsi="Times New Roman"/>
        </w:rPr>
        <w:t xml:space="preserve"> </w:t>
      </w:r>
      <w:r w:rsidRPr="00EE6802">
        <w:rPr>
          <w:rFonts w:ascii="Times New Roman" w:hAnsi="Times New Roman"/>
        </w:rPr>
        <w:t>no uso de suas atribuições legais e tendo em vista o disposto no</w:t>
      </w:r>
      <w:r>
        <w:rPr>
          <w:rFonts w:ascii="Times New Roman" w:hAnsi="Times New Roman"/>
        </w:rPr>
        <w:t xml:space="preserve"> </w:t>
      </w:r>
      <w:r w:rsidRPr="00EE6802">
        <w:rPr>
          <w:rFonts w:ascii="Times New Roman" w:hAnsi="Times New Roman"/>
        </w:rPr>
        <w:t>art. 543-B, § 5º, do Código de Processo Civil, com a redação da</w:t>
      </w:r>
      <w:r>
        <w:rPr>
          <w:rFonts w:ascii="Times New Roman" w:hAnsi="Times New Roman"/>
        </w:rPr>
        <w:t xml:space="preserve"> </w:t>
      </w:r>
      <w:r w:rsidRPr="00EE6802">
        <w:rPr>
          <w:rFonts w:ascii="Times New Roman" w:hAnsi="Times New Roman"/>
        </w:rPr>
        <w:t>Lei nº 11.418/06, e no art. 328, parágrafo único, do Regimento</w:t>
      </w:r>
    </w:p>
    <w:p w:rsidR="00D549BC" w:rsidRDefault="00D549BC" w:rsidP="00CF2D0E">
      <w:pPr>
        <w:pStyle w:val="FootnoteText"/>
        <w:ind w:firstLine="0"/>
        <w:rPr>
          <w:rFonts w:ascii="Times New Roman" w:hAnsi="Times New Roman"/>
        </w:rPr>
      </w:pPr>
      <w:r w:rsidRPr="00EE6802">
        <w:rPr>
          <w:rFonts w:ascii="Times New Roman" w:hAnsi="Times New Roman"/>
        </w:rPr>
        <w:t>Interno, com redação da Emenda Regimental nº 21/07,</w:t>
      </w:r>
      <w:r>
        <w:rPr>
          <w:rFonts w:ascii="Times New Roman" w:hAnsi="Times New Roman"/>
        </w:rPr>
        <w:t xml:space="preserve"> </w:t>
      </w:r>
      <w:r w:rsidRPr="00EE6802">
        <w:rPr>
          <w:rFonts w:ascii="Times New Roman" w:hAnsi="Times New Roman"/>
        </w:rPr>
        <w:t>RESOLVE:</w:t>
      </w:r>
      <w:r>
        <w:rPr>
          <w:rFonts w:ascii="Times New Roman" w:hAnsi="Times New Roman"/>
        </w:rPr>
        <w:t xml:space="preserve"> </w:t>
      </w:r>
    </w:p>
    <w:p w:rsidR="00D549BC" w:rsidRDefault="00D549BC" w:rsidP="00CF2D0E">
      <w:pPr>
        <w:pStyle w:val="FootnoteText"/>
        <w:ind w:firstLine="0"/>
      </w:pPr>
      <w:r w:rsidRPr="00CF2D0E">
        <w:rPr>
          <w:rFonts w:ascii="Times New Roman" w:hAnsi="Times New Roman"/>
        </w:rPr>
        <w:t xml:space="preserve">Art. 1º </w:t>
      </w:r>
      <w:r w:rsidRPr="00CF2D0E">
        <w:rPr>
          <w:rFonts w:ascii="Times New Roman" w:hAnsi="Times New Roman"/>
          <w:i/>
        </w:rPr>
        <w:t>Determinar à Secretaria Judiciária que devolva aos Tribunais, Turmas Recursais ou Turma Nacional de Uniformização dos Juizados Especiais os processos múltiplos ainda não distribuídos relativos a matérias submetidas a análise de repercussão geral pelo STF, os encaminhados em desacordo com o disposto no § 1º do art. 543-B, do Código de Processo Civil, bem como aqueles em que os Ministros tenham determinado sobrestamento ou devolução</w:t>
      </w:r>
      <w:r>
        <w:rPr>
          <w:rFonts w:ascii="Times New Roman" w:hAnsi="Times New Roman"/>
        </w:rPr>
        <w:t xml:space="preserve">” (BRASIL. </w:t>
      </w:r>
      <w:r w:rsidRPr="00321A4E">
        <w:rPr>
          <w:rFonts w:ascii="Times New Roman" w:hAnsi="Times New Roman"/>
        </w:rPr>
        <w:t>Supremo Tribunal Federal</w:t>
      </w:r>
      <w:r>
        <w:rPr>
          <w:rFonts w:ascii="Times New Roman" w:hAnsi="Times New Roman"/>
        </w:rPr>
        <w:t xml:space="preserve">. </w:t>
      </w:r>
      <w:r w:rsidRPr="00EE6802">
        <w:rPr>
          <w:rFonts w:ascii="Times New Roman" w:hAnsi="Times New Roman"/>
        </w:rPr>
        <w:t xml:space="preserve">Portaria nº 138, </w:t>
      </w:r>
      <w:r>
        <w:rPr>
          <w:rFonts w:ascii="Times New Roman" w:hAnsi="Times New Roman"/>
        </w:rPr>
        <w:t>de</w:t>
      </w:r>
      <w:r w:rsidRPr="00EE6802">
        <w:rPr>
          <w:rFonts w:ascii="Times New Roman" w:hAnsi="Times New Roman"/>
        </w:rPr>
        <w:t xml:space="preserve"> 23 </w:t>
      </w:r>
      <w:r>
        <w:rPr>
          <w:rFonts w:ascii="Times New Roman" w:hAnsi="Times New Roman"/>
        </w:rPr>
        <w:t>de</w:t>
      </w:r>
      <w:r w:rsidRPr="00EE6802">
        <w:rPr>
          <w:rFonts w:ascii="Times New Roman" w:hAnsi="Times New Roman"/>
        </w:rPr>
        <w:t xml:space="preserve"> </w:t>
      </w:r>
      <w:r>
        <w:rPr>
          <w:rFonts w:ascii="Times New Roman" w:hAnsi="Times New Roman"/>
        </w:rPr>
        <w:t>j</w:t>
      </w:r>
      <w:r w:rsidRPr="00EE6802">
        <w:rPr>
          <w:rFonts w:ascii="Times New Roman" w:hAnsi="Times New Roman"/>
        </w:rPr>
        <w:t>ulho de 2009</w:t>
      </w:r>
      <w:r>
        <w:rPr>
          <w:rFonts w:ascii="Times New Roman" w:hAnsi="Times New Roman"/>
        </w:rPr>
        <w:t xml:space="preserve">. Disponível em: </w:t>
      </w:r>
      <w:r w:rsidRPr="00321A4E">
        <w:rPr>
          <w:rFonts w:ascii="Times New Roman" w:hAnsi="Times New Roman"/>
        </w:rPr>
        <w:t>http://www.stf.jus.br/ARQUIVO/NORMA/PORTARIAPR138-2009.PDF</w:t>
      </w:r>
      <w:r>
        <w:rPr>
          <w:rFonts w:ascii="Times New Roman" w:hAnsi="Times New Roman"/>
        </w:rPr>
        <w:t>. Acesso em: 2 abr</w:t>
      </w:r>
      <w:r w:rsidRPr="00CF2D0E">
        <w:rPr>
          <w:rFonts w:ascii="Times New Roman" w:hAnsi="Times New Roman"/>
        </w:rPr>
        <w:t>.</w:t>
      </w:r>
      <w:r>
        <w:rPr>
          <w:rFonts w:ascii="Times New Roman" w:hAnsi="Times New Roman"/>
        </w:rPr>
        <w:t xml:space="preserve"> 2015. </w:t>
      </w:r>
    </w:p>
  </w:footnote>
  <w:footnote w:id="210">
    <w:p w:rsidR="00D549BC" w:rsidRDefault="00D549BC" w:rsidP="00FA4ABB">
      <w:pPr>
        <w:pStyle w:val="FootnoteText"/>
        <w:ind w:firstLine="0"/>
      </w:pPr>
      <w:r w:rsidRPr="00FA4ABB">
        <w:rPr>
          <w:rStyle w:val="FootnoteReference"/>
          <w:rFonts w:ascii="Times New Roman" w:hAnsi="Times New Roman"/>
        </w:rPr>
        <w:footnoteRef/>
      </w:r>
      <w:r w:rsidRPr="00FA4ABB">
        <w:rPr>
          <w:rFonts w:ascii="Times New Roman" w:hAnsi="Times New Roman"/>
        </w:rPr>
        <w:t xml:space="preserve"> </w:t>
      </w:r>
      <w:r>
        <w:rPr>
          <w:rFonts w:ascii="Times New Roman" w:hAnsi="Times New Roman"/>
        </w:rPr>
        <w:t xml:space="preserve">Antes do término da presente pesquisa, constatou-se que a citada Portaria nº 138/09 fora revogada em 6 de maio de 2015, pela Portaria nº 89, publicada no DJe/STF em 12.05.2015.  (Disponível em: </w:t>
      </w:r>
      <w:r w:rsidRPr="00321A4E">
        <w:rPr>
          <w:rFonts w:ascii="Times New Roman" w:hAnsi="Times New Roman"/>
        </w:rPr>
        <w:t>http://www.stf.jus.br/ARQUIVO/NORMA/PORTARIAPR089-2015.PDF</w:t>
      </w:r>
      <w:r>
        <w:rPr>
          <w:rFonts w:ascii="Times New Roman" w:hAnsi="Times New Roman"/>
        </w:rPr>
        <w:t xml:space="preserve">. Acesso em: 28 maio 2015).   </w:t>
      </w:r>
    </w:p>
  </w:footnote>
  <w:footnote w:id="211">
    <w:p w:rsidR="00D549BC" w:rsidRDefault="00D549BC" w:rsidP="00322FF2">
      <w:pPr>
        <w:pStyle w:val="FootnoteText"/>
        <w:ind w:firstLine="0"/>
      </w:pPr>
      <w:r w:rsidRPr="00322FF2">
        <w:rPr>
          <w:rStyle w:val="FootnoteReference"/>
          <w:rFonts w:ascii="Times New Roman" w:hAnsi="Times New Roman"/>
        </w:rPr>
        <w:footnoteRef/>
      </w:r>
      <w:r>
        <w:rPr>
          <w:rFonts w:ascii="Times New Roman" w:hAnsi="Times New Roman"/>
        </w:rPr>
        <w:t xml:space="preserve"> </w:t>
      </w:r>
      <w:r w:rsidRPr="00322FF2">
        <w:rPr>
          <w:rFonts w:ascii="Times New Roman" w:hAnsi="Times New Roman"/>
        </w:rPr>
        <w:t>São atribuições do Relator:</w:t>
      </w:r>
      <w:r>
        <w:rPr>
          <w:rFonts w:ascii="Times New Roman" w:hAnsi="Times New Roman"/>
        </w:rPr>
        <w:t xml:space="preserve"> (...) </w:t>
      </w:r>
      <w:r w:rsidRPr="00322FF2">
        <w:rPr>
          <w:rFonts w:ascii="Times New Roman" w:hAnsi="Times New Roman"/>
        </w:rPr>
        <w:t>§ 1º Poderá o(a) Relator(a) negar seguimento a pedido ou recurso manifestamente</w:t>
      </w:r>
      <w:r>
        <w:rPr>
          <w:rFonts w:ascii="Times New Roman" w:hAnsi="Times New Roman"/>
        </w:rPr>
        <w:t xml:space="preserve"> </w:t>
      </w:r>
      <w:r w:rsidRPr="00322FF2">
        <w:rPr>
          <w:rFonts w:ascii="Times New Roman" w:hAnsi="Times New Roman"/>
        </w:rPr>
        <w:t>inadmissível, improcedente ou contrário à jurisprudência dominante ou</w:t>
      </w:r>
      <w:r>
        <w:rPr>
          <w:rFonts w:ascii="Times New Roman" w:hAnsi="Times New Roman"/>
        </w:rPr>
        <w:t xml:space="preserve"> </w:t>
      </w:r>
      <w:r w:rsidRPr="00322FF2">
        <w:rPr>
          <w:rFonts w:ascii="Times New Roman" w:hAnsi="Times New Roman"/>
        </w:rPr>
        <w:t>a Súmula do Tribunal, deles não conhecer em caso de incompetência manifesta,</w:t>
      </w:r>
      <w:r>
        <w:rPr>
          <w:rFonts w:ascii="Times New Roman" w:hAnsi="Times New Roman"/>
        </w:rPr>
        <w:t xml:space="preserve"> </w:t>
      </w:r>
      <w:r w:rsidRPr="00322FF2">
        <w:rPr>
          <w:rFonts w:ascii="Times New Roman" w:hAnsi="Times New Roman"/>
        </w:rPr>
        <w:t>encaminhando os autos ao órgão que repute competente, bem como cassar ou</w:t>
      </w:r>
      <w:r>
        <w:rPr>
          <w:rFonts w:ascii="Times New Roman" w:hAnsi="Times New Roman"/>
        </w:rPr>
        <w:t xml:space="preserve"> </w:t>
      </w:r>
      <w:r w:rsidRPr="00322FF2">
        <w:rPr>
          <w:rFonts w:ascii="Times New Roman" w:hAnsi="Times New Roman"/>
        </w:rPr>
        <w:t>reformar, liminarmente, acórdão contrário à orientação firmada nos termos do art.</w:t>
      </w:r>
      <w:r>
        <w:rPr>
          <w:rFonts w:ascii="Times New Roman" w:hAnsi="Times New Roman"/>
        </w:rPr>
        <w:t xml:space="preserve"> </w:t>
      </w:r>
      <w:r w:rsidRPr="00322FF2">
        <w:rPr>
          <w:rFonts w:ascii="Times New Roman" w:hAnsi="Times New Roman"/>
        </w:rPr>
        <w:t>543-B do Código de Processo Civil</w:t>
      </w:r>
      <w:r>
        <w:rPr>
          <w:rFonts w:ascii="Times New Roman" w:hAnsi="Times New Roman"/>
        </w:rPr>
        <w:t xml:space="preserve"> (BRASIL. </w:t>
      </w:r>
      <w:r w:rsidRPr="00321A4E">
        <w:rPr>
          <w:rFonts w:ascii="Times New Roman" w:hAnsi="Times New Roman"/>
        </w:rPr>
        <w:t>Supremo Tribunal Federal</w:t>
      </w:r>
      <w:r>
        <w:rPr>
          <w:rFonts w:ascii="Times New Roman" w:hAnsi="Times New Roman"/>
        </w:rPr>
        <w:t xml:space="preserve">. Regimento Interno. </w:t>
      </w:r>
      <w:r w:rsidRPr="00322FF2">
        <w:rPr>
          <w:rFonts w:ascii="Times New Roman" w:hAnsi="Times New Roman"/>
        </w:rPr>
        <w:t xml:space="preserve">Art. 21. </w:t>
      </w:r>
      <w:r>
        <w:rPr>
          <w:rFonts w:ascii="Times New Roman" w:hAnsi="Times New Roman"/>
        </w:rPr>
        <w:t xml:space="preserve">Disponível em:                                                                                   </w:t>
      </w:r>
      <w:r w:rsidRPr="0038767F">
        <w:rPr>
          <w:rFonts w:ascii="Times New Roman" w:hAnsi="Times New Roman"/>
        </w:rPr>
        <w:t>http://www.stf.jus.br/arquivo/cms/legislacaoRegimentoInterno/anexo/RISTF_Janeiro_2015_versao_eletronica.pdf</w:t>
      </w:r>
      <w:r>
        <w:rPr>
          <w:rFonts w:ascii="Times New Roman" w:hAnsi="Times New Roman"/>
        </w:rPr>
        <w:t xml:space="preserve">. Acesso em: 2 abr. 2015).       </w:t>
      </w:r>
    </w:p>
  </w:footnote>
  <w:footnote w:id="212">
    <w:p w:rsidR="00D549BC" w:rsidRDefault="00D549BC" w:rsidP="00322FF2">
      <w:pPr>
        <w:pStyle w:val="FootnoteText"/>
        <w:ind w:firstLine="0"/>
      </w:pPr>
      <w:r w:rsidRPr="00322FF2">
        <w:rPr>
          <w:rStyle w:val="FootnoteReference"/>
          <w:rFonts w:ascii="Times New Roman" w:hAnsi="Times New Roman"/>
        </w:rPr>
        <w:footnoteRef/>
      </w:r>
      <w:r w:rsidRPr="00322FF2">
        <w:rPr>
          <w:rFonts w:ascii="Times New Roman" w:hAnsi="Times New Roman"/>
        </w:rPr>
        <w:t xml:space="preserve"> </w:t>
      </w:r>
      <w:r>
        <w:rPr>
          <w:rFonts w:ascii="Times New Roman" w:hAnsi="Times New Roman"/>
        </w:rPr>
        <w:t xml:space="preserve">Ibid. </w:t>
      </w:r>
      <w:r w:rsidRPr="00322FF2">
        <w:rPr>
          <w:rFonts w:ascii="Times New Roman" w:hAnsi="Times New Roman"/>
        </w:rPr>
        <w:t>Art. 21. São atribuições do Relator:</w:t>
      </w:r>
      <w:r>
        <w:rPr>
          <w:rFonts w:ascii="Times New Roman" w:hAnsi="Times New Roman"/>
        </w:rPr>
        <w:t xml:space="preserve"> (...) </w:t>
      </w:r>
      <w:r w:rsidRPr="00322FF2">
        <w:rPr>
          <w:rFonts w:ascii="Times New Roman" w:hAnsi="Times New Roman"/>
        </w:rPr>
        <w:t>§ 2º</w:t>
      </w:r>
      <w:r>
        <w:rPr>
          <w:rFonts w:ascii="Times New Roman" w:hAnsi="Times New Roman"/>
        </w:rPr>
        <w:t xml:space="preserve"> </w:t>
      </w:r>
      <w:r w:rsidRPr="00DD5A22">
        <w:rPr>
          <w:rFonts w:ascii="Times New Roman" w:hAnsi="Times New Roman"/>
          <w:i/>
        </w:rPr>
        <w:t>Poderá ainda o Relator, em caso de manifesta divergência com a Súmula, prover, desde logo, o recurso extraordinário</w:t>
      </w:r>
      <w:r>
        <w:rPr>
          <w:rFonts w:ascii="Times New Roman" w:hAnsi="Times New Roman"/>
        </w:rPr>
        <w:t xml:space="preserve"> (grifos nossos). </w:t>
      </w:r>
    </w:p>
  </w:footnote>
  <w:footnote w:id="213">
    <w:p w:rsidR="00D549BC" w:rsidRDefault="00D549BC" w:rsidP="00E65838">
      <w:pPr>
        <w:pStyle w:val="FootnoteText"/>
        <w:ind w:firstLine="0"/>
      </w:pPr>
      <w:r w:rsidRPr="00E65838">
        <w:rPr>
          <w:rStyle w:val="FootnoteReference"/>
          <w:rFonts w:ascii="Times New Roman" w:hAnsi="Times New Roman"/>
        </w:rPr>
        <w:footnoteRef/>
      </w:r>
      <w:r>
        <w:rPr>
          <w:rFonts w:ascii="Times New Roman" w:hAnsi="Times New Roman"/>
        </w:rPr>
        <w:t xml:space="preserve"> Ibid., p. 147.  </w:t>
      </w:r>
    </w:p>
  </w:footnote>
  <w:footnote w:id="214">
    <w:p w:rsidR="00D549BC" w:rsidRDefault="00D549BC" w:rsidP="00C549B1">
      <w:pPr>
        <w:pStyle w:val="FootnoteText"/>
        <w:ind w:firstLine="0"/>
      </w:pPr>
      <w:r w:rsidRPr="00C549B1">
        <w:rPr>
          <w:rStyle w:val="FootnoteReference"/>
          <w:rFonts w:ascii="Times New Roman" w:hAnsi="Times New Roman"/>
        </w:rPr>
        <w:footnoteRef/>
      </w:r>
      <w:r w:rsidRPr="00C549B1">
        <w:rPr>
          <w:rFonts w:ascii="Times New Roman" w:hAnsi="Times New Roman"/>
        </w:rPr>
        <w:t xml:space="preserve"> Art. 5º</w:t>
      </w:r>
      <w:r>
        <w:rPr>
          <w:rFonts w:ascii="Times New Roman" w:hAnsi="Times New Roman"/>
        </w:rPr>
        <w:t xml:space="preserve">, </w:t>
      </w:r>
      <w:r w:rsidRPr="00C549B1">
        <w:rPr>
          <w:rFonts w:ascii="Times New Roman" w:hAnsi="Times New Roman"/>
        </w:rPr>
        <w:t xml:space="preserve">LX - </w:t>
      </w:r>
      <w:r w:rsidRPr="00C549B1">
        <w:rPr>
          <w:rFonts w:ascii="Times New Roman" w:hAnsi="Times New Roman"/>
          <w:i/>
        </w:rPr>
        <w:t>a lei só poderá restringir a publicidade dos atos processuais quando a defesa da intimidade ou o interesse social o exigirem</w:t>
      </w:r>
      <w:r>
        <w:rPr>
          <w:rFonts w:ascii="Times New Roman" w:hAnsi="Times New Roman"/>
        </w:rPr>
        <w:t xml:space="preserve"> (BRASIL. </w:t>
      </w:r>
      <w:r w:rsidRPr="006C2A97">
        <w:rPr>
          <w:rFonts w:ascii="Times New Roman" w:hAnsi="Times New Roman"/>
        </w:rPr>
        <w:t>Planalto</w:t>
      </w:r>
      <w:r>
        <w:rPr>
          <w:rFonts w:ascii="Times New Roman" w:hAnsi="Times New Roman"/>
        </w:rPr>
        <w:t xml:space="preserve">. Constituição da República Federativa do Brasil de 1988. Disponível em: </w:t>
      </w:r>
      <w:r w:rsidRPr="006C2A97">
        <w:rPr>
          <w:rFonts w:ascii="Times New Roman" w:hAnsi="Times New Roman"/>
        </w:rPr>
        <w:t>http://www.planalto.gov.br/ccivil_03/constituicao/constituicaocompilado.htm</w:t>
      </w:r>
      <w:r>
        <w:rPr>
          <w:rFonts w:ascii="Times New Roman" w:hAnsi="Times New Roman"/>
        </w:rPr>
        <w:t xml:space="preserve">. Acesso em: 5 abr. 2015 – grifos nossos). </w:t>
      </w:r>
    </w:p>
  </w:footnote>
  <w:footnote w:id="215">
    <w:p w:rsidR="00D549BC" w:rsidRDefault="00D549BC" w:rsidP="0031513F">
      <w:pPr>
        <w:pStyle w:val="FootnoteText"/>
        <w:ind w:firstLine="0"/>
      </w:pPr>
      <w:r w:rsidRPr="0031513F">
        <w:rPr>
          <w:rStyle w:val="FootnoteReference"/>
          <w:rFonts w:ascii="Times New Roman" w:hAnsi="Times New Roman"/>
        </w:rPr>
        <w:footnoteRef/>
      </w:r>
      <w:r w:rsidRPr="0031513F">
        <w:rPr>
          <w:rFonts w:ascii="Times New Roman" w:hAnsi="Times New Roman"/>
        </w:rPr>
        <w:t xml:space="preserve"> </w:t>
      </w:r>
      <w:r>
        <w:rPr>
          <w:rFonts w:ascii="Times New Roman" w:hAnsi="Times New Roman"/>
        </w:rPr>
        <w:t>Art. 93. “</w:t>
      </w:r>
      <w:r w:rsidRPr="0001031E">
        <w:rPr>
          <w:rFonts w:ascii="Times New Roman" w:hAnsi="Times New Roman"/>
        </w:rPr>
        <w:t>Lei complementar, de iniciativa do Supremo Tribunal Federal, disporá sobre o Estatuto da Magistratura, observados os seguintes princípios:</w:t>
      </w:r>
      <w:r>
        <w:rPr>
          <w:rFonts w:ascii="Times New Roman" w:hAnsi="Times New Roman"/>
        </w:rPr>
        <w:t xml:space="preserve"> IX – </w:t>
      </w:r>
      <w:r>
        <w:rPr>
          <w:rFonts w:ascii="Times New Roman" w:hAnsi="Times New Roman"/>
          <w:i/>
        </w:rPr>
        <w:t>todos</w:t>
      </w:r>
      <w:r w:rsidRPr="0001031E">
        <w:rPr>
          <w:rFonts w:ascii="Times New Roman" w:hAnsi="Times New Roman"/>
          <w:i/>
        </w:rPr>
        <w:t xml:space="preserve"> os julgamentos dos órgãos do Poder Judiciário serão públicos</w:t>
      </w:r>
      <w:r w:rsidRPr="0031513F">
        <w:rPr>
          <w:rFonts w:ascii="Times New Roman" w:hAnsi="Times New Roman"/>
        </w:rPr>
        <w:t xml:space="preserve">, </w:t>
      </w:r>
      <w:r w:rsidRPr="0001031E">
        <w:rPr>
          <w:rFonts w:ascii="Times New Roman" w:hAnsi="Times New Roman"/>
          <w:i/>
        </w:rPr>
        <w:t>e fundamentadas todas as decisões</w:t>
      </w:r>
      <w:r w:rsidRPr="0031513F">
        <w:rPr>
          <w:rFonts w:ascii="Times New Roman" w:hAnsi="Times New Roman"/>
        </w:rPr>
        <w:t xml:space="preserve">, </w:t>
      </w:r>
      <w:r w:rsidRPr="0001031E">
        <w:rPr>
          <w:rFonts w:ascii="Times New Roman" w:hAnsi="Times New Roman"/>
          <w:i/>
        </w:rPr>
        <w:t>sob pena de nulidade</w:t>
      </w:r>
      <w:r w:rsidRPr="0031513F">
        <w:rPr>
          <w:rFonts w:ascii="Times New Roman" w:hAnsi="Times New Roman"/>
        </w:rPr>
        <w:t>, podendo a lei limitar a presença, em determinados atos, às próprias partes e a seus advogados, ou somente a estes, em casos nos quais a preservação do direito à intimidade do interessado no sigilo não prejudique o interesse público à informação</w:t>
      </w:r>
      <w:r>
        <w:rPr>
          <w:rFonts w:ascii="Times New Roman" w:hAnsi="Times New Roman"/>
        </w:rPr>
        <w:t>”</w:t>
      </w:r>
      <w:r w:rsidRPr="0031513F">
        <w:rPr>
          <w:rFonts w:ascii="Times New Roman" w:hAnsi="Times New Roman"/>
        </w:rPr>
        <w:t xml:space="preserve"> (Redação dada pela Emenda Constitucional nº 45, de 2004)</w:t>
      </w:r>
      <w:r>
        <w:rPr>
          <w:rFonts w:ascii="Times New Roman" w:hAnsi="Times New Roman"/>
        </w:rPr>
        <w:t xml:space="preserve">. (BRASIL. </w:t>
      </w:r>
      <w:r w:rsidRPr="00FE3F0F">
        <w:rPr>
          <w:rFonts w:ascii="Times New Roman" w:hAnsi="Times New Roman"/>
        </w:rPr>
        <w:t>Planalto</w:t>
      </w:r>
      <w:r>
        <w:rPr>
          <w:rFonts w:ascii="Times New Roman" w:hAnsi="Times New Roman"/>
        </w:rPr>
        <w:t xml:space="preserve">. Constituição da República Federativa do Brasil de 1988. Disponível em: </w:t>
      </w:r>
      <w:r w:rsidRPr="00FE3F0F">
        <w:rPr>
          <w:rFonts w:ascii="Times New Roman" w:hAnsi="Times New Roman"/>
        </w:rPr>
        <w:t>http://www.planalto.gov.br/ccivil_03/constituicao/constituicaocompilado.htm</w:t>
      </w:r>
      <w:r>
        <w:rPr>
          <w:rFonts w:ascii="Times New Roman" w:hAnsi="Times New Roman"/>
        </w:rPr>
        <w:t xml:space="preserve">. Acesso em: 5 abr. 2015 – grifos nossos). </w:t>
      </w:r>
    </w:p>
  </w:footnote>
  <w:footnote w:id="216">
    <w:p w:rsidR="00D549BC" w:rsidRDefault="00D549BC" w:rsidP="0001031E">
      <w:pPr>
        <w:pStyle w:val="FootnoteText"/>
        <w:ind w:firstLine="0"/>
      </w:pPr>
      <w:r w:rsidRPr="0001031E">
        <w:rPr>
          <w:rStyle w:val="FootnoteReference"/>
          <w:rFonts w:ascii="Times New Roman" w:hAnsi="Times New Roman"/>
        </w:rPr>
        <w:footnoteRef/>
      </w:r>
      <w:r>
        <w:rPr>
          <w:rFonts w:ascii="Times New Roman" w:hAnsi="Times New Roman"/>
        </w:rPr>
        <w:t xml:space="preserve"> </w:t>
      </w:r>
      <w:r w:rsidRPr="0001031E">
        <w:rPr>
          <w:rFonts w:ascii="Times New Roman" w:hAnsi="Times New Roman"/>
        </w:rPr>
        <w:t>A</w:t>
      </w:r>
      <w:r>
        <w:rPr>
          <w:rFonts w:ascii="Times New Roman" w:hAnsi="Times New Roman"/>
        </w:rPr>
        <w:t>rt. 325</w:t>
      </w:r>
      <w:r w:rsidRPr="0001031E">
        <w:rPr>
          <w:rFonts w:ascii="Times New Roman" w:hAnsi="Times New Roman"/>
        </w:rPr>
        <w:t xml:space="preserve">. </w:t>
      </w:r>
      <w:r w:rsidRPr="00D130A3">
        <w:rPr>
          <w:rFonts w:ascii="Times New Roman" w:hAnsi="Times New Roman"/>
          <w:i/>
        </w:rPr>
        <w:t>O(A) Relator(a) juntará cópia das manifestações aos autos</w:t>
      </w:r>
      <w:r w:rsidRPr="0001031E">
        <w:rPr>
          <w:rFonts w:ascii="Times New Roman" w:hAnsi="Times New Roman"/>
        </w:rPr>
        <w:t xml:space="preserve">, </w:t>
      </w:r>
      <w:r w:rsidRPr="00D130A3">
        <w:rPr>
          <w:rFonts w:ascii="Times New Roman" w:hAnsi="Times New Roman"/>
          <w:i/>
        </w:rPr>
        <w:t>quando não se tratar de processo informatizado</w:t>
      </w:r>
      <w:r w:rsidRPr="0001031E">
        <w:rPr>
          <w:rFonts w:ascii="Times New Roman" w:hAnsi="Times New Roman"/>
        </w:rPr>
        <w:t>, e, uma vez definida a existência da repercussão</w:t>
      </w:r>
      <w:r>
        <w:rPr>
          <w:rFonts w:ascii="Times New Roman" w:hAnsi="Times New Roman"/>
        </w:rPr>
        <w:t xml:space="preserve"> </w:t>
      </w:r>
      <w:r w:rsidRPr="0001031E">
        <w:rPr>
          <w:rFonts w:ascii="Times New Roman" w:hAnsi="Times New Roman"/>
        </w:rPr>
        <w:t>geral, julgará o recurso ou pedirá dia para seu julgamento, após vista ao</w:t>
      </w:r>
      <w:r>
        <w:rPr>
          <w:rFonts w:ascii="Times New Roman" w:hAnsi="Times New Roman"/>
        </w:rPr>
        <w:t xml:space="preserve"> </w:t>
      </w:r>
      <w:r w:rsidRPr="0001031E">
        <w:rPr>
          <w:rFonts w:ascii="Times New Roman" w:hAnsi="Times New Roman"/>
        </w:rPr>
        <w:t>Procurador-Geral, se necessária; negada a existência, formalizará e subscreverá</w:t>
      </w:r>
      <w:r>
        <w:rPr>
          <w:rFonts w:ascii="Times New Roman" w:hAnsi="Times New Roman"/>
        </w:rPr>
        <w:t xml:space="preserve"> </w:t>
      </w:r>
      <w:r w:rsidRPr="0001031E">
        <w:rPr>
          <w:rFonts w:ascii="Times New Roman" w:hAnsi="Times New Roman"/>
        </w:rPr>
        <w:t>decisão de recusa do recurso.</w:t>
      </w:r>
      <w:r>
        <w:rPr>
          <w:rFonts w:ascii="Times New Roman" w:hAnsi="Times New Roman"/>
        </w:rPr>
        <w:t xml:space="preserve"> (BRASIL. </w:t>
      </w:r>
      <w:r w:rsidRPr="00506373">
        <w:rPr>
          <w:rFonts w:ascii="Times New Roman" w:hAnsi="Times New Roman"/>
        </w:rPr>
        <w:t>Supremo Tribunal Federal</w:t>
      </w:r>
      <w:r>
        <w:rPr>
          <w:rFonts w:ascii="Times New Roman" w:hAnsi="Times New Roman"/>
        </w:rPr>
        <w:t xml:space="preserve">. Regimento Interno. Disponível em: </w:t>
      </w:r>
      <w:r w:rsidRPr="00506373">
        <w:rPr>
          <w:rFonts w:ascii="Times New Roman" w:hAnsi="Times New Roman"/>
        </w:rPr>
        <w:t>http://www.stf.jus.br/arquivo/cms/legislacaoRegimentoInterno/anexo/RISTF_Janeiro_2015_versao_eletronica.pdf</w:t>
      </w:r>
      <w:r>
        <w:rPr>
          <w:rFonts w:ascii="Times New Roman" w:hAnsi="Times New Roman"/>
        </w:rPr>
        <w:t xml:space="preserve">. Acesso em: 5 abr. 2015 – grifos nossos).   </w:t>
      </w:r>
    </w:p>
  </w:footnote>
  <w:footnote w:id="217">
    <w:p w:rsidR="00D549BC" w:rsidRDefault="00D549BC" w:rsidP="00D46321">
      <w:pPr>
        <w:pStyle w:val="FootnoteText"/>
        <w:ind w:firstLine="0"/>
      </w:pPr>
      <w:r w:rsidRPr="00D46321">
        <w:rPr>
          <w:rStyle w:val="FootnoteReference"/>
          <w:rFonts w:ascii="Times New Roman" w:hAnsi="Times New Roman"/>
        </w:rPr>
        <w:footnoteRef/>
      </w:r>
      <w:r w:rsidRPr="00D46321">
        <w:rPr>
          <w:rFonts w:ascii="Times New Roman" w:hAnsi="Times New Roman"/>
        </w:rPr>
        <w:t xml:space="preserve"> </w:t>
      </w:r>
      <w:r w:rsidRPr="004F4288">
        <w:rPr>
          <w:rFonts w:ascii="Times New Roman" w:hAnsi="Times New Roman"/>
        </w:rPr>
        <w:t>Art. 543-A.</w:t>
      </w:r>
      <w:r>
        <w:rPr>
          <w:rFonts w:ascii="Times New Roman" w:hAnsi="Times New Roman"/>
        </w:rPr>
        <w:t xml:space="preserve"> § 7º </w:t>
      </w:r>
      <w:r w:rsidRPr="004F4288">
        <w:rPr>
          <w:rFonts w:ascii="Times New Roman" w:hAnsi="Times New Roman"/>
          <w:i/>
        </w:rPr>
        <w:t>A Súmula da decisão sobre a repercussão geral constará de ata, que será publicada no Diário Oficial e valerá como acórdão</w:t>
      </w:r>
      <w:r>
        <w:rPr>
          <w:rFonts w:ascii="Times New Roman" w:hAnsi="Times New Roman"/>
        </w:rPr>
        <w:t xml:space="preserve"> (BRASIL. </w:t>
      </w:r>
      <w:r w:rsidRPr="00506373">
        <w:rPr>
          <w:rFonts w:ascii="Times New Roman" w:hAnsi="Times New Roman"/>
        </w:rPr>
        <w:t>Planalto</w:t>
      </w:r>
      <w:r>
        <w:rPr>
          <w:rFonts w:ascii="Times New Roman" w:hAnsi="Times New Roman"/>
        </w:rPr>
        <w:t xml:space="preserve">. Lei nº 5.869, de 11 de janeiro de 1973. Código de Processo Civil). </w:t>
      </w:r>
    </w:p>
  </w:footnote>
  <w:footnote w:id="218">
    <w:p w:rsidR="00D549BC" w:rsidRDefault="00D549BC" w:rsidP="004F4288">
      <w:pPr>
        <w:pStyle w:val="FootnoteText"/>
        <w:ind w:firstLine="0"/>
      </w:pPr>
      <w:r w:rsidRPr="004F4288">
        <w:rPr>
          <w:rStyle w:val="FootnoteReference"/>
          <w:rFonts w:ascii="Times New Roman" w:hAnsi="Times New Roman"/>
        </w:rPr>
        <w:footnoteRef/>
      </w:r>
      <w:r w:rsidRPr="004F4288">
        <w:rPr>
          <w:rFonts w:ascii="Times New Roman" w:hAnsi="Times New Roman"/>
        </w:rPr>
        <w:t xml:space="preserve"> </w:t>
      </w:r>
      <w:r w:rsidRPr="0001031E">
        <w:rPr>
          <w:rFonts w:ascii="Times New Roman" w:hAnsi="Times New Roman"/>
        </w:rPr>
        <w:t>A</w:t>
      </w:r>
      <w:r>
        <w:rPr>
          <w:rFonts w:ascii="Times New Roman" w:hAnsi="Times New Roman"/>
        </w:rPr>
        <w:t>rt. 325</w:t>
      </w:r>
      <w:r w:rsidRPr="0001031E">
        <w:rPr>
          <w:rFonts w:ascii="Times New Roman" w:hAnsi="Times New Roman"/>
        </w:rPr>
        <w:t>.</w:t>
      </w:r>
      <w:r>
        <w:rPr>
          <w:rFonts w:ascii="Times New Roman" w:hAnsi="Times New Roman"/>
        </w:rPr>
        <w:t xml:space="preserve"> </w:t>
      </w:r>
      <w:r w:rsidRPr="00AF4364">
        <w:rPr>
          <w:rFonts w:ascii="Times New Roman" w:hAnsi="Times New Roman"/>
        </w:rPr>
        <w:t xml:space="preserve">Parágrafo único. </w:t>
      </w:r>
      <w:r w:rsidRPr="00AF4364">
        <w:rPr>
          <w:rFonts w:ascii="Times New Roman" w:hAnsi="Times New Roman"/>
          <w:i/>
        </w:rPr>
        <w:t>O teor da decisão preliminar sobre a existência da repercussão geral, que deve integrar a decisão monocrática ou o acórdão, constará sempre das publicações dos julgamentos no Diário Oficial, com menção clara à matéria do recurso</w:t>
      </w:r>
      <w:r>
        <w:rPr>
          <w:rFonts w:ascii="Times New Roman" w:hAnsi="Times New Roman"/>
        </w:rPr>
        <w:t xml:space="preserve">. (BRASIL. </w:t>
      </w:r>
      <w:r w:rsidRPr="00506373">
        <w:rPr>
          <w:rFonts w:ascii="Times New Roman" w:hAnsi="Times New Roman"/>
        </w:rPr>
        <w:t>Supremo Tribunal Federal</w:t>
      </w:r>
      <w:r>
        <w:rPr>
          <w:rFonts w:ascii="Times New Roman" w:hAnsi="Times New Roman"/>
        </w:rPr>
        <w:t>. Regimento Interno. Disponível em:h</w:t>
      </w:r>
      <w:r w:rsidRPr="00506373">
        <w:rPr>
          <w:rFonts w:ascii="Times New Roman" w:hAnsi="Times New Roman"/>
          <w:sz w:val="19"/>
          <w:szCs w:val="19"/>
        </w:rPr>
        <w:t>ttp://www.stf.jus.br/arquivo/cms/legislacaoRegimentoInterno/anexo/RISTF_Janeiro_2015_versao_eletronica.pdf.</w:t>
      </w:r>
      <w:r>
        <w:rPr>
          <w:rFonts w:ascii="Times New Roman" w:hAnsi="Times New Roman"/>
        </w:rPr>
        <w:t xml:space="preserve"> Acesso em: 5 abr. 2015 – grifos nossos). </w:t>
      </w:r>
    </w:p>
  </w:footnote>
  <w:footnote w:id="219">
    <w:p w:rsidR="00D549BC" w:rsidRDefault="00D549BC" w:rsidP="00471AE4">
      <w:pPr>
        <w:pStyle w:val="FootnoteText"/>
        <w:ind w:firstLine="0"/>
      </w:pPr>
      <w:r w:rsidRPr="00471AE4">
        <w:rPr>
          <w:rStyle w:val="FootnoteReference"/>
          <w:rFonts w:ascii="Times New Roman" w:hAnsi="Times New Roman"/>
        </w:rPr>
        <w:footnoteRef/>
      </w:r>
      <w:r w:rsidRPr="00471AE4">
        <w:rPr>
          <w:rFonts w:ascii="Times New Roman" w:hAnsi="Times New Roman"/>
        </w:rPr>
        <w:t xml:space="preserve"> </w:t>
      </w:r>
      <w:r>
        <w:rPr>
          <w:rFonts w:ascii="Times New Roman" w:hAnsi="Times New Roman"/>
        </w:rPr>
        <w:t xml:space="preserve">O Plenário Virtual do STF pode ser acesso por meio do seguinte link: </w:t>
      </w:r>
      <w:r w:rsidRPr="00506373">
        <w:rPr>
          <w:rFonts w:ascii="Times New Roman" w:hAnsi="Times New Roman"/>
        </w:rPr>
        <w:t>http://www.stf.jus.br/portal/jurisprudenciaRepercussao/listarProcesso.asp?situacao=EJ</w:t>
      </w:r>
      <w:r>
        <w:rPr>
          <w:rFonts w:ascii="Times New Roman" w:hAnsi="Times New Roman"/>
        </w:rPr>
        <w:t xml:space="preserve">.  </w:t>
      </w:r>
    </w:p>
  </w:footnote>
  <w:footnote w:id="220">
    <w:p w:rsidR="00D549BC" w:rsidRDefault="00D549BC" w:rsidP="009D6CA7">
      <w:pPr>
        <w:pStyle w:val="FootnoteText"/>
        <w:ind w:firstLine="0"/>
      </w:pPr>
      <w:r w:rsidRPr="009D6CA7">
        <w:rPr>
          <w:rStyle w:val="FootnoteReference"/>
          <w:rFonts w:ascii="Times New Roman" w:hAnsi="Times New Roman"/>
        </w:rPr>
        <w:footnoteRef/>
      </w:r>
      <w:r w:rsidRPr="009D6CA7">
        <w:rPr>
          <w:rFonts w:ascii="Times New Roman" w:hAnsi="Times New Roman"/>
        </w:rPr>
        <w:t xml:space="preserve"> </w:t>
      </w:r>
      <w:r>
        <w:rPr>
          <w:rFonts w:ascii="Times New Roman" w:hAnsi="Times New Roman"/>
        </w:rPr>
        <w:t xml:space="preserve">Informações estatísticas retiradas do sítio eletrônico do STF, a partir das seguintes opções: Jurisprudência &gt;&gt; Repercussão Geral &gt;&gt; Números da Repercussão. Disponível em: </w:t>
      </w:r>
      <w:r w:rsidRPr="00D40296">
        <w:rPr>
          <w:rFonts w:ascii="Times New Roman" w:hAnsi="Times New Roman"/>
        </w:rPr>
        <w:t>http://www.stf.jus.br/portal/cms/verTexto.asp?servico=jurisprudenciaRepercussaoGeral&amp;pagina=numeroRepercussao</w:t>
      </w:r>
      <w:r>
        <w:rPr>
          <w:rFonts w:ascii="Times New Roman" w:hAnsi="Times New Roman"/>
        </w:rPr>
        <w:t xml:space="preserve">. Acesso em: 5 abr. 2015.  </w:t>
      </w:r>
    </w:p>
  </w:footnote>
  <w:footnote w:id="221">
    <w:p w:rsidR="00D549BC" w:rsidRDefault="00D549BC" w:rsidP="001B6AF2">
      <w:pPr>
        <w:pStyle w:val="FootnoteText"/>
        <w:ind w:firstLine="0"/>
      </w:pPr>
      <w:r w:rsidRPr="001B6AF2">
        <w:rPr>
          <w:rStyle w:val="FootnoteReference"/>
          <w:rFonts w:ascii="Times New Roman" w:hAnsi="Times New Roman"/>
        </w:rPr>
        <w:footnoteRef/>
      </w:r>
      <w:r w:rsidRPr="001B6AF2">
        <w:rPr>
          <w:rFonts w:ascii="Times New Roman" w:hAnsi="Times New Roman"/>
        </w:rPr>
        <w:t xml:space="preserve"> </w:t>
      </w:r>
      <w:r>
        <w:rPr>
          <w:rFonts w:ascii="Times New Roman" w:hAnsi="Times New Roman"/>
        </w:rPr>
        <w:t xml:space="preserve">No ano de 2007, quando passou a vigorar a exigência da preliminar de Repercussão Geral, o STF não julgou nenhum RE com RG reconhecida.  </w:t>
      </w:r>
    </w:p>
  </w:footnote>
  <w:footnote w:id="222">
    <w:p w:rsidR="00D549BC" w:rsidRDefault="00D549BC" w:rsidP="00D90E88">
      <w:pPr>
        <w:pStyle w:val="FootnoteText"/>
        <w:ind w:firstLine="0"/>
      </w:pPr>
      <w:r w:rsidRPr="00D90E88">
        <w:rPr>
          <w:rStyle w:val="FootnoteReference"/>
          <w:rFonts w:ascii="Times New Roman" w:hAnsi="Times New Roman"/>
        </w:rPr>
        <w:footnoteRef/>
      </w:r>
      <w:r w:rsidRPr="00D90E88">
        <w:rPr>
          <w:rFonts w:ascii="Times New Roman" w:hAnsi="Times New Roman"/>
        </w:rPr>
        <w:t xml:space="preserve"> </w:t>
      </w:r>
      <w:r>
        <w:rPr>
          <w:rFonts w:ascii="Times New Roman" w:hAnsi="Times New Roman"/>
        </w:rPr>
        <w:t xml:space="preserve">Informações estatísticas retiradas do sítio eletrônico do STF, a partir das seguintes opções: Jurisprudência &gt;&gt; Repercussão Geral &gt;&gt; Números da Repercussão. Disponível em: </w:t>
      </w:r>
      <w:r w:rsidRPr="009321EC">
        <w:rPr>
          <w:rFonts w:ascii="Times New Roman" w:hAnsi="Times New Roman"/>
        </w:rPr>
        <w:t>http://www.stf.jus.br/portal/cms/verTexto.asp?servico=jurisprudenciaRepercussaoGeral&amp;pagina=numeroRepercussao</w:t>
      </w:r>
      <w:r>
        <w:rPr>
          <w:rFonts w:ascii="Times New Roman" w:hAnsi="Times New Roman"/>
        </w:rPr>
        <w:t xml:space="preserve">. Acesso em: 20 abr. 2015. </w:t>
      </w:r>
    </w:p>
  </w:footnote>
  <w:footnote w:id="223">
    <w:p w:rsidR="00D549BC" w:rsidRDefault="00D549BC" w:rsidP="004E7D23">
      <w:pPr>
        <w:pStyle w:val="FootnoteText"/>
        <w:ind w:firstLine="0"/>
        <w:rPr>
          <w:rFonts w:ascii="Times New Roman" w:hAnsi="Times New Roman"/>
        </w:rPr>
      </w:pPr>
      <w:r w:rsidRPr="004E7D23">
        <w:rPr>
          <w:rStyle w:val="FootnoteReference"/>
          <w:rFonts w:ascii="Times New Roman" w:hAnsi="Times New Roman"/>
        </w:rPr>
        <w:footnoteRef/>
      </w:r>
      <w:r w:rsidRPr="004E7D23">
        <w:rPr>
          <w:rFonts w:ascii="Times New Roman" w:hAnsi="Times New Roman"/>
        </w:rPr>
        <w:t xml:space="preserve"> Art. 543-B.  Quando houver multiplicidade de recursos com fundamento em idêntica controvérsia, a análise da repercussão geral será processada nos termos do Regimento Interno do Supremo Tribunal Federal, observado o disposto neste artigo.</w:t>
      </w:r>
      <w:r>
        <w:rPr>
          <w:rFonts w:ascii="Times New Roman" w:hAnsi="Times New Roman"/>
        </w:rPr>
        <w:t xml:space="preserve"> </w:t>
      </w:r>
    </w:p>
    <w:p w:rsidR="00D549BC" w:rsidRDefault="00D549BC" w:rsidP="004E7D23">
      <w:pPr>
        <w:pStyle w:val="FootnoteText"/>
        <w:ind w:firstLine="0"/>
      </w:pPr>
      <w:r>
        <w:rPr>
          <w:rFonts w:ascii="Times New Roman" w:hAnsi="Times New Roman"/>
        </w:rPr>
        <w:t xml:space="preserve">§ 1º </w:t>
      </w:r>
      <w:r w:rsidRPr="004E7D23">
        <w:rPr>
          <w:rFonts w:ascii="Times New Roman" w:hAnsi="Times New Roman"/>
        </w:rPr>
        <w:t xml:space="preserve">Caberá ao Tribunal de origem selecionar um ou mais recursos representativos da controvérsia e encaminhá-los ao Supremo Tribunal Federal, </w:t>
      </w:r>
      <w:r w:rsidRPr="004E7D23">
        <w:rPr>
          <w:rFonts w:ascii="Times New Roman" w:hAnsi="Times New Roman"/>
          <w:i/>
        </w:rPr>
        <w:t>sobrestando os demais até o pronunciamento definitivo da Corte</w:t>
      </w:r>
      <w:r w:rsidRPr="004E7D23">
        <w:rPr>
          <w:rFonts w:ascii="Times New Roman" w:hAnsi="Times New Roman"/>
        </w:rPr>
        <w:t>.</w:t>
      </w:r>
      <w:r>
        <w:rPr>
          <w:rFonts w:ascii="Times New Roman" w:hAnsi="Times New Roman"/>
        </w:rPr>
        <w:t xml:space="preserve"> </w:t>
      </w:r>
    </w:p>
  </w:footnote>
  <w:footnote w:id="224">
    <w:p w:rsidR="00D549BC" w:rsidRDefault="00D549BC" w:rsidP="003A302D">
      <w:pPr>
        <w:pStyle w:val="FootnoteText"/>
        <w:ind w:firstLine="0"/>
        <w:rPr>
          <w:rFonts w:ascii="Times New Roman" w:hAnsi="Times New Roman"/>
        </w:rPr>
      </w:pPr>
      <w:r w:rsidRPr="004E7D23">
        <w:rPr>
          <w:rStyle w:val="FootnoteReference"/>
          <w:rFonts w:ascii="Times New Roman" w:hAnsi="Times New Roman"/>
        </w:rPr>
        <w:footnoteRef/>
      </w:r>
      <w:r>
        <w:rPr>
          <w:rFonts w:ascii="Times New Roman" w:hAnsi="Times New Roman"/>
        </w:rPr>
        <w:t xml:space="preserve"> Art. 328</w:t>
      </w:r>
      <w:r w:rsidRPr="003A302D">
        <w:rPr>
          <w:rFonts w:ascii="Times New Roman" w:hAnsi="Times New Roman"/>
        </w:rPr>
        <w:t>. Protocolado ou distribuído recurso cuja questão for suscetível de</w:t>
      </w:r>
      <w:r>
        <w:rPr>
          <w:rFonts w:ascii="Times New Roman" w:hAnsi="Times New Roman"/>
        </w:rPr>
        <w:t xml:space="preserve"> </w:t>
      </w:r>
      <w:r w:rsidRPr="003A302D">
        <w:rPr>
          <w:rFonts w:ascii="Times New Roman" w:hAnsi="Times New Roman"/>
        </w:rPr>
        <w:t>reproduzir-se em múltiplos feitos, a Presidência do Tribunal ou o(a) Relator(a), de</w:t>
      </w:r>
      <w:r>
        <w:rPr>
          <w:rFonts w:ascii="Times New Roman" w:hAnsi="Times New Roman"/>
        </w:rPr>
        <w:t xml:space="preserve"> </w:t>
      </w:r>
      <w:r w:rsidRPr="003A302D">
        <w:rPr>
          <w:rFonts w:ascii="Times New Roman" w:hAnsi="Times New Roman"/>
        </w:rPr>
        <w:t>ofício ou a requerimento da parte inte</w:t>
      </w:r>
      <w:r>
        <w:rPr>
          <w:rFonts w:ascii="Times New Roman" w:hAnsi="Times New Roman"/>
        </w:rPr>
        <w:t>ressada, comunicará o fato aos t</w:t>
      </w:r>
      <w:r w:rsidRPr="003A302D">
        <w:rPr>
          <w:rFonts w:ascii="Times New Roman" w:hAnsi="Times New Roman"/>
        </w:rPr>
        <w:t>ribunais ou</w:t>
      </w:r>
      <w:r>
        <w:rPr>
          <w:rFonts w:ascii="Times New Roman" w:hAnsi="Times New Roman"/>
        </w:rPr>
        <w:t xml:space="preserve"> </w:t>
      </w:r>
      <w:r w:rsidRPr="003A302D">
        <w:rPr>
          <w:rFonts w:ascii="Times New Roman" w:hAnsi="Times New Roman"/>
        </w:rPr>
        <w:t>turmas de juizado especial, a fim de que observem o disposto no art. 543-B do Código</w:t>
      </w:r>
      <w:r>
        <w:rPr>
          <w:rFonts w:ascii="Times New Roman" w:hAnsi="Times New Roman"/>
        </w:rPr>
        <w:t xml:space="preserve"> </w:t>
      </w:r>
      <w:r w:rsidRPr="003A302D">
        <w:rPr>
          <w:rFonts w:ascii="Times New Roman" w:hAnsi="Times New Roman"/>
        </w:rPr>
        <w:t>de Processo Civil, podendo pedir-lhes informações, que deverão ser prestadas em</w:t>
      </w:r>
      <w:r>
        <w:rPr>
          <w:rFonts w:ascii="Times New Roman" w:hAnsi="Times New Roman"/>
        </w:rPr>
        <w:t xml:space="preserve"> </w:t>
      </w:r>
      <w:r w:rsidRPr="003A302D">
        <w:rPr>
          <w:rFonts w:ascii="Times New Roman" w:hAnsi="Times New Roman"/>
        </w:rPr>
        <w:t xml:space="preserve">cinco dias, </w:t>
      </w:r>
      <w:r w:rsidRPr="003A302D">
        <w:rPr>
          <w:rFonts w:ascii="Times New Roman" w:hAnsi="Times New Roman"/>
          <w:i/>
        </w:rPr>
        <w:t>e sobrestar todas as demais causas com questão idêntica</w:t>
      </w:r>
      <w:r>
        <w:rPr>
          <w:rFonts w:ascii="Times New Roman" w:hAnsi="Times New Roman"/>
        </w:rPr>
        <w:t xml:space="preserve">. </w:t>
      </w:r>
    </w:p>
    <w:p w:rsidR="00D549BC" w:rsidRDefault="00D549BC" w:rsidP="003A302D">
      <w:pPr>
        <w:pStyle w:val="FootnoteText"/>
        <w:ind w:firstLine="0"/>
      </w:pPr>
      <w:r w:rsidRPr="003A302D">
        <w:rPr>
          <w:rFonts w:ascii="Times New Roman" w:hAnsi="Times New Roman"/>
          <w:b/>
        </w:rPr>
        <w:t>Parágrafo único</w:t>
      </w:r>
      <w:r w:rsidRPr="003A302D">
        <w:rPr>
          <w:rFonts w:ascii="Times New Roman" w:hAnsi="Times New Roman"/>
        </w:rPr>
        <w:t xml:space="preserve">. </w:t>
      </w:r>
      <w:r w:rsidRPr="003A302D">
        <w:rPr>
          <w:rFonts w:ascii="Times New Roman" w:hAnsi="Times New Roman"/>
          <w:i/>
        </w:rPr>
        <w:t>Quando se verificar subida ou distribuição de múltiplos recursos com fundamento em idêntica controvérsia, a Presidência do Tribunal ou o(a) Relator(a) selecionará um ou mais representativos da questão e determinará a devolução dos demais aos tribunais ou turmas de juizado especial de origem, para aplicação dos parágrafos do art. 543-B do Código de Processo Civil</w:t>
      </w:r>
      <w:r>
        <w:rPr>
          <w:rFonts w:ascii="Times New Roman" w:hAnsi="Times New Roman"/>
        </w:rPr>
        <w:t xml:space="preserve"> (BRASIL. </w:t>
      </w:r>
      <w:r w:rsidRPr="009A035C">
        <w:rPr>
          <w:rFonts w:ascii="Times New Roman" w:hAnsi="Times New Roman"/>
        </w:rPr>
        <w:t>Supremo Tribunal Federal</w:t>
      </w:r>
      <w:r w:rsidRPr="003A302D">
        <w:rPr>
          <w:rFonts w:ascii="Times New Roman" w:hAnsi="Times New Roman"/>
        </w:rPr>
        <w:t>.</w:t>
      </w:r>
      <w:r>
        <w:rPr>
          <w:rFonts w:ascii="Times New Roman" w:hAnsi="Times New Roman"/>
        </w:rPr>
        <w:t xml:space="preserve"> Regimento Interno. Disponível em: </w:t>
      </w:r>
      <w:r w:rsidRPr="009A035C">
        <w:rPr>
          <w:rFonts w:ascii="Times New Roman" w:hAnsi="Times New Roman"/>
        </w:rPr>
        <w:t>http://www.stf.jus.br/arquivo/cms/legislacaoRegimentoInterno/anexo/RISTF_Janeiro_2015_versao_eletronica.pdf.</w:t>
      </w:r>
      <w:r>
        <w:rPr>
          <w:rFonts w:ascii="Times New Roman" w:hAnsi="Times New Roman"/>
        </w:rPr>
        <w:t xml:space="preserve"> Acesso em: 20 abr. 2015 – grifos nossos). </w:t>
      </w:r>
    </w:p>
  </w:footnote>
  <w:footnote w:id="225">
    <w:p w:rsidR="00D549BC" w:rsidRDefault="00D549BC" w:rsidP="00106B31">
      <w:pPr>
        <w:pStyle w:val="FootnoteText"/>
        <w:ind w:firstLine="0"/>
      </w:pPr>
      <w:r w:rsidRPr="00106B31">
        <w:rPr>
          <w:rStyle w:val="FootnoteReference"/>
          <w:rFonts w:ascii="Times New Roman" w:hAnsi="Times New Roman"/>
        </w:rPr>
        <w:footnoteRef/>
      </w:r>
      <w:r w:rsidRPr="00106B31">
        <w:rPr>
          <w:rFonts w:ascii="Times New Roman" w:hAnsi="Times New Roman"/>
        </w:rPr>
        <w:t xml:space="preserve"> </w:t>
      </w:r>
      <w:r>
        <w:rPr>
          <w:rFonts w:ascii="Times New Roman" w:hAnsi="Times New Roman"/>
        </w:rPr>
        <w:t xml:space="preserve">Fonte: sítio do STF. Repercussão Geral &gt;&gt; Estatísticas e Relatórios &gt;&gt; </w:t>
      </w:r>
      <w:r w:rsidRPr="00106B31">
        <w:rPr>
          <w:rFonts w:ascii="Times New Roman" w:hAnsi="Times New Roman"/>
        </w:rPr>
        <w:t>Processos sobrestados em razão da repercussão geral</w:t>
      </w:r>
      <w:r>
        <w:rPr>
          <w:rFonts w:ascii="Times New Roman" w:hAnsi="Times New Roman"/>
        </w:rPr>
        <w:t xml:space="preserve">. Disponível em: </w:t>
      </w:r>
      <w:r w:rsidRPr="009A035C">
        <w:rPr>
          <w:rFonts w:ascii="Times New Roman" w:hAnsi="Times New Roman"/>
        </w:rPr>
        <w:t>http://www.stf.jus.br/portal/cms/verTexto.asp?servico=</w:t>
      </w:r>
      <w:r>
        <w:rPr>
          <w:rFonts w:ascii="Times New Roman" w:hAnsi="Times New Roman"/>
        </w:rPr>
        <w:t xml:space="preserve">estatistica&amp;pagina=sobrestadosrg. Acesso em: 20 abr. 2015.  </w:t>
      </w:r>
    </w:p>
  </w:footnote>
  <w:footnote w:id="226">
    <w:p w:rsidR="00D549BC" w:rsidRDefault="00D549BC" w:rsidP="00244C2C">
      <w:pPr>
        <w:pStyle w:val="FootnoteText"/>
        <w:ind w:firstLine="0"/>
      </w:pPr>
      <w:r w:rsidRPr="00244C2C">
        <w:rPr>
          <w:rStyle w:val="FootnoteReference"/>
          <w:rFonts w:ascii="Times New Roman" w:hAnsi="Times New Roman"/>
        </w:rPr>
        <w:footnoteRef/>
      </w:r>
      <w:r w:rsidRPr="00244C2C">
        <w:rPr>
          <w:rFonts w:ascii="Times New Roman" w:hAnsi="Times New Roman"/>
        </w:rPr>
        <w:t xml:space="preserve"> </w:t>
      </w:r>
      <w:r>
        <w:rPr>
          <w:rFonts w:ascii="Times New Roman" w:hAnsi="Times New Roman"/>
        </w:rPr>
        <w:t xml:space="preserve">BRASIL. </w:t>
      </w:r>
      <w:r w:rsidRPr="009A035C">
        <w:rPr>
          <w:rFonts w:ascii="Times New Roman" w:hAnsi="Times New Roman"/>
        </w:rPr>
        <w:t>Supremo Tribunal Federal</w:t>
      </w:r>
      <w:r>
        <w:rPr>
          <w:rFonts w:ascii="Times New Roman" w:hAnsi="Times New Roman"/>
        </w:rPr>
        <w:t xml:space="preserve">. Acompanhamento Processual. Disponível em: </w:t>
      </w:r>
      <w:r w:rsidRPr="009A035C">
        <w:rPr>
          <w:rFonts w:ascii="Times New Roman" w:hAnsi="Times New Roman"/>
        </w:rPr>
        <w:t>http://www.stf.jus.br/portal/processo/verProcessoAndamento.asp?incidente=2565078</w:t>
      </w:r>
      <w:r>
        <w:rPr>
          <w:rFonts w:ascii="Times New Roman" w:hAnsi="Times New Roman"/>
        </w:rPr>
        <w:t xml:space="preserve">. Acesso em: 20 abr. 2015.  </w:t>
      </w:r>
    </w:p>
  </w:footnote>
  <w:footnote w:id="227">
    <w:p w:rsidR="00D549BC" w:rsidRDefault="00D549BC" w:rsidP="00486A2A">
      <w:pPr>
        <w:pStyle w:val="FootnoteText"/>
        <w:ind w:firstLine="0"/>
      </w:pPr>
      <w:r w:rsidRPr="00486A2A">
        <w:rPr>
          <w:rStyle w:val="FootnoteReference"/>
          <w:rFonts w:ascii="Times New Roman" w:hAnsi="Times New Roman"/>
        </w:rPr>
        <w:footnoteRef/>
      </w:r>
      <w:r>
        <w:rPr>
          <w:rFonts w:ascii="Times New Roman" w:hAnsi="Times New Roman"/>
        </w:rPr>
        <w:t xml:space="preserve"> Fonte: sítio do STF. Repercussão Geral &gt;&gt; Estatísticas e Relatórios &gt;&gt; </w:t>
      </w:r>
      <w:r w:rsidRPr="00106B31">
        <w:rPr>
          <w:rFonts w:ascii="Times New Roman" w:hAnsi="Times New Roman"/>
        </w:rPr>
        <w:t>Processos sobrestados em razão da repercussão geral</w:t>
      </w:r>
      <w:r>
        <w:rPr>
          <w:rFonts w:ascii="Times New Roman" w:hAnsi="Times New Roman"/>
        </w:rPr>
        <w:t xml:space="preserve">. Disponível em: </w:t>
      </w:r>
      <w:r w:rsidRPr="009A035C">
        <w:rPr>
          <w:rFonts w:ascii="Times New Roman" w:hAnsi="Times New Roman"/>
        </w:rPr>
        <w:t>http://www.stf.jus.br/portal/cms/verTexto.asp?servico=estatistica&amp;pagina=sobrestadosrg</w:t>
      </w:r>
      <w:r>
        <w:rPr>
          <w:rFonts w:ascii="Times New Roman" w:hAnsi="Times New Roman"/>
        </w:rPr>
        <w:t>. Acesso em: 20 abr. 2015.</w:t>
      </w:r>
    </w:p>
  </w:footnote>
  <w:footnote w:id="228">
    <w:p w:rsidR="00D549BC" w:rsidRDefault="00D549BC" w:rsidP="00B154FA">
      <w:pPr>
        <w:pStyle w:val="FootnoteText"/>
        <w:ind w:firstLine="0"/>
      </w:pPr>
      <w:r w:rsidRPr="00B154FA">
        <w:rPr>
          <w:rStyle w:val="FootnoteReference"/>
          <w:rFonts w:ascii="Times New Roman" w:hAnsi="Times New Roman"/>
        </w:rPr>
        <w:footnoteRef/>
      </w:r>
      <w:r w:rsidRPr="00B154FA">
        <w:rPr>
          <w:rFonts w:ascii="Times New Roman" w:hAnsi="Times New Roman"/>
        </w:rPr>
        <w:t xml:space="preserve"> </w:t>
      </w:r>
      <w:r>
        <w:rPr>
          <w:rFonts w:ascii="Times New Roman" w:hAnsi="Times New Roman"/>
        </w:rPr>
        <w:t xml:space="preserve">BRASIL. </w:t>
      </w:r>
      <w:r w:rsidRPr="0004417D">
        <w:rPr>
          <w:rFonts w:ascii="Times New Roman" w:hAnsi="Times New Roman"/>
        </w:rPr>
        <w:t>Supremo Tribunal Federal</w:t>
      </w:r>
      <w:r>
        <w:rPr>
          <w:rFonts w:ascii="Times New Roman" w:hAnsi="Times New Roman"/>
        </w:rPr>
        <w:t xml:space="preserve">. Acompanhamento Processual. Disponível em: </w:t>
      </w:r>
      <w:r w:rsidRPr="0004417D">
        <w:rPr>
          <w:rFonts w:ascii="Times New Roman" w:hAnsi="Times New Roman"/>
        </w:rPr>
        <w:t>http://www.stf.jus.br/portal/processo/verProcessoAndamento.asp?incidente=2631504</w:t>
      </w:r>
      <w:r>
        <w:rPr>
          <w:rFonts w:ascii="Times New Roman" w:hAnsi="Times New Roman"/>
        </w:rPr>
        <w:t xml:space="preserve">. Acesso em: 20 abr. 2015. </w:t>
      </w:r>
    </w:p>
  </w:footnote>
  <w:footnote w:id="229">
    <w:p w:rsidR="00D549BC" w:rsidRDefault="00D549BC" w:rsidP="00DE0D21">
      <w:pPr>
        <w:pStyle w:val="FootnoteText"/>
        <w:ind w:firstLine="0"/>
      </w:pPr>
      <w:r w:rsidRPr="00C12565">
        <w:rPr>
          <w:rStyle w:val="FootnoteReference"/>
          <w:rFonts w:ascii="Times New Roman" w:hAnsi="Times New Roman"/>
        </w:rPr>
        <w:footnoteRef/>
      </w:r>
      <w:r>
        <w:rPr>
          <w:rFonts w:ascii="Times New Roman" w:hAnsi="Times New Roman"/>
        </w:rPr>
        <w:t xml:space="preserve"> BRASIL. </w:t>
      </w:r>
      <w:r w:rsidRPr="0004417D">
        <w:rPr>
          <w:rFonts w:ascii="Times New Roman" w:hAnsi="Times New Roman"/>
        </w:rPr>
        <w:t>Supremo Tribunal Federal</w:t>
      </w:r>
      <w:r>
        <w:rPr>
          <w:rFonts w:ascii="Times New Roman" w:hAnsi="Times New Roman"/>
        </w:rPr>
        <w:t xml:space="preserve">. Disponível em: </w:t>
      </w:r>
      <w:r w:rsidRPr="0004417D">
        <w:rPr>
          <w:rFonts w:ascii="Times New Roman" w:hAnsi="Times New Roman"/>
        </w:rPr>
        <w:t>http://www.stf.jus.br/portal/cms/verTexto.asp?servico=estatistica&amp;pagina=sobrestadosrg</w:t>
      </w:r>
      <w:r>
        <w:rPr>
          <w:rFonts w:ascii="Times New Roman" w:hAnsi="Times New Roman"/>
        </w:rPr>
        <w:t xml:space="preserve">. Acesso em: 23 abr. 2015. </w:t>
      </w:r>
    </w:p>
  </w:footnote>
  <w:footnote w:id="230">
    <w:p w:rsidR="00D549BC" w:rsidRDefault="00D549BC" w:rsidP="007F4383">
      <w:pPr>
        <w:pStyle w:val="FootnoteText"/>
        <w:ind w:firstLine="0"/>
      </w:pPr>
      <w:r w:rsidRPr="007F4383">
        <w:rPr>
          <w:rStyle w:val="FootnoteReference"/>
          <w:rFonts w:ascii="Times New Roman" w:hAnsi="Times New Roman"/>
        </w:rPr>
        <w:footnoteRef/>
      </w:r>
      <w:r w:rsidRPr="007F4383">
        <w:rPr>
          <w:rFonts w:ascii="Times New Roman" w:hAnsi="Times New Roman"/>
        </w:rPr>
        <w:t xml:space="preserve"> </w:t>
      </w:r>
      <w:r>
        <w:rPr>
          <w:rFonts w:ascii="Times New Roman" w:hAnsi="Times New Roman"/>
        </w:rPr>
        <w:t xml:space="preserve">BARROSO. Luís Roberto. </w:t>
      </w:r>
      <w:r w:rsidRPr="003C6591">
        <w:rPr>
          <w:rFonts w:ascii="Times New Roman" w:hAnsi="Times New Roman"/>
          <w:b/>
        </w:rPr>
        <w:t>Reflexões sobre as Competências e o Funcionamento do Supremo Tribunal Federal</w:t>
      </w:r>
      <w:r>
        <w:rPr>
          <w:rFonts w:ascii="Times New Roman" w:hAnsi="Times New Roman"/>
        </w:rPr>
        <w:t xml:space="preserve">. Disponível em: </w:t>
      </w:r>
      <w:r w:rsidRPr="00DC7AA0">
        <w:rPr>
          <w:rFonts w:ascii="Times New Roman" w:hAnsi="Times New Roman"/>
        </w:rPr>
        <w:t>http://www.luisrobertobarroso.com.br/?p=1087</w:t>
      </w:r>
      <w:r>
        <w:rPr>
          <w:rFonts w:ascii="Times New Roman" w:hAnsi="Times New Roman"/>
        </w:rPr>
        <w:t xml:space="preserve">. Acesso em: 8 out. 2014. </w:t>
      </w:r>
    </w:p>
  </w:footnote>
  <w:footnote w:id="231">
    <w:p w:rsidR="00D549BC" w:rsidRDefault="00D549BC" w:rsidP="00D9281D">
      <w:pPr>
        <w:pStyle w:val="FootnoteText"/>
        <w:ind w:firstLine="0"/>
      </w:pPr>
      <w:r w:rsidRPr="00D9281D">
        <w:rPr>
          <w:rStyle w:val="FootnoteReference"/>
          <w:rFonts w:ascii="Times New Roman" w:hAnsi="Times New Roman"/>
        </w:rPr>
        <w:footnoteRef/>
      </w:r>
      <w:r>
        <w:rPr>
          <w:rFonts w:ascii="Times New Roman" w:hAnsi="Times New Roman"/>
        </w:rPr>
        <w:t xml:space="preserve"> BARROSO, Luís Roberto. Entrevista. </w:t>
      </w:r>
      <w:r w:rsidRPr="000B6A28">
        <w:rPr>
          <w:rFonts w:ascii="Times New Roman" w:hAnsi="Times New Roman"/>
          <w:b/>
        </w:rPr>
        <w:t>Os Constitucionalistas</w:t>
      </w:r>
      <w:r>
        <w:rPr>
          <w:rFonts w:ascii="Times New Roman" w:hAnsi="Times New Roman"/>
        </w:rPr>
        <w:t xml:space="preserve">.  Disponível em: </w:t>
      </w:r>
      <w:r w:rsidRPr="004F1DAF">
        <w:rPr>
          <w:rFonts w:ascii="Times New Roman" w:hAnsi="Times New Roman"/>
        </w:rPr>
        <w:t>http://www.osconstitucionalistas.com.br/entrevista-luis-roberto-barroso-nao-tenho-nenhum-orgulho-do-volume-de-processos-que-o-supremo-julga</w:t>
      </w:r>
      <w:r>
        <w:rPr>
          <w:rFonts w:ascii="Times New Roman" w:hAnsi="Times New Roman"/>
        </w:rPr>
        <w:t xml:space="preserve">. Acesso em: 23 fev. 2015 – grifos nossos. </w:t>
      </w:r>
    </w:p>
  </w:footnote>
  <w:footnote w:id="232">
    <w:p w:rsidR="00D549BC" w:rsidRDefault="00D549BC" w:rsidP="00C60B45">
      <w:pPr>
        <w:pStyle w:val="FootnoteText"/>
        <w:ind w:firstLine="0"/>
      </w:pPr>
      <w:r w:rsidRPr="00C60B45">
        <w:rPr>
          <w:rStyle w:val="FootnoteReference"/>
          <w:rFonts w:ascii="Times New Roman" w:hAnsi="Times New Roman"/>
        </w:rPr>
        <w:footnoteRef/>
      </w:r>
      <w:r w:rsidRPr="00C60B45">
        <w:rPr>
          <w:rFonts w:ascii="Times New Roman" w:hAnsi="Times New Roman"/>
        </w:rPr>
        <w:t xml:space="preserve"> </w:t>
      </w:r>
      <w:r>
        <w:rPr>
          <w:rFonts w:ascii="Times New Roman" w:hAnsi="Times New Roman"/>
        </w:rPr>
        <w:t xml:space="preserve">BARROSO. Luís Roberto. </w:t>
      </w:r>
      <w:r w:rsidRPr="00717EF8">
        <w:rPr>
          <w:rFonts w:ascii="Times New Roman" w:hAnsi="Times New Roman"/>
        </w:rPr>
        <w:t>Retrospectiva 2014</w:t>
      </w:r>
      <w:r>
        <w:rPr>
          <w:rFonts w:ascii="Times New Roman" w:hAnsi="Times New Roman"/>
        </w:rPr>
        <w:t xml:space="preserve">: </w:t>
      </w:r>
      <w:r w:rsidRPr="00C60B45">
        <w:rPr>
          <w:rFonts w:ascii="Times New Roman" w:hAnsi="Times New Roman"/>
        </w:rPr>
        <w:t>Ano trouxe mudanças e amadurecimento do</w:t>
      </w:r>
      <w:r>
        <w:rPr>
          <w:rFonts w:ascii="Times New Roman" w:hAnsi="Times New Roman"/>
        </w:rPr>
        <w:t xml:space="preserve"> </w:t>
      </w:r>
      <w:r w:rsidRPr="00C60B45">
        <w:rPr>
          <w:rFonts w:ascii="Times New Roman" w:hAnsi="Times New Roman"/>
        </w:rPr>
        <w:t>Supremo Tribunal Federal</w:t>
      </w:r>
      <w:r>
        <w:rPr>
          <w:rFonts w:ascii="Times New Roman" w:hAnsi="Times New Roman"/>
        </w:rPr>
        <w:t xml:space="preserve">. Resenha. </w:t>
      </w:r>
      <w:r w:rsidRPr="00717EF8">
        <w:rPr>
          <w:rFonts w:ascii="Times New Roman" w:hAnsi="Times New Roman"/>
          <w:b/>
        </w:rPr>
        <w:t>Consultor Jurídico</w:t>
      </w:r>
      <w:r>
        <w:rPr>
          <w:rFonts w:ascii="Times New Roman" w:hAnsi="Times New Roman"/>
        </w:rPr>
        <w:t xml:space="preserve"> (ConJur), 2 de fevereiro de 2015. Disponível em: </w:t>
      </w:r>
      <w:r w:rsidRPr="00893216">
        <w:rPr>
          <w:rFonts w:ascii="Times New Roman" w:hAnsi="Times New Roman"/>
        </w:rPr>
        <w:t>http://www.conjur.com.br/2015-fev-02/ano-trouxe-mudancas-amadurecimento-supremo-tribunal-federal</w:t>
      </w:r>
      <w:r>
        <w:rPr>
          <w:rFonts w:ascii="Times New Roman" w:hAnsi="Times New Roman"/>
        </w:rPr>
        <w:t xml:space="preserve">. Acesso em: 20 abr. 2015. </w:t>
      </w:r>
    </w:p>
  </w:footnote>
  <w:footnote w:id="233">
    <w:p w:rsidR="00D549BC" w:rsidRDefault="00D549BC" w:rsidP="00DE3AAD">
      <w:pPr>
        <w:pStyle w:val="FootnoteText"/>
        <w:ind w:firstLine="0"/>
      </w:pPr>
      <w:r w:rsidRPr="00DE3AAD">
        <w:rPr>
          <w:rStyle w:val="FootnoteReference"/>
          <w:rFonts w:ascii="Times New Roman" w:hAnsi="Times New Roman"/>
        </w:rPr>
        <w:footnoteRef/>
      </w:r>
      <w:r w:rsidRPr="00DE3AAD">
        <w:rPr>
          <w:rFonts w:ascii="Times New Roman" w:hAnsi="Times New Roman"/>
        </w:rPr>
        <w:t xml:space="preserve"> </w:t>
      </w:r>
      <w:r>
        <w:rPr>
          <w:rFonts w:ascii="Times New Roman" w:hAnsi="Times New Roman"/>
        </w:rPr>
        <w:t xml:space="preserve">Informações obtidas no site do próprio Ministro Luís Roberto Barroso. Disponível em: </w:t>
      </w:r>
      <w:r w:rsidRPr="00D47867">
        <w:rPr>
          <w:rFonts w:ascii="Times New Roman" w:hAnsi="Times New Roman"/>
        </w:rPr>
        <w:t>http://www.luisrobertobarroso.com.br/?p=1080</w:t>
      </w:r>
      <w:r>
        <w:rPr>
          <w:rFonts w:ascii="Times New Roman" w:hAnsi="Times New Roman"/>
        </w:rPr>
        <w:t xml:space="preserve">. Acesso em: 8 out. 2014. </w:t>
      </w:r>
    </w:p>
  </w:footnote>
  <w:footnote w:id="234">
    <w:p w:rsidR="00D549BC" w:rsidRDefault="00D549BC" w:rsidP="0060007A">
      <w:pPr>
        <w:pStyle w:val="FootnoteText"/>
        <w:ind w:firstLine="0"/>
      </w:pPr>
      <w:r w:rsidRPr="0060007A">
        <w:rPr>
          <w:rStyle w:val="FootnoteReference"/>
          <w:rFonts w:ascii="Times New Roman" w:hAnsi="Times New Roman"/>
        </w:rPr>
        <w:footnoteRef/>
      </w:r>
      <w:r w:rsidRPr="0060007A">
        <w:rPr>
          <w:rFonts w:ascii="Times New Roman" w:hAnsi="Times New Roman"/>
        </w:rPr>
        <w:t xml:space="preserve"> </w:t>
      </w:r>
      <w:r>
        <w:rPr>
          <w:rFonts w:ascii="Times New Roman" w:hAnsi="Times New Roman"/>
        </w:rPr>
        <w:t xml:space="preserve">BARROSO. Luís Roberto. </w:t>
      </w:r>
      <w:r w:rsidRPr="0060007A">
        <w:rPr>
          <w:rFonts w:ascii="Times New Roman" w:hAnsi="Times New Roman"/>
          <w:i/>
        </w:rPr>
        <w:t>Op</w:t>
      </w:r>
      <w:r>
        <w:rPr>
          <w:rFonts w:ascii="Times New Roman" w:hAnsi="Times New Roman"/>
        </w:rPr>
        <w:t xml:space="preserve">. </w:t>
      </w:r>
      <w:r w:rsidRPr="0060007A">
        <w:rPr>
          <w:rFonts w:ascii="Times New Roman" w:hAnsi="Times New Roman"/>
          <w:i/>
        </w:rPr>
        <w:t>Cit</w:t>
      </w:r>
      <w:r>
        <w:rPr>
          <w:rFonts w:ascii="Times New Roman" w:hAnsi="Times New Roman"/>
        </w:rPr>
        <w:t xml:space="preserve">., p. 4. Disponível em: </w:t>
      </w:r>
      <w:r w:rsidRPr="002922EB">
        <w:rPr>
          <w:rFonts w:ascii="Times New Roman" w:hAnsi="Times New Roman"/>
        </w:rPr>
        <w:t>http://www.luisrobertobarroso.com.br/?p=1087</w:t>
      </w:r>
      <w:r>
        <w:rPr>
          <w:rFonts w:ascii="Times New Roman" w:hAnsi="Times New Roman"/>
        </w:rPr>
        <w:t xml:space="preserve">. Acesso em: 8 out. 2014 (grifos nossos). </w:t>
      </w:r>
    </w:p>
  </w:footnote>
  <w:footnote w:id="235">
    <w:p w:rsidR="00D549BC" w:rsidRDefault="00D549BC" w:rsidP="003678DC">
      <w:pPr>
        <w:pStyle w:val="FootnoteText"/>
        <w:ind w:firstLine="0"/>
      </w:pPr>
      <w:r w:rsidRPr="003678DC">
        <w:rPr>
          <w:rStyle w:val="FootnoteReference"/>
          <w:rFonts w:ascii="Times New Roman" w:hAnsi="Times New Roman"/>
        </w:rPr>
        <w:footnoteRef/>
      </w:r>
      <w:r w:rsidRPr="003678DC">
        <w:rPr>
          <w:rFonts w:ascii="Times New Roman" w:hAnsi="Times New Roman"/>
        </w:rPr>
        <w:t xml:space="preserve"> </w:t>
      </w:r>
      <w:r>
        <w:rPr>
          <w:rFonts w:ascii="Times New Roman" w:hAnsi="Times New Roman"/>
        </w:rPr>
        <w:t>Tal proposta justificar-se-ia, pois, segundo, “o</w:t>
      </w:r>
      <w:r w:rsidRPr="003678DC">
        <w:rPr>
          <w:rFonts w:ascii="Times New Roman" w:hAnsi="Times New Roman"/>
        </w:rPr>
        <w:t xml:space="preserve"> III Relatório Supremo em Números, da FGV Direito Rio, apurou que o número</w:t>
      </w:r>
      <w:r>
        <w:rPr>
          <w:rFonts w:ascii="Times New Roman" w:hAnsi="Times New Roman"/>
        </w:rPr>
        <w:t xml:space="preserve"> </w:t>
      </w:r>
      <w:r w:rsidRPr="003678DC">
        <w:rPr>
          <w:rFonts w:ascii="Times New Roman" w:hAnsi="Times New Roman"/>
        </w:rPr>
        <w:t>médio de dias de vigência de uma liminar em ação direta é de 4.914 dias, equivalente a</w:t>
      </w:r>
      <w:r>
        <w:rPr>
          <w:rFonts w:ascii="Times New Roman" w:hAnsi="Times New Roman"/>
        </w:rPr>
        <w:t xml:space="preserve"> </w:t>
      </w:r>
      <w:r w:rsidRPr="003678DC">
        <w:rPr>
          <w:rFonts w:ascii="Times New Roman" w:hAnsi="Times New Roman"/>
        </w:rPr>
        <w:t>mais de 13 (treze) anos. Chega a ser constrangedor para o Tribunal julgar definitivamente</w:t>
      </w:r>
      <w:r>
        <w:rPr>
          <w:rFonts w:ascii="Times New Roman" w:hAnsi="Times New Roman"/>
        </w:rPr>
        <w:t xml:space="preserve"> </w:t>
      </w:r>
      <w:r w:rsidRPr="003678DC">
        <w:rPr>
          <w:rFonts w:ascii="Times New Roman" w:hAnsi="Times New Roman"/>
        </w:rPr>
        <w:t>uma questão tanto tempo depois. A possibilidade de julgar o tema em Plenário Virtual</w:t>
      </w:r>
      <w:r>
        <w:rPr>
          <w:rFonts w:ascii="Times New Roman" w:hAnsi="Times New Roman"/>
        </w:rPr>
        <w:t xml:space="preserve"> </w:t>
      </w:r>
      <w:r w:rsidRPr="003678DC">
        <w:rPr>
          <w:rFonts w:ascii="Times New Roman" w:hAnsi="Times New Roman"/>
        </w:rPr>
        <w:t>abreviaria drasticamente este prazo</w:t>
      </w:r>
      <w:r>
        <w:rPr>
          <w:rFonts w:ascii="Times New Roman" w:hAnsi="Times New Roman"/>
        </w:rPr>
        <w:t xml:space="preserve">” (Ibid., p. 5). </w:t>
      </w:r>
    </w:p>
  </w:footnote>
  <w:footnote w:id="236">
    <w:p w:rsidR="00D549BC" w:rsidRDefault="00D549BC" w:rsidP="009A0FBA">
      <w:pPr>
        <w:pStyle w:val="FootnoteText"/>
        <w:ind w:firstLine="0"/>
      </w:pPr>
      <w:r w:rsidRPr="009A0FBA">
        <w:rPr>
          <w:rStyle w:val="FootnoteReference"/>
          <w:rFonts w:ascii="Times New Roman" w:hAnsi="Times New Roman"/>
        </w:rPr>
        <w:footnoteRef/>
      </w:r>
      <w:r>
        <w:rPr>
          <w:rFonts w:ascii="Times New Roman" w:hAnsi="Times New Roman"/>
        </w:rPr>
        <w:t xml:space="preserve">Ibid., p. 6. </w:t>
      </w:r>
    </w:p>
  </w:footnote>
  <w:footnote w:id="237">
    <w:p w:rsidR="00D549BC" w:rsidRDefault="00D549BC">
      <w:pPr>
        <w:pStyle w:val="FootnoteText"/>
      </w:pPr>
      <w:r w:rsidRPr="005A4CE4">
        <w:rPr>
          <w:rStyle w:val="FootnoteReference"/>
          <w:rFonts w:ascii="Times New Roman" w:hAnsi="Times New Roman"/>
        </w:rPr>
        <w:footnoteRef/>
      </w:r>
      <w:r w:rsidRPr="005A4CE4">
        <w:rPr>
          <w:rFonts w:ascii="Times New Roman" w:hAnsi="Times New Roman"/>
        </w:rPr>
        <w:t xml:space="preserve"> </w:t>
      </w:r>
      <w:r>
        <w:rPr>
          <w:rFonts w:ascii="Times New Roman" w:hAnsi="Times New Roman"/>
        </w:rPr>
        <w:t xml:space="preserve">Ibid., p. 13-14 (grifos nossos). </w:t>
      </w:r>
    </w:p>
  </w:footnote>
  <w:footnote w:id="238">
    <w:p w:rsidR="00D549BC" w:rsidRDefault="00D549BC" w:rsidP="00353CC5">
      <w:pPr>
        <w:pStyle w:val="FootnoteText"/>
        <w:ind w:firstLine="0"/>
      </w:pPr>
      <w:r w:rsidRPr="00353CC5">
        <w:rPr>
          <w:rStyle w:val="FootnoteReference"/>
          <w:rFonts w:ascii="Times New Roman" w:hAnsi="Times New Roman"/>
        </w:rPr>
        <w:footnoteRef/>
      </w:r>
      <w:r w:rsidRPr="00353CC5">
        <w:rPr>
          <w:rFonts w:ascii="Times New Roman" w:hAnsi="Times New Roman"/>
        </w:rPr>
        <w:t xml:space="preserve"> </w:t>
      </w:r>
      <w:r>
        <w:rPr>
          <w:rFonts w:ascii="Times New Roman" w:hAnsi="Times New Roman"/>
        </w:rPr>
        <w:t xml:space="preserve">BRASIL. </w:t>
      </w:r>
      <w:r w:rsidRPr="0089208F">
        <w:rPr>
          <w:rFonts w:ascii="Times New Roman" w:hAnsi="Times New Roman"/>
        </w:rPr>
        <w:t>Supremo Tribunal Federal</w:t>
      </w:r>
      <w:r>
        <w:rPr>
          <w:rFonts w:ascii="Times New Roman" w:hAnsi="Times New Roman"/>
        </w:rPr>
        <w:t xml:space="preserve">. Notícias STF. Disponível em: </w:t>
      </w:r>
      <w:r w:rsidRPr="0089208F">
        <w:rPr>
          <w:rFonts w:ascii="Times New Roman" w:hAnsi="Times New Roman"/>
        </w:rPr>
        <w:t>http://www.stf.jus.br/portal/cms/verNoticiaDetalhe.asp?idConteudo=274844&amp;caixaBusca=N</w:t>
      </w:r>
      <w:r>
        <w:rPr>
          <w:rFonts w:ascii="Times New Roman" w:hAnsi="Times New Roman"/>
        </w:rPr>
        <w:t xml:space="preserve">. Acesso em: 21 abr. 2015.   </w:t>
      </w:r>
    </w:p>
  </w:footnote>
  <w:footnote w:id="239">
    <w:p w:rsidR="00D549BC" w:rsidRDefault="00D549BC" w:rsidP="00603D36">
      <w:pPr>
        <w:pStyle w:val="FootnoteText"/>
        <w:ind w:firstLine="0"/>
      </w:pPr>
      <w:r w:rsidRPr="00603D36">
        <w:rPr>
          <w:rStyle w:val="FootnoteReference"/>
          <w:rFonts w:ascii="Times New Roman" w:hAnsi="Times New Roman"/>
        </w:rPr>
        <w:footnoteRef/>
      </w:r>
      <w:r w:rsidRPr="00603D36">
        <w:rPr>
          <w:rFonts w:ascii="Times New Roman" w:hAnsi="Times New Roman"/>
        </w:rPr>
        <w:t xml:space="preserve"> </w:t>
      </w:r>
      <w:r>
        <w:rPr>
          <w:rFonts w:ascii="Times New Roman" w:hAnsi="Times New Roman"/>
        </w:rPr>
        <w:t xml:space="preserve">BRASIL. </w:t>
      </w:r>
      <w:r w:rsidRPr="0089208F">
        <w:rPr>
          <w:rFonts w:ascii="Times New Roman" w:hAnsi="Times New Roman"/>
        </w:rPr>
        <w:t>Supremo Tribunal Federal</w:t>
      </w:r>
      <w:r>
        <w:rPr>
          <w:rFonts w:ascii="Times New Roman" w:hAnsi="Times New Roman"/>
        </w:rPr>
        <w:t xml:space="preserve">. Emenda Regimental nº 49, de 3 de junho de 2014. DJe: 05/06/2014. Disponível em: </w:t>
      </w:r>
      <w:r w:rsidRPr="0089208F">
        <w:rPr>
          <w:rFonts w:ascii="Times New Roman" w:hAnsi="Times New Roman"/>
        </w:rPr>
        <w:t>http://www.stf.jus.br/portal/atoNormativo/verAtoNormativo.asp?documento=2329</w:t>
      </w:r>
      <w:r>
        <w:rPr>
          <w:rFonts w:ascii="Times New Roman" w:hAnsi="Times New Roman"/>
        </w:rPr>
        <w:t xml:space="preserve">. Acesso em: 22 abr. 2015.  </w:t>
      </w:r>
    </w:p>
  </w:footnote>
  <w:footnote w:id="240">
    <w:p w:rsidR="00D549BC" w:rsidRDefault="00D549BC" w:rsidP="0011226A">
      <w:pPr>
        <w:pStyle w:val="FootnoteText"/>
        <w:ind w:firstLine="0"/>
        <w:rPr>
          <w:rFonts w:ascii="Times New Roman" w:hAnsi="Times New Roman"/>
        </w:rPr>
      </w:pPr>
      <w:r w:rsidRPr="00B910A0">
        <w:rPr>
          <w:rStyle w:val="FootnoteReference"/>
          <w:rFonts w:ascii="Times New Roman" w:hAnsi="Times New Roman"/>
        </w:rPr>
        <w:footnoteRef/>
      </w:r>
      <w:r w:rsidRPr="00B910A0">
        <w:rPr>
          <w:rFonts w:ascii="Times New Roman" w:hAnsi="Times New Roman"/>
        </w:rPr>
        <w:t xml:space="preserve"> </w:t>
      </w:r>
      <w:r w:rsidRPr="0011226A">
        <w:rPr>
          <w:rFonts w:ascii="Times New Roman" w:hAnsi="Times New Roman"/>
          <w:b/>
        </w:rPr>
        <w:t>Art. 5º</w:t>
      </w:r>
      <w:r>
        <w:rPr>
          <w:rFonts w:ascii="Times New Roman" w:hAnsi="Times New Roman"/>
          <w:b/>
        </w:rPr>
        <w:t>.</w:t>
      </w:r>
      <w:r w:rsidRPr="00B910A0">
        <w:rPr>
          <w:rFonts w:ascii="Times New Roman" w:hAnsi="Times New Roman"/>
        </w:rPr>
        <w:t xml:space="preserve"> Compete ao </w:t>
      </w:r>
      <w:r w:rsidRPr="00B910A0">
        <w:rPr>
          <w:rFonts w:ascii="Times New Roman" w:hAnsi="Times New Roman"/>
          <w:i/>
        </w:rPr>
        <w:t>Plenário</w:t>
      </w:r>
      <w:r w:rsidRPr="00B910A0">
        <w:rPr>
          <w:rFonts w:ascii="Times New Roman" w:hAnsi="Times New Roman"/>
        </w:rPr>
        <w:t xml:space="preserve"> processar e julgar originariamente:</w:t>
      </w:r>
      <w:r>
        <w:rPr>
          <w:rFonts w:ascii="Times New Roman" w:hAnsi="Times New Roman"/>
        </w:rPr>
        <w:t xml:space="preserve"> </w:t>
      </w:r>
      <w:r w:rsidRPr="0011226A">
        <w:rPr>
          <w:rFonts w:ascii="Times New Roman" w:hAnsi="Times New Roman"/>
          <w:b/>
        </w:rPr>
        <w:t>I</w:t>
      </w:r>
      <w:r>
        <w:rPr>
          <w:rFonts w:ascii="Times New Roman" w:hAnsi="Times New Roman"/>
        </w:rPr>
        <w:t xml:space="preserve"> </w:t>
      </w:r>
      <w:r w:rsidRPr="00B910A0">
        <w:rPr>
          <w:rFonts w:ascii="Times New Roman" w:hAnsi="Times New Roman"/>
        </w:rPr>
        <w:t xml:space="preserve">– </w:t>
      </w:r>
      <w:r w:rsidRPr="0011226A">
        <w:rPr>
          <w:rFonts w:ascii="Times New Roman" w:hAnsi="Times New Roman"/>
          <w:i/>
        </w:rPr>
        <w:t>nos crimes comuns</w:t>
      </w:r>
      <w:r w:rsidRPr="00B910A0">
        <w:rPr>
          <w:rFonts w:ascii="Times New Roman" w:hAnsi="Times New Roman"/>
        </w:rPr>
        <w:t>, o Presidente da República, o Vice-Presidente da República,</w:t>
      </w:r>
      <w:r>
        <w:rPr>
          <w:rFonts w:ascii="Times New Roman" w:hAnsi="Times New Roman"/>
        </w:rPr>
        <w:t xml:space="preserve"> </w:t>
      </w:r>
      <w:r w:rsidRPr="0011226A">
        <w:rPr>
          <w:rFonts w:ascii="Times New Roman" w:hAnsi="Times New Roman"/>
          <w:i/>
        </w:rPr>
        <w:t>o Presidente do Senado Federal</w:t>
      </w:r>
      <w:r w:rsidRPr="00B910A0">
        <w:rPr>
          <w:rFonts w:ascii="Times New Roman" w:hAnsi="Times New Roman"/>
        </w:rPr>
        <w:t xml:space="preserve">, </w:t>
      </w:r>
      <w:r w:rsidRPr="0011226A">
        <w:rPr>
          <w:rFonts w:ascii="Times New Roman" w:hAnsi="Times New Roman"/>
          <w:i/>
        </w:rPr>
        <w:t>o Presidente da Câmara dos Deputados</w:t>
      </w:r>
      <w:r w:rsidRPr="00B910A0">
        <w:rPr>
          <w:rFonts w:ascii="Times New Roman" w:hAnsi="Times New Roman"/>
        </w:rPr>
        <w:t>,</w:t>
      </w:r>
      <w:r>
        <w:rPr>
          <w:rFonts w:ascii="Times New Roman" w:hAnsi="Times New Roman"/>
        </w:rPr>
        <w:t xml:space="preserve"> </w:t>
      </w:r>
      <w:r w:rsidRPr="0011226A">
        <w:rPr>
          <w:rFonts w:ascii="Times New Roman" w:hAnsi="Times New Roman"/>
        </w:rPr>
        <w:t>os Ministros do Supremo Tribunal Federal e o Procurador-Geral da República, bem</w:t>
      </w:r>
      <w:r>
        <w:rPr>
          <w:rFonts w:ascii="Times New Roman" w:hAnsi="Times New Roman"/>
        </w:rPr>
        <w:t xml:space="preserve"> </w:t>
      </w:r>
      <w:r w:rsidRPr="0011226A">
        <w:rPr>
          <w:rFonts w:ascii="Times New Roman" w:hAnsi="Times New Roman"/>
        </w:rPr>
        <w:t>como apreciar pedidos de arquivamento por atipicidade de conduta</w:t>
      </w:r>
      <w:r>
        <w:rPr>
          <w:rFonts w:ascii="Times New Roman" w:hAnsi="Times New Roman"/>
        </w:rPr>
        <w:t xml:space="preserve"> (</w:t>
      </w:r>
      <w:r w:rsidRPr="0011226A">
        <w:rPr>
          <w:rFonts w:ascii="Times New Roman" w:hAnsi="Times New Roman"/>
        </w:rPr>
        <w:t>Atualizado com a introdução da Emenda Regimental 49/2014</w:t>
      </w:r>
      <w:r>
        <w:rPr>
          <w:rFonts w:ascii="Times New Roman" w:hAnsi="Times New Roman"/>
        </w:rPr>
        <w:t>)</w:t>
      </w:r>
      <w:r w:rsidRPr="0011226A">
        <w:rPr>
          <w:rFonts w:ascii="Times New Roman" w:hAnsi="Times New Roman"/>
        </w:rPr>
        <w:t>;</w:t>
      </w:r>
      <w:r>
        <w:rPr>
          <w:rFonts w:ascii="Times New Roman" w:hAnsi="Times New Roman"/>
        </w:rPr>
        <w:t xml:space="preserve"> (...)</w:t>
      </w:r>
    </w:p>
    <w:p w:rsidR="00D549BC" w:rsidRDefault="00D549BC" w:rsidP="002101DC">
      <w:pPr>
        <w:pStyle w:val="FootnoteText"/>
        <w:ind w:firstLine="0"/>
      </w:pPr>
      <w:r w:rsidRPr="0011226A">
        <w:rPr>
          <w:rFonts w:ascii="Times New Roman" w:hAnsi="Times New Roman"/>
          <w:b/>
        </w:rPr>
        <w:t>Art. 9º</w:t>
      </w:r>
      <w:r>
        <w:rPr>
          <w:rFonts w:ascii="Times New Roman" w:hAnsi="Times New Roman"/>
          <w:b/>
        </w:rPr>
        <w:t>.</w:t>
      </w:r>
      <w:r w:rsidRPr="0011226A">
        <w:rPr>
          <w:rFonts w:ascii="Times New Roman" w:hAnsi="Times New Roman"/>
        </w:rPr>
        <w:t xml:space="preserve"> Além do disposto no art. 8º, </w:t>
      </w:r>
      <w:r w:rsidRPr="0011226A">
        <w:rPr>
          <w:rFonts w:ascii="Times New Roman" w:hAnsi="Times New Roman"/>
          <w:i/>
        </w:rPr>
        <w:t>compete às Turmas</w:t>
      </w:r>
      <w:r w:rsidRPr="0011226A">
        <w:rPr>
          <w:rFonts w:ascii="Times New Roman" w:hAnsi="Times New Roman"/>
        </w:rPr>
        <w:t>:</w:t>
      </w:r>
      <w:r>
        <w:rPr>
          <w:rFonts w:ascii="Times New Roman" w:hAnsi="Times New Roman"/>
        </w:rPr>
        <w:t xml:space="preserve"> </w:t>
      </w:r>
      <w:r w:rsidRPr="0011226A">
        <w:rPr>
          <w:rFonts w:ascii="Times New Roman" w:hAnsi="Times New Roman"/>
          <w:b/>
        </w:rPr>
        <w:t xml:space="preserve">I </w:t>
      </w:r>
      <w:r w:rsidRPr="0011226A">
        <w:rPr>
          <w:rFonts w:ascii="Times New Roman" w:hAnsi="Times New Roman"/>
        </w:rPr>
        <w:t xml:space="preserve">– </w:t>
      </w:r>
      <w:r w:rsidRPr="0011226A">
        <w:rPr>
          <w:rFonts w:ascii="Times New Roman" w:hAnsi="Times New Roman"/>
          <w:i/>
        </w:rPr>
        <w:t>processar e julgar originariamente</w:t>
      </w:r>
      <w:r w:rsidRPr="0011226A">
        <w:rPr>
          <w:rFonts w:ascii="Times New Roman" w:hAnsi="Times New Roman"/>
        </w:rPr>
        <w:t>:</w:t>
      </w:r>
      <w:r>
        <w:rPr>
          <w:rFonts w:ascii="Times New Roman" w:hAnsi="Times New Roman"/>
        </w:rPr>
        <w:t xml:space="preserve"> </w:t>
      </w:r>
      <w:r w:rsidRPr="0011226A">
        <w:rPr>
          <w:rFonts w:ascii="Times New Roman" w:hAnsi="Times New Roman"/>
          <w:i/>
        </w:rPr>
        <w:t>j</w:t>
      </w:r>
      <w:r>
        <w:rPr>
          <w:rFonts w:ascii="Times New Roman" w:hAnsi="Times New Roman"/>
        </w:rPr>
        <w:t>)</w:t>
      </w:r>
      <w:r w:rsidRPr="0011226A">
        <w:rPr>
          <w:rFonts w:ascii="Times New Roman" w:hAnsi="Times New Roman"/>
        </w:rPr>
        <w:t xml:space="preserve"> </w:t>
      </w:r>
      <w:r w:rsidRPr="0011226A">
        <w:rPr>
          <w:rFonts w:ascii="Times New Roman" w:hAnsi="Times New Roman"/>
          <w:i/>
        </w:rPr>
        <w:t>nos crimes comuns</w:t>
      </w:r>
      <w:r w:rsidRPr="0011226A">
        <w:rPr>
          <w:rFonts w:ascii="Times New Roman" w:hAnsi="Times New Roman"/>
        </w:rPr>
        <w:t xml:space="preserve">, </w:t>
      </w:r>
      <w:r w:rsidRPr="0011226A">
        <w:rPr>
          <w:rFonts w:ascii="Times New Roman" w:hAnsi="Times New Roman"/>
          <w:i/>
        </w:rPr>
        <w:t>os Deputados e Senadores</w:t>
      </w:r>
      <w:r w:rsidRPr="0011226A">
        <w:rPr>
          <w:rFonts w:ascii="Times New Roman" w:hAnsi="Times New Roman"/>
        </w:rPr>
        <w:t>, ressalvada a competência</w:t>
      </w:r>
      <w:r>
        <w:rPr>
          <w:rFonts w:ascii="Times New Roman" w:hAnsi="Times New Roman"/>
        </w:rPr>
        <w:t xml:space="preserve"> </w:t>
      </w:r>
      <w:r w:rsidRPr="0011226A">
        <w:rPr>
          <w:rFonts w:ascii="Times New Roman" w:hAnsi="Times New Roman"/>
        </w:rPr>
        <w:t>do Plenário, bem como apreciar pedidos de arquivamen</w:t>
      </w:r>
      <w:r>
        <w:rPr>
          <w:rFonts w:ascii="Times New Roman" w:hAnsi="Times New Roman"/>
        </w:rPr>
        <w:t>to por atipicidade de conduta (</w:t>
      </w:r>
      <w:r w:rsidRPr="0011226A">
        <w:rPr>
          <w:rFonts w:ascii="Times New Roman" w:hAnsi="Times New Roman"/>
        </w:rPr>
        <w:t>Atualizado com a introdução da Emenda Regimental 49/2014</w:t>
      </w:r>
      <w:r>
        <w:rPr>
          <w:rFonts w:ascii="Times New Roman" w:hAnsi="Times New Roman"/>
        </w:rPr>
        <w:t xml:space="preserve">); </w:t>
      </w:r>
      <w:r w:rsidRPr="002101DC">
        <w:rPr>
          <w:rFonts w:ascii="Times New Roman" w:hAnsi="Times New Roman"/>
          <w:i/>
        </w:rPr>
        <w:t xml:space="preserve">k) nos crimes comuns e de responsabilidade, os Ministros de Estado e os Comandantes da Marinha, do Exército e da Aeronáutica, ressalvado o disposto no art. 52, I, da Constituição Federal, os membros dos Tribunais Superiores, os do Tribunal de Contas da União e os chefes de missão diplomática de caráter permanente, </w:t>
      </w:r>
      <w:r w:rsidRPr="002101DC">
        <w:rPr>
          <w:rFonts w:ascii="Times New Roman" w:hAnsi="Times New Roman"/>
        </w:rPr>
        <w:t xml:space="preserve">bem como apreciar pedidos de arquivamento por atipicidade da conduta </w:t>
      </w:r>
      <w:r>
        <w:rPr>
          <w:rFonts w:ascii="Times New Roman" w:hAnsi="Times New Roman"/>
        </w:rPr>
        <w:t>(</w:t>
      </w:r>
      <w:r w:rsidRPr="002101DC">
        <w:rPr>
          <w:rFonts w:ascii="Times New Roman" w:hAnsi="Times New Roman"/>
        </w:rPr>
        <w:t>Atualizado com a introdução da Emenda Regimental 49/2014</w:t>
      </w:r>
      <w:r>
        <w:rPr>
          <w:rFonts w:ascii="Times New Roman" w:hAnsi="Times New Roman"/>
        </w:rPr>
        <w:t>)</w:t>
      </w:r>
      <w:r w:rsidRPr="002101DC">
        <w:rPr>
          <w:rFonts w:ascii="Times New Roman" w:hAnsi="Times New Roman"/>
        </w:rPr>
        <w:t>.</w:t>
      </w:r>
      <w:r>
        <w:rPr>
          <w:rFonts w:ascii="Times New Roman" w:hAnsi="Times New Roman"/>
        </w:rPr>
        <w:t xml:space="preserve"> (...) (BRASIL. </w:t>
      </w:r>
      <w:r w:rsidRPr="000F1B73">
        <w:rPr>
          <w:rFonts w:ascii="Times New Roman" w:hAnsi="Times New Roman"/>
        </w:rPr>
        <w:t>Supremo Tribunal Federal</w:t>
      </w:r>
      <w:r>
        <w:rPr>
          <w:rFonts w:ascii="Times New Roman" w:hAnsi="Times New Roman"/>
        </w:rPr>
        <w:t xml:space="preserve">. Regimento Interno – grifos nossos). </w:t>
      </w:r>
    </w:p>
  </w:footnote>
  <w:footnote w:id="241">
    <w:p w:rsidR="00D549BC" w:rsidRDefault="00D549BC" w:rsidP="00911A58">
      <w:pPr>
        <w:pStyle w:val="FootnoteText"/>
        <w:ind w:firstLine="0"/>
        <w:rPr>
          <w:rFonts w:ascii="Times New Roman" w:hAnsi="Times New Roman"/>
        </w:rPr>
      </w:pPr>
      <w:r w:rsidRPr="00864676">
        <w:rPr>
          <w:rStyle w:val="FootnoteReference"/>
          <w:rFonts w:ascii="Times New Roman" w:hAnsi="Times New Roman"/>
        </w:rPr>
        <w:footnoteRef/>
      </w:r>
      <w:r w:rsidRPr="00864676">
        <w:rPr>
          <w:rFonts w:ascii="Times New Roman" w:hAnsi="Times New Roman"/>
        </w:rPr>
        <w:t xml:space="preserve"> </w:t>
      </w:r>
      <w:r w:rsidRPr="00911A58">
        <w:rPr>
          <w:rFonts w:ascii="Times New Roman" w:hAnsi="Times New Roman"/>
          <w:b/>
        </w:rPr>
        <w:t>Art. 233.</w:t>
      </w:r>
      <w:r w:rsidRPr="00911A58">
        <w:rPr>
          <w:rFonts w:ascii="Times New Roman" w:hAnsi="Times New Roman"/>
        </w:rPr>
        <w:t xml:space="preserve"> O Relator, antes do recebimento ou da rejeição da denúncia ou da</w:t>
      </w:r>
      <w:r>
        <w:rPr>
          <w:rFonts w:ascii="Times New Roman" w:hAnsi="Times New Roman"/>
        </w:rPr>
        <w:t xml:space="preserve"> </w:t>
      </w:r>
      <w:r w:rsidRPr="00911A58">
        <w:rPr>
          <w:rFonts w:ascii="Times New Roman" w:hAnsi="Times New Roman"/>
        </w:rPr>
        <w:t>queixa, mandará notificar o acusado para oferecer resposta escrita no prazo de</w:t>
      </w:r>
      <w:r>
        <w:rPr>
          <w:rFonts w:ascii="Times New Roman" w:hAnsi="Times New Roman"/>
        </w:rPr>
        <w:t xml:space="preserve"> </w:t>
      </w:r>
      <w:r w:rsidRPr="00911A58">
        <w:rPr>
          <w:rFonts w:ascii="Times New Roman" w:hAnsi="Times New Roman"/>
        </w:rPr>
        <w:t>quinze dias.</w:t>
      </w:r>
    </w:p>
    <w:p w:rsidR="00D549BC" w:rsidRDefault="00D549BC" w:rsidP="00911A58">
      <w:pPr>
        <w:pStyle w:val="FootnoteText"/>
        <w:ind w:firstLine="0"/>
      </w:pPr>
      <w:r w:rsidRPr="00911A58">
        <w:rPr>
          <w:rFonts w:ascii="Times New Roman" w:hAnsi="Times New Roman"/>
          <w:b/>
        </w:rPr>
        <w:t>Art. 234.</w:t>
      </w:r>
      <w:r w:rsidRPr="00911A58">
        <w:rPr>
          <w:rFonts w:ascii="Times New Roman" w:hAnsi="Times New Roman"/>
        </w:rPr>
        <w:t xml:space="preserve"> </w:t>
      </w:r>
      <w:r w:rsidRPr="00911A58">
        <w:rPr>
          <w:rFonts w:ascii="Times New Roman" w:hAnsi="Times New Roman"/>
          <w:i/>
        </w:rPr>
        <w:t>Apresentada, ou não, a resposta, o Relator pedirá dia para que o Plenário ou a Turma, conforme o caso</w:t>
      </w:r>
      <w:r w:rsidRPr="00911A58">
        <w:rPr>
          <w:rFonts w:ascii="Times New Roman" w:hAnsi="Times New Roman"/>
        </w:rPr>
        <w:t xml:space="preserve">, </w:t>
      </w:r>
      <w:r w:rsidRPr="00911A58">
        <w:rPr>
          <w:rFonts w:ascii="Times New Roman" w:hAnsi="Times New Roman"/>
          <w:i/>
        </w:rPr>
        <w:t>delibere sobre o recebimento ou a rejeição da denúncia ou da queixa</w:t>
      </w:r>
      <w:r>
        <w:rPr>
          <w:rFonts w:ascii="Times New Roman" w:hAnsi="Times New Roman"/>
        </w:rPr>
        <w:t xml:space="preserve"> (</w:t>
      </w:r>
      <w:r w:rsidRPr="00911A58">
        <w:rPr>
          <w:rFonts w:ascii="Times New Roman" w:hAnsi="Times New Roman"/>
        </w:rPr>
        <w:t>Atualizado com a introdução da Emenda Regimental 49/2014</w:t>
      </w:r>
      <w:r>
        <w:rPr>
          <w:rFonts w:ascii="Times New Roman" w:hAnsi="Times New Roman"/>
        </w:rPr>
        <w:t xml:space="preserve">) (BRASIL. </w:t>
      </w:r>
      <w:r w:rsidRPr="000F1B73">
        <w:rPr>
          <w:rFonts w:ascii="Times New Roman" w:hAnsi="Times New Roman"/>
        </w:rPr>
        <w:t>Supremo Tribunal Federal</w:t>
      </w:r>
      <w:r>
        <w:rPr>
          <w:rFonts w:ascii="Times New Roman" w:hAnsi="Times New Roman"/>
        </w:rPr>
        <w:t xml:space="preserve">. Regimento Interno – grifos nossos). </w:t>
      </w:r>
    </w:p>
  </w:footnote>
  <w:footnote w:id="242">
    <w:p w:rsidR="00D549BC" w:rsidRDefault="00D549BC" w:rsidP="006D7A69">
      <w:pPr>
        <w:pStyle w:val="FootnoteText"/>
        <w:ind w:firstLine="0"/>
      </w:pPr>
      <w:r w:rsidRPr="006D7A69">
        <w:rPr>
          <w:rStyle w:val="FootnoteReference"/>
          <w:rFonts w:ascii="Times New Roman" w:hAnsi="Times New Roman"/>
        </w:rPr>
        <w:footnoteRef/>
      </w:r>
      <w:r w:rsidRPr="006D7A69">
        <w:rPr>
          <w:rFonts w:ascii="Times New Roman" w:hAnsi="Times New Roman"/>
        </w:rPr>
        <w:t xml:space="preserve"> </w:t>
      </w:r>
      <w:r w:rsidRPr="0011226A">
        <w:rPr>
          <w:rFonts w:ascii="Times New Roman" w:hAnsi="Times New Roman"/>
          <w:b/>
        </w:rPr>
        <w:t>Art. 9º</w:t>
      </w:r>
      <w:r>
        <w:rPr>
          <w:rFonts w:ascii="Times New Roman" w:hAnsi="Times New Roman"/>
          <w:b/>
        </w:rPr>
        <w:t>.</w:t>
      </w:r>
      <w:r w:rsidRPr="0011226A">
        <w:rPr>
          <w:rFonts w:ascii="Times New Roman" w:hAnsi="Times New Roman"/>
        </w:rPr>
        <w:t xml:space="preserve"> Além do disposto no art. 8º, </w:t>
      </w:r>
      <w:r w:rsidRPr="0011226A">
        <w:rPr>
          <w:rFonts w:ascii="Times New Roman" w:hAnsi="Times New Roman"/>
          <w:i/>
        </w:rPr>
        <w:t>compete às Turmas</w:t>
      </w:r>
      <w:r w:rsidRPr="0011226A">
        <w:rPr>
          <w:rFonts w:ascii="Times New Roman" w:hAnsi="Times New Roman"/>
        </w:rPr>
        <w:t>:</w:t>
      </w:r>
      <w:r>
        <w:rPr>
          <w:rFonts w:ascii="Times New Roman" w:hAnsi="Times New Roman"/>
        </w:rPr>
        <w:t xml:space="preserve"> </w:t>
      </w:r>
      <w:r w:rsidRPr="0011226A">
        <w:rPr>
          <w:rFonts w:ascii="Times New Roman" w:hAnsi="Times New Roman"/>
          <w:b/>
        </w:rPr>
        <w:t xml:space="preserve">I </w:t>
      </w:r>
      <w:r w:rsidRPr="0011226A">
        <w:rPr>
          <w:rFonts w:ascii="Times New Roman" w:hAnsi="Times New Roman"/>
        </w:rPr>
        <w:t xml:space="preserve">– </w:t>
      </w:r>
      <w:r w:rsidRPr="0011226A">
        <w:rPr>
          <w:rFonts w:ascii="Times New Roman" w:hAnsi="Times New Roman"/>
          <w:i/>
        </w:rPr>
        <w:t>processar e julgar originariamente</w:t>
      </w:r>
      <w:r w:rsidRPr="0011226A">
        <w:rPr>
          <w:rFonts w:ascii="Times New Roman" w:hAnsi="Times New Roman"/>
        </w:rPr>
        <w:t>:</w:t>
      </w:r>
      <w:r>
        <w:rPr>
          <w:rFonts w:ascii="Times New Roman" w:hAnsi="Times New Roman"/>
        </w:rPr>
        <w:t xml:space="preserve"> </w:t>
      </w:r>
      <w:r w:rsidRPr="006D7A69">
        <w:rPr>
          <w:rFonts w:ascii="Times New Roman" w:hAnsi="Times New Roman"/>
          <w:i/>
        </w:rPr>
        <w:t>i) as ações contra o Conselho Nacional de Justiça ou contra o Conselho Nacional do Ministério Público, ressalvada a competência do Plenário</w:t>
      </w:r>
      <w:r w:rsidRPr="006D7A69">
        <w:rPr>
          <w:rFonts w:ascii="Times New Roman" w:hAnsi="Times New Roman"/>
        </w:rPr>
        <w:t xml:space="preserve"> </w:t>
      </w:r>
      <w:r>
        <w:rPr>
          <w:rFonts w:ascii="Times New Roman" w:hAnsi="Times New Roman"/>
        </w:rPr>
        <w:t>(</w:t>
      </w:r>
      <w:r w:rsidRPr="006D7A69">
        <w:rPr>
          <w:rFonts w:ascii="Times New Roman" w:hAnsi="Times New Roman"/>
        </w:rPr>
        <w:t>Atualizado com a introdução da Emenda Regimental 49/2014</w:t>
      </w:r>
      <w:r>
        <w:rPr>
          <w:rFonts w:ascii="Times New Roman" w:hAnsi="Times New Roman"/>
        </w:rPr>
        <w:t xml:space="preserve">); (BRASIL. </w:t>
      </w:r>
      <w:r w:rsidRPr="000F1B73">
        <w:rPr>
          <w:rFonts w:ascii="Times New Roman" w:hAnsi="Times New Roman"/>
        </w:rPr>
        <w:t>Supremo Tribunal Federal</w:t>
      </w:r>
      <w:r>
        <w:rPr>
          <w:rFonts w:ascii="Times New Roman" w:hAnsi="Times New Roman"/>
        </w:rPr>
        <w:t xml:space="preserve">. Regimento Interno – grifos nossos). </w:t>
      </w:r>
    </w:p>
  </w:footnote>
  <w:footnote w:id="243">
    <w:p w:rsidR="00D549BC" w:rsidRDefault="00D549BC" w:rsidP="00744548">
      <w:pPr>
        <w:pStyle w:val="FootnoteText"/>
        <w:ind w:firstLine="0"/>
      </w:pPr>
      <w:r w:rsidRPr="00744548">
        <w:rPr>
          <w:rStyle w:val="FootnoteReference"/>
          <w:rFonts w:ascii="Times New Roman" w:hAnsi="Times New Roman"/>
        </w:rPr>
        <w:footnoteRef/>
      </w:r>
      <w:r w:rsidRPr="00744548">
        <w:rPr>
          <w:rFonts w:ascii="Times New Roman" w:hAnsi="Times New Roman"/>
        </w:rPr>
        <w:t xml:space="preserve"> </w:t>
      </w:r>
      <w:r w:rsidRPr="0011226A">
        <w:rPr>
          <w:rFonts w:ascii="Times New Roman" w:hAnsi="Times New Roman"/>
          <w:b/>
        </w:rPr>
        <w:t>Art. 9º</w:t>
      </w:r>
      <w:r>
        <w:rPr>
          <w:rFonts w:ascii="Times New Roman" w:hAnsi="Times New Roman"/>
          <w:b/>
        </w:rPr>
        <w:t>.</w:t>
      </w:r>
      <w:r w:rsidRPr="0011226A">
        <w:rPr>
          <w:rFonts w:ascii="Times New Roman" w:hAnsi="Times New Roman"/>
        </w:rPr>
        <w:t xml:space="preserve"> Além do disposto no art. 8º, </w:t>
      </w:r>
      <w:r w:rsidRPr="0011226A">
        <w:rPr>
          <w:rFonts w:ascii="Times New Roman" w:hAnsi="Times New Roman"/>
          <w:i/>
        </w:rPr>
        <w:t>compete às Turmas</w:t>
      </w:r>
      <w:r w:rsidRPr="0011226A">
        <w:rPr>
          <w:rFonts w:ascii="Times New Roman" w:hAnsi="Times New Roman"/>
        </w:rPr>
        <w:t>:</w:t>
      </w:r>
      <w:r>
        <w:rPr>
          <w:rFonts w:ascii="Times New Roman" w:hAnsi="Times New Roman"/>
        </w:rPr>
        <w:t xml:space="preserve"> </w:t>
      </w:r>
      <w:r w:rsidRPr="0011226A">
        <w:rPr>
          <w:rFonts w:ascii="Times New Roman" w:hAnsi="Times New Roman"/>
          <w:b/>
        </w:rPr>
        <w:t xml:space="preserve">I </w:t>
      </w:r>
      <w:r w:rsidRPr="0011226A">
        <w:rPr>
          <w:rFonts w:ascii="Times New Roman" w:hAnsi="Times New Roman"/>
        </w:rPr>
        <w:t xml:space="preserve">– </w:t>
      </w:r>
      <w:r w:rsidRPr="0011226A">
        <w:rPr>
          <w:rFonts w:ascii="Times New Roman" w:hAnsi="Times New Roman"/>
          <w:i/>
        </w:rPr>
        <w:t>processar e julgar originariamente</w:t>
      </w:r>
      <w:r w:rsidRPr="0011226A">
        <w:rPr>
          <w:rFonts w:ascii="Times New Roman" w:hAnsi="Times New Roman"/>
        </w:rPr>
        <w:t>:</w:t>
      </w:r>
      <w:r>
        <w:rPr>
          <w:rFonts w:ascii="Times New Roman" w:hAnsi="Times New Roman"/>
        </w:rPr>
        <w:t xml:space="preserve"> </w:t>
      </w:r>
      <w:r w:rsidRPr="00744548">
        <w:rPr>
          <w:rFonts w:ascii="Times New Roman" w:hAnsi="Times New Roman"/>
          <w:i/>
        </w:rPr>
        <w:t>c) a reclamação que vise a preservar a competência do Tribunal ou a garantir a autoridade de suas decisões ou Súmulas Vinculantes</w:t>
      </w:r>
      <w:r>
        <w:rPr>
          <w:rFonts w:ascii="Times New Roman" w:hAnsi="Times New Roman"/>
        </w:rPr>
        <w:t xml:space="preserve"> (</w:t>
      </w:r>
      <w:r w:rsidRPr="00744548">
        <w:rPr>
          <w:rFonts w:ascii="Times New Roman" w:hAnsi="Times New Roman"/>
        </w:rPr>
        <w:t>Atualizado com a introduç</w:t>
      </w:r>
      <w:r>
        <w:rPr>
          <w:rFonts w:ascii="Times New Roman" w:hAnsi="Times New Roman"/>
        </w:rPr>
        <w:t>ão da Emenda Regimental 49/2014)</w:t>
      </w:r>
      <w:r w:rsidRPr="00744548">
        <w:rPr>
          <w:rFonts w:ascii="Times New Roman" w:hAnsi="Times New Roman"/>
        </w:rPr>
        <w:t>;</w:t>
      </w:r>
      <w:r>
        <w:rPr>
          <w:rFonts w:ascii="Times New Roman" w:hAnsi="Times New Roman"/>
        </w:rPr>
        <w:t xml:space="preserve"> (BRASIL. </w:t>
      </w:r>
      <w:r w:rsidRPr="000F1B73">
        <w:rPr>
          <w:rFonts w:ascii="Times New Roman" w:hAnsi="Times New Roman"/>
        </w:rPr>
        <w:t>Supremo Tribunal Federal</w:t>
      </w:r>
      <w:r>
        <w:rPr>
          <w:rFonts w:ascii="Times New Roman" w:hAnsi="Times New Roman"/>
        </w:rPr>
        <w:t xml:space="preserve">. Regimento Interno – grifos nossos). </w:t>
      </w:r>
    </w:p>
  </w:footnote>
  <w:footnote w:id="244">
    <w:p w:rsidR="00D549BC" w:rsidRDefault="00D549BC" w:rsidP="00B21359">
      <w:pPr>
        <w:pStyle w:val="FootnoteText"/>
        <w:ind w:firstLine="0"/>
      </w:pPr>
      <w:r w:rsidRPr="001F3672">
        <w:rPr>
          <w:rStyle w:val="FootnoteReference"/>
          <w:rFonts w:ascii="Times New Roman" w:hAnsi="Times New Roman"/>
        </w:rPr>
        <w:footnoteRef/>
      </w:r>
      <w:r w:rsidRPr="001F3672">
        <w:rPr>
          <w:rFonts w:ascii="Times New Roman" w:hAnsi="Times New Roman"/>
        </w:rPr>
        <w:t xml:space="preserve"> </w:t>
      </w:r>
      <w:r w:rsidRPr="0011226A">
        <w:rPr>
          <w:rFonts w:ascii="Times New Roman" w:hAnsi="Times New Roman"/>
          <w:b/>
        </w:rPr>
        <w:t>Art. 9º</w:t>
      </w:r>
      <w:r>
        <w:rPr>
          <w:rFonts w:ascii="Times New Roman" w:hAnsi="Times New Roman"/>
          <w:b/>
        </w:rPr>
        <w:t>.</w:t>
      </w:r>
      <w:r w:rsidRPr="0011226A">
        <w:rPr>
          <w:rFonts w:ascii="Times New Roman" w:hAnsi="Times New Roman"/>
        </w:rPr>
        <w:t xml:space="preserve"> Além do disposto no art. 8º, </w:t>
      </w:r>
      <w:r w:rsidRPr="0011226A">
        <w:rPr>
          <w:rFonts w:ascii="Times New Roman" w:hAnsi="Times New Roman"/>
          <w:i/>
        </w:rPr>
        <w:t>compete às Turmas</w:t>
      </w:r>
      <w:r w:rsidRPr="0011226A">
        <w:rPr>
          <w:rFonts w:ascii="Times New Roman" w:hAnsi="Times New Roman"/>
        </w:rPr>
        <w:t>:</w:t>
      </w:r>
      <w:r>
        <w:rPr>
          <w:rFonts w:ascii="Times New Roman" w:hAnsi="Times New Roman"/>
        </w:rPr>
        <w:t xml:space="preserve"> </w:t>
      </w:r>
      <w:r w:rsidRPr="0011226A">
        <w:rPr>
          <w:rFonts w:ascii="Times New Roman" w:hAnsi="Times New Roman"/>
          <w:b/>
        </w:rPr>
        <w:t xml:space="preserve">I </w:t>
      </w:r>
      <w:r w:rsidRPr="0011226A">
        <w:rPr>
          <w:rFonts w:ascii="Times New Roman" w:hAnsi="Times New Roman"/>
        </w:rPr>
        <w:t xml:space="preserve">– </w:t>
      </w:r>
      <w:r w:rsidRPr="0011226A">
        <w:rPr>
          <w:rFonts w:ascii="Times New Roman" w:hAnsi="Times New Roman"/>
          <w:i/>
        </w:rPr>
        <w:t>processar e julgar originariamente</w:t>
      </w:r>
      <w:r w:rsidRPr="0011226A">
        <w:rPr>
          <w:rFonts w:ascii="Times New Roman" w:hAnsi="Times New Roman"/>
        </w:rPr>
        <w:t>:</w:t>
      </w:r>
      <w:r>
        <w:rPr>
          <w:rFonts w:ascii="Times New Roman" w:hAnsi="Times New Roman"/>
        </w:rPr>
        <w:t xml:space="preserve"> </w:t>
      </w:r>
      <w:r w:rsidRPr="00D648CF">
        <w:rPr>
          <w:rFonts w:ascii="Times New Roman" w:hAnsi="Times New Roman"/>
          <w:i/>
        </w:rPr>
        <w:t>d) os mandados de segurança contra atos do Tribunal de Contas da União e do Procurador-Geral da República</w:t>
      </w:r>
      <w:r>
        <w:rPr>
          <w:rFonts w:ascii="Times New Roman" w:hAnsi="Times New Roman"/>
        </w:rPr>
        <w:t xml:space="preserve"> (</w:t>
      </w:r>
      <w:r w:rsidRPr="00D648CF">
        <w:rPr>
          <w:rFonts w:ascii="Times New Roman" w:hAnsi="Times New Roman"/>
        </w:rPr>
        <w:t>Atualizado com a introdução da Emenda Regimental 49/2014</w:t>
      </w:r>
      <w:r>
        <w:rPr>
          <w:rFonts w:ascii="Times New Roman" w:hAnsi="Times New Roman"/>
        </w:rPr>
        <w:t xml:space="preserve">); (BRASIL. </w:t>
      </w:r>
      <w:r w:rsidRPr="000F1B73">
        <w:rPr>
          <w:rFonts w:ascii="Times New Roman" w:hAnsi="Times New Roman"/>
        </w:rPr>
        <w:t>Supremo Tribunal Federal</w:t>
      </w:r>
      <w:r>
        <w:rPr>
          <w:rFonts w:ascii="Times New Roman" w:hAnsi="Times New Roman"/>
        </w:rPr>
        <w:t xml:space="preserve">. Regimento Interno, p. 12. Disponível em: </w:t>
      </w:r>
      <w:r w:rsidRPr="000F1B73">
        <w:rPr>
          <w:rFonts w:ascii="Times New Roman" w:hAnsi="Times New Roman"/>
        </w:rPr>
        <w:t>http://www.stf.jus.br/arquivo/cms/legislacaoRegimentoInterno/anexo/RISTF_Janeiro_2015_versao_eletronica.pdf</w:t>
      </w:r>
      <w:r>
        <w:rPr>
          <w:rFonts w:ascii="Times New Roman" w:hAnsi="Times New Roman"/>
        </w:rPr>
        <w:t xml:space="preserve">. Acesso em: 22 abr. 2015 – grifos nossos).  </w:t>
      </w:r>
    </w:p>
  </w:footnote>
  <w:footnote w:id="245">
    <w:p w:rsidR="00D549BC" w:rsidRDefault="00D549BC" w:rsidP="009B7E0E">
      <w:pPr>
        <w:pStyle w:val="FootnoteText"/>
        <w:ind w:firstLine="0"/>
      </w:pPr>
      <w:r w:rsidRPr="008B71DC">
        <w:rPr>
          <w:rStyle w:val="FootnoteReference"/>
          <w:rFonts w:ascii="Times New Roman" w:hAnsi="Times New Roman"/>
        </w:rPr>
        <w:footnoteRef/>
      </w:r>
      <w:r w:rsidRPr="008B71DC">
        <w:rPr>
          <w:rFonts w:ascii="Times New Roman" w:hAnsi="Times New Roman"/>
        </w:rPr>
        <w:t xml:space="preserve"> </w:t>
      </w:r>
      <w:r>
        <w:rPr>
          <w:rFonts w:ascii="Times New Roman" w:hAnsi="Times New Roman"/>
        </w:rPr>
        <w:t xml:space="preserve">Atualmente tais competências originárias estão divididas entre o Plenário da Corte e as Turmas, </w:t>
      </w:r>
      <w:r w:rsidRPr="008B71DC">
        <w:rPr>
          <w:rFonts w:ascii="Times New Roman" w:hAnsi="Times New Roman"/>
          <w:i/>
        </w:rPr>
        <w:t>ex vi</w:t>
      </w:r>
      <w:r>
        <w:rPr>
          <w:rFonts w:ascii="Times New Roman" w:hAnsi="Times New Roman"/>
        </w:rPr>
        <w:t xml:space="preserve"> dos artigos 5º e 9º do RISTF.  </w:t>
      </w:r>
    </w:p>
  </w:footnote>
  <w:footnote w:id="246">
    <w:p w:rsidR="00D549BC" w:rsidRDefault="00D549BC" w:rsidP="00E026BC">
      <w:pPr>
        <w:pStyle w:val="FootnoteText"/>
        <w:ind w:firstLine="0"/>
      </w:pPr>
      <w:r w:rsidRPr="00E026BC">
        <w:rPr>
          <w:rStyle w:val="FootnoteReference"/>
          <w:rFonts w:ascii="Times New Roman" w:hAnsi="Times New Roman"/>
        </w:rPr>
        <w:footnoteRef/>
      </w:r>
      <w:r w:rsidRPr="00E026BC">
        <w:rPr>
          <w:rFonts w:ascii="Times New Roman" w:hAnsi="Times New Roman"/>
        </w:rPr>
        <w:t xml:space="preserve"> </w:t>
      </w:r>
      <w:r>
        <w:rPr>
          <w:rFonts w:ascii="Times New Roman" w:hAnsi="Times New Roman"/>
        </w:rPr>
        <w:t xml:space="preserve">BARROSO. Luís Roberto. </w:t>
      </w:r>
      <w:r w:rsidRPr="00E026BC">
        <w:rPr>
          <w:rFonts w:ascii="Times New Roman" w:hAnsi="Times New Roman"/>
          <w:i/>
        </w:rPr>
        <w:t>Op. Cit</w:t>
      </w:r>
      <w:r>
        <w:rPr>
          <w:rFonts w:ascii="Times New Roman" w:hAnsi="Times New Roman"/>
          <w:i/>
        </w:rPr>
        <w:t>,</w:t>
      </w:r>
      <w:r w:rsidRPr="00E026BC">
        <w:rPr>
          <w:rFonts w:ascii="Times New Roman" w:hAnsi="Times New Roman"/>
          <w:i/>
        </w:rPr>
        <w:t>.</w:t>
      </w:r>
      <w:r>
        <w:rPr>
          <w:rFonts w:ascii="Times New Roman" w:hAnsi="Times New Roman"/>
        </w:rPr>
        <w:t xml:space="preserve"> p. 2. Disponível em: </w:t>
      </w:r>
      <w:r w:rsidRPr="00DA4C9A">
        <w:rPr>
          <w:rFonts w:ascii="Times New Roman" w:hAnsi="Times New Roman"/>
        </w:rPr>
        <w:t>http://www.conjur.com.br/2015-fev-02/ano-trouxe-mudancas-amadurecimento-supremo-tribunal-federal</w:t>
      </w:r>
      <w:r>
        <w:rPr>
          <w:rFonts w:ascii="Times New Roman" w:hAnsi="Times New Roman"/>
        </w:rPr>
        <w:t xml:space="preserve">. Acesso em: 20 abr. 2015.  </w:t>
      </w:r>
    </w:p>
  </w:footnote>
  <w:footnote w:id="247">
    <w:p w:rsidR="00D549BC" w:rsidRDefault="00D549BC" w:rsidP="00ED03D4">
      <w:pPr>
        <w:pStyle w:val="FootnoteText"/>
        <w:ind w:firstLine="0"/>
      </w:pPr>
      <w:r w:rsidRPr="00ED03D4">
        <w:rPr>
          <w:rStyle w:val="FootnoteReference"/>
          <w:rFonts w:ascii="Times New Roman" w:hAnsi="Times New Roman"/>
        </w:rPr>
        <w:footnoteRef/>
      </w:r>
      <w:r w:rsidRPr="00ED03D4">
        <w:rPr>
          <w:rFonts w:ascii="Times New Roman" w:hAnsi="Times New Roman"/>
        </w:rPr>
        <w:t xml:space="preserve"> </w:t>
      </w:r>
      <w:r>
        <w:rPr>
          <w:rFonts w:ascii="Times New Roman" w:hAnsi="Times New Roman"/>
        </w:rPr>
        <w:t xml:space="preserve">Ibid. p. 2. </w:t>
      </w:r>
    </w:p>
  </w:footnote>
  <w:footnote w:id="248">
    <w:p w:rsidR="00D549BC" w:rsidRDefault="00D549BC" w:rsidP="00EF0D93">
      <w:pPr>
        <w:pStyle w:val="FootnoteText"/>
        <w:ind w:firstLine="0"/>
      </w:pPr>
      <w:r w:rsidRPr="00EF0D93">
        <w:rPr>
          <w:rStyle w:val="FootnoteReference"/>
          <w:rFonts w:ascii="Times New Roman" w:hAnsi="Times New Roman"/>
        </w:rPr>
        <w:footnoteRef/>
      </w:r>
      <w:r w:rsidRPr="00EF0D93">
        <w:rPr>
          <w:rFonts w:ascii="Times New Roman" w:hAnsi="Times New Roman"/>
        </w:rPr>
        <w:t xml:space="preserve"> </w:t>
      </w:r>
      <w:r>
        <w:rPr>
          <w:rFonts w:ascii="Times New Roman" w:hAnsi="Times New Roman"/>
        </w:rPr>
        <w:t xml:space="preserve">BRASIL. </w:t>
      </w:r>
      <w:r w:rsidRPr="00DA4C9A">
        <w:rPr>
          <w:rFonts w:ascii="Times New Roman" w:hAnsi="Times New Roman"/>
        </w:rPr>
        <w:t>Supremo Tribunal Federal</w:t>
      </w:r>
      <w:r>
        <w:rPr>
          <w:rFonts w:ascii="Times New Roman" w:hAnsi="Times New Roman"/>
        </w:rPr>
        <w:t xml:space="preserve">. Notícias STF. Disponível em: </w:t>
      </w:r>
      <w:r w:rsidRPr="00DA4C9A">
        <w:rPr>
          <w:rFonts w:ascii="Times New Roman" w:hAnsi="Times New Roman"/>
        </w:rPr>
        <w:t>http://www.stf.jus.br/arquivo/cms/noticiaNoticiaStf/anexo/relatorio.pdf</w:t>
      </w:r>
      <w:r>
        <w:rPr>
          <w:rFonts w:ascii="Times New Roman" w:hAnsi="Times New Roman"/>
        </w:rPr>
        <w:t xml:space="preserve">. Acesso em: 1º maio 2015.   </w:t>
      </w:r>
    </w:p>
  </w:footnote>
  <w:footnote w:id="249">
    <w:p w:rsidR="00D549BC" w:rsidRDefault="00D549BC" w:rsidP="00486F40">
      <w:pPr>
        <w:pStyle w:val="FootnoteText"/>
        <w:ind w:firstLine="0"/>
      </w:pPr>
      <w:r w:rsidRPr="00486F40">
        <w:rPr>
          <w:rStyle w:val="FootnoteReference"/>
          <w:rFonts w:ascii="Times New Roman" w:hAnsi="Times New Roman"/>
        </w:rPr>
        <w:footnoteRef/>
      </w:r>
      <w:r w:rsidRPr="00486F40">
        <w:rPr>
          <w:rFonts w:ascii="Times New Roman" w:hAnsi="Times New Roman"/>
        </w:rPr>
        <w:t xml:space="preserve"> </w:t>
      </w:r>
      <w:r>
        <w:rPr>
          <w:rFonts w:ascii="Times New Roman" w:hAnsi="Times New Roman"/>
        </w:rPr>
        <w:t xml:space="preserve">O </w:t>
      </w:r>
      <w:r w:rsidRPr="00486F40">
        <w:rPr>
          <w:rFonts w:ascii="Times New Roman" w:hAnsi="Times New Roman"/>
          <w:i/>
        </w:rPr>
        <w:t>leading case</w:t>
      </w:r>
      <w:r>
        <w:rPr>
          <w:rFonts w:ascii="Times New Roman" w:hAnsi="Times New Roman"/>
        </w:rPr>
        <w:t xml:space="preserve"> do Tema nº 1 é o RE 559.937/RS. Consulta processual disponível em: </w:t>
      </w:r>
      <w:r w:rsidRPr="00DF03B2">
        <w:rPr>
          <w:rFonts w:ascii="Times New Roman" w:hAnsi="Times New Roman"/>
        </w:rPr>
        <w:t>http://www.stf.jus.br/portal/processo/verProcessoAndamento.asp?incidente=2549049</w:t>
      </w:r>
      <w:r>
        <w:rPr>
          <w:rFonts w:ascii="Times New Roman" w:hAnsi="Times New Roman"/>
        </w:rPr>
        <w:t xml:space="preserve">. Acesso em: 1º maio 2015.  </w:t>
      </w:r>
    </w:p>
  </w:footnote>
  <w:footnote w:id="250">
    <w:p w:rsidR="00D549BC" w:rsidRDefault="00D549BC" w:rsidP="00C659DA">
      <w:pPr>
        <w:pStyle w:val="FootnoteText"/>
        <w:ind w:firstLine="0"/>
      </w:pPr>
      <w:r w:rsidRPr="00C659DA">
        <w:rPr>
          <w:rStyle w:val="FootnoteReference"/>
          <w:rFonts w:ascii="Times New Roman" w:hAnsi="Times New Roman"/>
        </w:rPr>
        <w:footnoteRef/>
      </w:r>
      <w:r w:rsidRPr="00C659DA">
        <w:rPr>
          <w:rFonts w:ascii="Times New Roman" w:hAnsi="Times New Roman"/>
        </w:rPr>
        <w:t xml:space="preserve"> </w:t>
      </w:r>
      <w:r>
        <w:rPr>
          <w:rFonts w:ascii="Times New Roman" w:hAnsi="Times New Roman"/>
        </w:rPr>
        <w:t xml:space="preserve">BRASIL. </w:t>
      </w:r>
      <w:r w:rsidRPr="00DF03B2">
        <w:rPr>
          <w:rFonts w:ascii="Times New Roman" w:hAnsi="Times New Roman"/>
        </w:rPr>
        <w:t>Supremo Tribunal Federal</w:t>
      </w:r>
      <w:r>
        <w:rPr>
          <w:rFonts w:ascii="Times New Roman" w:hAnsi="Times New Roman"/>
        </w:rPr>
        <w:t xml:space="preserve">. Notícias STF. Disponível em: </w:t>
      </w:r>
      <w:r w:rsidRPr="00DF03B2">
        <w:rPr>
          <w:rFonts w:ascii="Times New Roman" w:hAnsi="Times New Roman"/>
        </w:rPr>
        <w:t>http://www.stf.jus.br/portal/cms/verNoticiaDetalhe.asp?idConteudo=272449</w:t>
      </w:r>
      <w:r>
        <w:rPr>
          <w:rStyle w:val="Hyperlink"/>
          <w:rFonts w:ascii="Times New Roman" w:hAnsi="Times New Roman"/>
          <w:color w:val="000000"/>
          <w:u w:val="none"/>
        </w:rPr>
        <w:t>.</w:t>
      </w:r>
      <w:r w:rsidRPr="00DF6112">
        <w:rPr>
          <w:rStyle w:val="Hyperlink"/>
          <w:rFonts w:ascii="Times New Roman" w:hAnsi="Times New Roman"/>
          <w:color w:val="000000"/>
          <w:u w:val="none"/>
        </w:rPr>
        <w:t xml:space="preserve"> Acesso em</w:t>
      </w:r>
      <w:r>
        <w:rPr>
          <w:rStyle w:val="Hyperlink"/>
          <w:rFonts w:ascii="Times New Roman" w:hAnsi="Times New Roman"/>
          <w:color w:val="000000"/>
          <w:u w:val="none"/>
        </w:rPr>
        <w:t>:</w:t>
      </w:r>
      <w:r w:rsidRPr="00DF6112">
        <w:rPr>
          <w:rStyle w:val="Hyperlink"/>
          <w:rFonts w:ascii="Times New Roman" w:hAnsi="Times New Roman"/>
          <w:color w:val="000000"/>
          <w:u w:val="none"/>
        </w:rPr>
        <w:t xml:space="preserve"> </w:t>
      </w:r>
      <w:r>
        <w:rPr>
          <w:rStyle w:val="Hyperlink"/>
          <w:rFonts w:ascii="Times New Roman" w:hAnsi="Times New Roman"/>
          <w:color w:val="000000"/>
          <w:u w:val="none"/>
        </w:rPr>
        <w:t>1º</w:t>
      </w:r>
      <w:r w:rsidRPr="00DF6112">
        <w:rPr>
          <w:rStyle w:val="Hyperlink"/>
          <w:rFonts w:ascii="Times New Roman" w:hAnsi="Times New Roman"/>
          <w:color w:val="000000"/>
          <w:u w:val="none"/>
        </w:rPr>
        <w:t xml:space="preserve"> </w:t>
      </w:r>
      <w:r>
        <w:rPr>
          <w:rStyle w:val="Hyperlink"/>
          <w:rFonts w:ascii="Times New Roman" w:hAnsi="Times New Roman"/>
          <w:color w:val="000000"/>
          <w:u w:val="none"/>
        </w:rPr>
        <w:t>maio</w:t>
      </w:r>
      <w:r w:rsidRPr="00DF6112">
        <w:rPr>
          <w:rStyle w:val="Hyperlink"/>
          <w:rFonts w:ascii="Times New Roman" w:hAnsi="Times New Roman"/>
          <w:color w:val="000000"/>
          <w:u w:val="none"/>
        </w:rPr>
        <w:t xml:space="preserve"> 201</w:t>
      </w:r>
      <w:r>
        <w:rPr>
          <w:rStyle w:val="Hyperlink"/>
          <w:rFonts w:ascii="Times New Roman" w:hAnsi="Times New Roman"/>
          <w:color w:val="000000"/>
          <w:u w:val="none"/>
        </w:rPr>
        <w:t>5</w:t>
      </w:r>
      <w:r w:rsidRPr="00DF6112">
        <w:rPr>
          <w:rStyle w:val="Hyperlink"/>
          <w:rFonts w:ascii="Times New Roman" w:hAnsi="Times New Roman"/>
          <w:color w:val="000000"/>
          <w:u w:val="none"/>
        </w:rPr>
        <w:t>.</w:t>
      </w:r>
      <w:r>
        <w:rPr>
          <w:rStyle w:val="Hyperlink"/>
          <w:rFonts w:ascii="Times New Roman" w:hAnsi="Times New Roman"/>
          <w:color w:val="000000"/>
          <w:u w:val="none"/>
        </w:rPr>
        <w:t xml:space="preserve"> </w:t>
      </w:r>
    </w:p>
  </w:footnote>
  <w:footnote w:id="251">
    <w:p w:rsidR="00D549BC" w:rsidRDefault="00D549BC" w:rsidP="0060095A">
      <w:pPr>
        <w:pStyle w:val="FootnoteText"/>
        <w:ind w:firstLine="0"/>
      </w:pPr>
      <w:r w:rsidRPr="0060095A">
        <w:rPr>
          <w:rStyle w:val="FootnoteReference"/>
          <w:rFonts w:ascii="Times New Roman" w:hAnsi="Times New Roman"/>
        </w:rPr>
        <w:footnoteRef/>
      </w:r>
      <w:r>
        <w:rPr>
          <w:rFonts w:ascii="Times New Roman" w:hAnsi="Times New Roman"/>
        </w:rPr>
        <w:t xml:space="preserve"> Ibid. </w:t>
      </w:r>
    </w:p>
  </w:footnote>
  <w:footnote w:id="252">
    <w:p w:rsidR="00D549BC" w:rsidRDefault="00D549BC" w:rsidP="00731453">
      <w:pPr>
        <w:pStyle w:val="FootnoteText"/>
        <w:ind w:firstLine="0"/>
      </w:pPr>
      <w:r w:rsidRPr="00731453">
        <w:rPr>
          <w:rStyle w:val="FootnoteReference"/>
          <w:rFonts w:ascii="Times New Roman" w:hAnsi="Times New Roman"/>
        </w:rPr>
        <w:footnoteRef/>
      </w:r>
      <w:r w:rsidRPr="00731453">
        <w:rPr>
          <w:rFonts w:ascii="Times New Roman" w:hAnsi="Times New Roman"/>
        </w:rPr>
        <w:t xml:space="preserve"> </w:t>
      </w:r>
      <w:r>
        <w:rPr>
          <w:rFonts w:ascii="Times New Roman" w:hAnsi="Times New Roman"/>
        </w:rPr>
        <w:t xml:space="preserve">Ibid., p. 4. </w:t>
      </w:r>
    </w:p>
  </w:footnote>
  <w:footnote w:id="253">
    <w:p w:rsidR="00D549BC" w:rsidRDefault="00D549BC" w:rsidP="00AD3218">
      <w:pPr>
        <w:pStyle w:val="FootnoteText"/>
        <w:ind w:firstLine="0"/>
      </w:pPr>
      <w:r w:rsidRPr="00AD3218">
        <w:rPr>
          <w:rStyle w:val="FootnoteReference"/>
          <w:rFonts w:ascii="Times New Roman" w:hAnsi="Times New Roman"/>
        </w:rPr>
        <w:footnoteRef/>
      </w:r>
      <w:r>
        <w:rPr>
          <w:rFonts w:ascii="Times New Roman" w:hAnsi="Times New Roman"/>
        </w:rPr>
        <w:t xml:space="preserve"> BRASIL. </w:t>
      </w:r>
      <w:r w:rsidRPr="00DF03B2">
        <w:rPr>
          <w:rFonts w:ascii="Times New Roman" w:hAnsi="Times New Roman"/>
        </w:rPr>
        <w:t>Supremo Tribunal Federal</w:t>
      </w:r>
      <w:r>
        <w:rPr>
          <w:rFonts w:ascii="Times New Roman" w:hAnsi="Times New Roman"/>
        </w:rPr>
        <w:t xml:space="preserve">. Resolução </w:t>
      </w:r>
      <w:r w:rsidRPr="000B2C1D">
        <w:rPr>
          <w:rFonts w:ascii="Times New Roman" w:hAnsi="Times New Roman"/>
        </w:rPr>
        <w:t>nº 536, de 16 de outubro de 2014</w:t>
      </w:r>
      <w:r>
        <w:rPr>
          <w:rFonts w:ascii="Times New Roman" w:hAnsi="Times New Roman"/>
        </w:rPr>
        <w:t xml:space="preserve">. Disponível em: </w:t>
      </w:r>
      <w:r w:rsidRPr="00DF03B2">
        <w:rPr>
          <w:rFonts w:ascii="Times New Roman" w:hAnsi="Times New Roman"/>
        </w:rPr>
        <w:t>http://www.stf.jus.br/portal/atoNormativo/verAtoNormativo.asp?documento=2385</w:t>
      </w:r>
      <w:r>
        <w:rPr>
          <w:rFonts w:ascii="Times New Roman" w:hAnsi="Times New Roman"/>
        </w:rPr>
        <w:t xml:space="preserve">. Acesso em: 2 maio 2015. </w:t>
      </w:r>
    </w:p>
  </w:footnote>
  <w:footnote w:id="254">
    <w:p w:rsidR="00D549BC" w:rsidRDefault="00D549BC" w:rsidP="000B2C1D">
      <w:pPr>
        <w:pStyle w:val="FootnoteText"/>
        <w:ind w:firstLine="0"/>
      </w:pPr>
      <w:r w:rsidRPr="000B2C1D">
        <w:rPr>
          <w:rStyle w:val="FootnoteReference"/>
          <w:rFonts w:ascii="Times New Roman" w:hAnsi="Times New Roman"/>
        </w:rPr>
        <w:footnoteRef/>
      </w:r>
      <w:r w:rsidRPr="000B2C1D">
        <w:rPr>
          <w:rFonts w:ascii="Times New Roman" w:hAnsi="Times New Roman"/>
        </w:rPr>
        <w:t xml:space="preserve"> </w:t>
      </w:r>
      <w:r w:rsidRPr="000B2C1D">
        <w:rPr>
          <w:rFonts w:ascii="Times New Roman" w:hAnsi="Times New Roman"/>
          <w:b/>
        </w:rPr>
        <w:t>Art. 95.</w:t>
      </w:r>
      <w:r w:rsidRPr="000B2C1D">
        <w:rPr>
          <w:rFonts w:ascii="Times New Roman" w:hAnsi="Times New Roman"/>
        </w:rPr>
        <w:t xml:space="preserve"> A publicação do acórdão, por suas conclusões e ementa, far-se-á, para</w:t>
      </w:r>
      <w:r>
        <w:rPr>
          <w:rFonts w:ascii="Times New Roman" w:hAnsi="Times New Roman"/>
        </w:rPr>
        <w:t xml:space="preserve"> </w:t>
      </w:r>
      <w:r w:rsidRPr="000B2C1D">
        <w:rPr>
          <w:rFonts w:ascii="Times New Roman" w:hAnsi="Times New Roman"/>
        </w:rPr>
        <w:t>todos os efeitos, no Diário da Justiça.</w:t>
      </w:r>
      <w:r>
        <w:rPr>
          <w:rFonts w:ascii="Times New Roman" w:hAnsi="Times New Roman"/>
        </w:rPr>
        <w:t xml:space="preserve"> </w:t>
      </w:r>
      <w:r w:rsidRPr="000B2C1D">
        <w:rPr>
          <w:rFonts w:ascii="Times New Roman" w:hAnsi="Times New Roman"/>
          <w:b/>
        </w:rPr>
        <w:t>Parágrafo único.</w:t>
      </w:r>
      <w:r w:rsidRPr="000B2C1D">
        <w:rPr>
          <w:rFonts w:ascii="Times New Roman" w:hAnsi="Times New Roman"/>
        </w:rPr>
        <w:t xml:space="preserve"> </w:t>
      </w:r>
      <w:r w:rsidRPr="000B2C1D">
        <w:rPr>
          <w:rFonts w:ascii="Times New Roman" w:hAnsi="Times New Roman"/>
          <w:i/>
        </w:rPr>
        <w:t>Salvo motivo justificado, a publicação no Diário da Justiça far-se-á dentro do prazo de sessenta dias, a partir da sessão em que tenha sido proclamado o resultado do julgamento</w:t>
      </w:r>
      <w:r w:rsidRPr="000B2C1D">
        <w:rPr>
          <w:rFonts w:ascii="Times New Roman" w:hAnsi="Times New Roman"/>
        </w:rPr>
        <w:t>.</w:t>
      </w:r>
      <w:r>
        <w:rPr>
          <w:rFonts w:ascii="Times New Roman" w:hAnsi="Times New Roman"/>
        </w:rPr>
        <w:t xml:space="preserve"> (BRASIL. </w:t>
      </w:r>
      <w:r w:rsidRPr="00A14E7E">
        <w:rPr>
          <w:rFonts w:ascii="Times New Roman" w:hAnsi="Times New Roman"/>
        </w:rPr>
        <w:t>Supremo Tribunal Federal</w:t>
      </w:r>
      <w:r>
        <w:rPr>
          <w:rFonts w:ascii="Times New Roman" w:hAnsi="Times New Roman"/>
        </w:rPr>
        <w:t xml:space="preserve">. Regimento Interno, p. 70-71. Grifos nossos.) </w:t>
      </w:r>
    </w:p>
  </w:footnote>
  <w:footnote w:id="255">
    <w:p w:rsidR="00D549BC" w:rsidRDefault="00D549BC" w:rsidP="000B2C1D">
      <w:pPr>
        <w:pStyle w:val="FootnoteText"/>
        <w:ind w:firstLine="0"/>
      </w:pPr>
      <w:r w:rsidRPr="000B2C1D">
        <w:rPr>
          <w:rStyle w:val="FootnoteReference"/>
          <w:rFonts w:ascii="Times New Roman" w:hAnsi="Times New Roman"/>
        </w:rPr>
        <w:footnoteRef/>
      </w:r>
      <w:r w:rsidRPr="000B2C1D">
        <w:rPr>
          <w:rFonts w:ascii="Times New Roman" w:hAnsi="Times New Roman"/>
        </w:rPr>
        <w:t xml:space="preserve"> </w:t>
      </w:r>
      <w:r w:rsidRPr="000B2C1D">
        <w:rPr>
          <w:rFonts w:ascii="Times New Roman" w:hAnsi="Times New Roman"/>
          <w:b/>
        </w:rPr>
        <w:t>Art. 3º</w:t>
      </w:r>
      <w:r w:rsidRPr="000B2C1D">
        <w:rPr>
          <w:rFonts w:ascii="Times New Roman" w:hAnsi="Times New Roman"/>
        </w:rPr>
        <w:t xml:space="preserve"> </w:t>
      </w:r>
      <w:r w:rsidRPr="000B2C1D">
        <w:rPr>
          <w:rFonts w:ascii="Times New Roman" w:hAnsi="Times New Roman"/>
          <w:i/>
        </w:rPr>
        <w:t>Na hipótese de não ser possível cumprir o prazo estabelecido no Regimento Interno, os Gabinetes de Ministros poderão requerer à Presidência, justificadamente, a sua prorrogação por sessenta dias</w:t>
      </w:r>
      <w:r w:rsidRPr="000B2C1D">
        <w:rPr>
          <w:rFonts w:ascii="Times New Roman" w:hAnsi="Times New Roman"/>
        </w:rPr>
        <w:t>.</w:t>
      </w:r>
      <w:r>
        <w:rPr>
          <w:rFonts w:ascii="Times New Roman" w:hAnsi="Times New Roman"/>
        </w:rPr>
        <w:t xml:space="preserve"> </w:t>
      </w:r>
      <w:r w:rsidRPr="000B2C1D">
        <w:rPr>
          <w:rFonts w:ascii="Times New Roman" w:hAnsi="Times New Roman"/>
          <w:b/>
        </w:rPr>
        <w:t>Parágrafo único.</w:t>
      </w:r>
      <w:r w:rsidRPr="000B2C1D">
        <w:rPr>
          <w:rFonts w:ascii="Times New Roman" w:hAnsi="Times New Roman"/>
        </w:rPr>
        <w:t xml:space="preserve"> Exaurido o novo prazo, os Gabinetes de Ministros</w:t>
      </w:r>
      <w:r>
        <w:rPr>
          <w:rFonts w:ascii="Times New Roman" w:hAnsi="Times New Roman"/>
        </w:rPr>
        <w:t xml:space="preserve"> </w:t>
      </w:r>
      <w:r w:rsidRPr="000B2C1D">
        <w:rPr>
          <w:rFonts w:ascii="Times New Roman" w:hAnsi="Times New Roman"/>
        </w:rPr>
        <w:t>poderão solicitar outra prorrogação</w:t>
      </w:r>
      <w:r>
        <w:rPr>
          <w:rFonts w:ascii="Times New Roman" w:hAnsi="Times New Roman"/>
        </w:rPr>
        <w:t xml:space="preserve">, nos mesmos moldes da anterior (BRASIL. </w:t>
      </w:r>
      <w:r w:rsidRPr="00A14E7E">
        <w:rPr>
          <w:rFonts w:ascii="Times New Roman" w:hAnsi="Times New Roman"/>
        </w:rPr>
        <w:t>Supremo Tribunal Federal</w:t>
      </w:r>
      <w:r>
        <w:rPr>
          <w:rFonts w:ascii="Times New Roman" w:hAnsi="Times New Roman"/>
        </w:rPr>
        <w:t xml:space="preserve">. Resolução </w:t>
      </w:r>
      <w:r w:rsidRPr="000B2C1D">
        <w:rPr>
          <w:rFonts w:ascii="Times New Roman" w:hAnsi="Times New Roman"/>
        </w:rPr>
        <w:t>nº 536, de 16 de outubro de 2014</w:t>
      </w:r>
      <w:r>
        <w:rPr>
          <w:rFonts w:ascii="Times New Roman" w:hAnsi="Times New Roman"/>
        </w:rPr>
        <w:t>. Grifos nossos.)</w:t>
      </w:r>
    </w:p>
  </w:footnote>
  <w:footnote w:id="256">
    <w:p w:rsidR="00D549BC" w:rsidRDefault="00D549BC" w:rsidP="00DF7764">
      <w:pPr>
        <w:pStyle w:val="FootnoteText"/>
        <w:ind w:firstLine="0"/>
      </w:pPr>
      <w:r w:rsidRPr="00DF7764">
        <w:rPr>
          <w:rStyle w:val="FootnoteReference"/>
          <w:rFonts w:ascii="Times New Roman" w:hAnsi="Times New Roman"/>
        </w:rPr>
        <w:footnoteRef/>
      </w:r>
      <w:r>
        <w:rPr>
          <w:rFonts w:ascii="Times New Roman" w:hAnsi="Times New Roman"/>
        </w:rPr>
        <w:t xml:space="preserve"> BRASIL. </w:t>
      </w:r>
      <w:r w:rsidRPr="00A14E7E">
        <w:rPr>
          <w:rFonts w:ascii="Times New Roman" w:hAnsi="Times New Roman"/>
        </w:rPr>
        <w:t>Supremo Tribunal Federal</w:t>
      </w:r>
      <w:r>
        <w:rPr>
          <w:rFonts w:ascii="Times New Roman" w:hAnsi="Times New Roman"/>
        </w:rPr>
        <w:t xml:space="preserve">. Resolução </w:t>
      </w:r>
      <w:r w:rsidRPr="000B2C1D">
        <w:rPr>
          <w:rFonts w:ascii="Times New Roman" w:hAnsi="Times New Roman"/>
        </w:rPr>
        <w:t>nº 536, de 16 de outubro de 2014</w:t>
      </w:r>
      <w:r>
        <w:rPr>
          <w:rFonts w:ascii="Times New Roman" w:hAnsi="Times New Roman"/>
        </w:rPr>
        <w:t xml:space="preserve">. Disponível em: </w:t>
      </w:r>
      <w:r w:rsidRPr="00A14E7E">
        <w:rPr>
          <w:rFonts w:ascii="Times New Roman" w:hAnsi="Times New Roman"/>
        </w:rPr>
        <w:t>http://www.stf.jus.br/portal/atoNormativo/verAtoNormativo.asp?documento=2385</w:t>
      </w:r>
      <w:r>
        <w:rPr>
          <w:rFonts w:ascii="Times New Roman" w:hAnsi="Times New Roman"/>
        </w:rPr>
        <w:t xml:space="preserve">. Acesso em: 2 maio 2015. </w:t>
      </w:r>
    </w:p>
  </w:footnote>
  <w:footnote w:id="257">
    <w:p w:rsidR="00D549BC" w:rsidRDefault="00D549BC" w:rsidP="00EE2ACE">
      <w:pPr>
        <w:pStyle w:val="FootnoteText"/>
        <w:ind w:firstLine="0"/>
      </w:pPr>
      <w:r w:rsidRPr="00EE2ACE">
        <w:rPr>
          <w:rStyle w:val="FootnoteReference"/>
          <w:rFonts w:ascii="Times New Roman" w:hAnsi="Times New Roman"/>
        </w:rPr>
        <w:footnoteRef/>
      </w:r>
      <w:r>
        <w:rPr>
          <w:rFonts w:ascii="Times New Roman" w:hAnsi="Times New Roman"/>
        </w:rPr>
        <w:t xml:space="preserve"> BRASIL. </w:t>
      </w:r>
      <w:r w:rsidRPr="00A14E7E">
        <w:rPr>
          <w:rFonts w:ascii="Times New Roman" w:hAnsi="Times New Roman"/>
        </w:rPr>
        <w:t>Supremo Tribunal Federal</w:t>
      </w:r>
      <w:r>
        <w:rPr>
          <w:rFonts w:ascii="Times New Roman" w:hAnsi="Times New Roman"/>
        </w:rPr>
        <w:t xml:space="preserve">. Notícias STF. Disponível em: </w:t>
      </w:r>
      <w:r w:rsidRPr="00A14E7E">
        <w:rPr>
          <w:rFonts w:ascii="Times New Roman" w:hAnsi="Times New Roman"/>
        </w:rPr>
        <w:t>http://www.stf.jus.br/arquivo/cms/noticiaNoticiaStf/anexo/relatorio.pdf</w:t>
      </w:r>
      <w:r>
        <w:rPr>
          <w:rFonts w:ascii="Times New Roman" w:hAnsi="Times New Roman"/>
        </w:rPr>
        <w:t xml:space="preserve">. Acesso em: 1º maio 2015. </w:t>
      </w:r>
    </w:p>
  </w:footnote>
  <w:footnote w:id="258">
    <w:p w:rsidR="00D549BC" w:rsidRDefault="00D549BC" w:rsidP="007E3C05">
      <w:pPr>
        <w:pStyle w:val="FootnoteText"/>
        <w:ind w:firstLine="0"/>
      </w:pPr>
      <w:r w:rsidRPr="007E3C05">
        <w:rPr>
          <w:rStyle w:val="FootnoteReference"/>
          <w:rFonts w:ascii="Times New Roman" w:hAnsi="Times New Roman"/>
        </w:rPr>
        <w:footnoteRef/>
      </w:r>
      <w:r w:rsidRPr="00301D49">
        <w:rPr>
          <w:rFonts w:ascii="Times New Roman" w:hAnsi="Times New Roman"/>
          <w:lang w:val="en-US"/>
        </w:rPr>
        <w:t xml:space="preserve"> Ibid.</w:t>
      </w:r>
      <w:r>
        <w:rPr>
          <w:rFonts w:ascii="Times New Roman" w:hAnsi="Times New Roman"/>
          <w:lang w:val="en-US"/>
        </w:rPr>
        <w:t>,</w:t>
      </w:r>
      <w:r w:rsidRPr="00301D49">
        <w:rPr>
          <w:rFonts w:ascii="Times New Roman" w:hAnsi="Times New Roman"/>
          <w:lang w:val="en-US"/>
        </w:rPr>
        <w:t xml:space="preserve"> p. 4. </w:t>
      </w:r>
    </w:p>
  </w:footnote>
  <w:footnote w:id="259">
    <w:p w:rsidR="00D549BC" w:rsidRDefault="00D549BC" w:rsidP="00945792">
      <w:pPr>
        <w:pStyle w:val="FootnoteText"/>
        <w:ind w:firstLine="0"/>
      </w:pPr>
      <w:r w:rsidRPr="00945792">
        <w:rPr>
          <w:rStyle w:val="FootnoteReference"/>
          <w:rFonts w:ascii="Times New Roman" w:hAnsi="Times New Roman"/>
        </w:rPr>
        <w:footnoteRef/>
      </w:r>
      <w:r w:rsidRPr="00301D49">
        <w:rPr>
          <w:rFonts w:ascii="Times New Roman" w:hAnsi="Times New Roman"/>
          <w:lang w:val="en-US"/>
        </w:rPr>
        <w:t xml:space="preserve"> Ibid.</w:t>
      </w:r>
      <w:r>
        <w:rPr>
          <w:rFonts w:ascii="Times New Roman" w:hAnsi="Times New Roman"/>
          <w:lang w:val="en-US"/>
        </w:rPr>
        <w:t>,</w:t>
      </w:r>
      <w:r w:rsidRPr="00301D49">
        <w:rPr>
          <w:rFonts w:ascii="Times New Roman" w:hAnsi="Times New Roman"/>
          <w:lang w:val="en-US"/>
        </w:rPr>
        <w:t xml:space="preserve"> p. 3. </w:t>
      </w:r>
    </w:p>
  </w:footnote>
  <w:footnote w:id="260">
    <w:p w:rsidR="00D549BC" w:rsidRDefault="00D549BC" w:rsidP="005B2E38">
      <w:pPr>
        <w:pStyle w:val="FootnoteText"/>
        <w:ind w:firstLine="0"/>
      </w:pPr>
      <w:r w:rsidRPr="005B2E38">
        <w:rPr>
          <w:rStyle w:val="FootnoteReference"/>
          <w:rFonts w:ascii="Times New Roman" w:hAnsi="Times New Roman"/>
        </w:rPr>
        <w:footnoteRef/>
      </w:r>
      <w:r w:rsidRPr="00301D49">
        <w:rPr>
          <w:rFonts w:ascii="Times New Roman" w:hAnsi="Times New Roman"/>
          <w:lang w:val="en-US"/>
        </w:rPr>
        <w:t xml:space="preserve"> </w:t>
      </w:r>
      <w:r w:rsidRPr="0004370E">
        <w:rPr>
          <w:rFonts w:ascii="Times New Roman" w:hAnsi="Times New Roman"/>
          <w:b/>
          <w:lang w:val="en-US"/>
        </w:rPr>
        <w:t>Art. 103-A.</w:t>
      </w:r>
      <w:r w:rsidRPr="00301D49">
        <w:rPr>
          <w:rFonts w:ascii="Times New Roman" w:hAnsi="Times New Roman"/>
          <w:lang w:val="en-US"/>
        </w:rPr>
        <w:t xml:space="preserve"> </w:t>
      </w:r>
      <w:r w:rsidRPr="005B2E38">
        <w:rPr>
          <w:rFonts w:ascii="Times New Roman" w:hAnsi="Times New Roman"/>
        </w:rPr>
        <w:t xml:space="preserve">O Supremo Tribunal Federal poderá, de ofício ou por provocação, mediante decisão de dois terços dos seus membros, após reiteradas decisões sobre matéria constitucional, </w:t>
      </w:r>
      <w:r w:rsidRPr="005B2E38">
        <w:rPr>
          <w:rFonts w:ascii="Times New Roman" w:hAnsi="Times New Roman"/>
          <w:i/>
        </w:rPr>
        <w:t>aprovar súmula que, a partir de sua publicação na imprensa oficial, terá efeito vinculante em relação aos demais órgãos do Poder Judiciário e à administração pública direta e indireta, nas esferas federal, estadual e municipal, bem como proceder à sua revisão ou cancelamento, na forma estabelecida em lei</w:t>
      </w:r>
      <w:r w:rsidRPr="005B2E38">
        <w:rPr>
          <w:rFonts w:ascii="Times New Roman" w:hAnsi="Times New Roman"/>
        </w:rPr>
        <w:t>.</w:t>
      </w:r>
      <w:r>
        <w:rPr>
          <w:rFonts w:ascii="Times New Roman" w:hAnsi="Times New Roman"/>
        </w:rPr>
        <w:t xml:space="preserve"> (BRASIL. </w:t>
      </w:r>
      <w:r w:rsidRPr="00102415">
        <w:rPr>
          <w:rFonts w:ascii="Times New Roman" w:hAnsi="Times New Roman"/>
        </w:rPr>
        <w:t>Planalto</w:t>
      </w:r>
      <w:r>
        <w:rPr>
          <w:rFonts w:ascii="Times New Roman" w:hAnsi="Times New Roman"/>
        </w:rPr>
        <w:t>. Constituição da República Federativa do Brasil de 1988 – grifos nossos).</w:t>
      </w:r>
    </w:p>
  </w:footnote>
  <w:footnote w:id="261">
    <w:p w:rsidR="00D549BC" w:rsidRDefault="00D549BC" w:rsidP="001B2D59">
      <w:pPr>
        <w:pStyle w:val="FootnoteText"/>
        <w:ind w:firstLine="0"/>
      </w:pPr>
      <w:r w:rsidRPr="001B2D59">
        <w:rPr>
          <w:rStyle w:val="FootnoteReference"/>
          <w:rFonts w:ascii="Times New Roman" w:hAnsi="Times New Roman"/>
        </w:rPr>
        <w:footnoteRef/>
      </w:r>
      <w:r w:rsidRPr="00E93F5F">
        <w:rPr>
          <w:rFonts w:ascii="Times New Roman" w:hAnsi="Times New Roman"/>
        </w:rPr>
        <w:t xml:space="preserve"> Rcl. 18.099 ED/SP - Emb. </w:t>
      </w:r>
      <w:r w:rsidRPr="001B2D59">
        <w:rPr>
          <w:rFonts w:ascii="Times New Roman" w:hAnsi="Times New Roman"/>
        </w:rPr>
        <w:t>Decl. na Reclamação</w:t>
      </w:r>
      <w:r>
        <w:rPr>
          <w:rFonts w:ascii="Times New Roman" w:hAnsi="Times New Roman"/>
        </w:rPr>
        <w:t xml:space="preserve">. </w:t>
      </w:r>
      <w:r w:rsidRPr="001B2D59">
        <w:rPr>
          <w:rFonts w:ascii="Times New Roman" w:hAnsi="Times New Roman"/>
        </w:rPr>
        <w:t>Relator:  Min. Luiz Fux</w:t>
      </w:r>
      <w:r>
        <w:rPr>
          <w:rFonts w:ascii="Times New Roman" w:hAnsi="Times New Roman"/>
        </w:rPr>
        <w:t xml:space="preserve">. </w:t>
      </w:r>
      <w:r w:rsidRPr="001B2D59">
        <w:rPr>
          <w:rFonts w:ascii="Times New Roman" w:hAnsi="Times New Roman"/>
        </w:rPr>
        <w:t>Julgamento:  24/02/2015</w:t>
      </w:r>
      <w:r>
        <w:rPr>
          <w:rFonts w:ascii="Times New Roman" w:hAnsi="Times New Roman"/>
        </w:rPr>
        <w:t>. DJe: 19.03.2015. Ementa: E</w:t>
      </w:r>
      <w:r w:rsidRPr="001B2D59">
        <w:rPr>
          <w:rFonts w:ascii="Times New Roman" w:hAnsi="Times New Roman"/>
        </w:rPr>
        <w:t xml:space="preserve">mbargos de </w:t>
      </w:r>
      <w:r>
        <w:rPr>
          <w:rFonts w:ascii="Times New Roman" w:hAnsi="Times New Roman"/>
        </w:rPr>
        <w:t>D</w:t>
      </w:r>
      <w:r w:rsidRPr="001B2D59">
        <w:rPr>
          <w:rFonts w:ascii="Times New Roman" w:hAnsi="Times New Roman"/>
        </w:rPr>
        <w:t xml:space="preserve">eclaração na Reclamação. Conversão em agravo regimental. Falência e </w:t>
      </w:r>
      <w:r>
        <w:rPr>
          <w:rFonts w:ascii="Times New Roman" w:hAnsi="Times New Roman"/>
        </w:rPr>
        <w:t>Recuperação J</w:t>
      </w:r>
      <w:r w:rsidRPr="001B2D59">
        <w:rPr>
          <w:rFonts w:ascii="Times New Roman" w:hAnsi="Times New Roman"/>
        </w:rPr>
        <w:t>udicial. Competência. Alegado de</w:t>
      </w:r>
      <w:r>
        <w:rPr>
          <w:rFonts w:ascii="Times New Roman" w:hAnsi="Times New Roman"/>
        </w:rPr>
        <w:t>scumprimento de decisões desta S</w:t>
      </w:r>
      <w:r w:rsidRPr="001B2D59">
        <w:rPr>
          <w:rFonts w:ascii="Times New Roman" w:hAnsi="Times New Roman"/>
        </w:rPr>
        <w:t xml:space="preserve">uprema </w:t>
      </w:r>
      <w:r>
        <w:rPr>
          <w:rFonts w:ascii="Times New Roman" w:hAnsi="Times New Roman"/>
        </w:rPr>
        <w:t>C</w:t>
      </w:r>
      <w:r w:rsidRPr="001B2D59">
        <w:rPr>
          <w:rFonts w:ascii="Times New Roman" w:hAnsi="Times New Roman"/>
        </w:rPr>
        <w:t xml:space="preserve">orte. Julgamento realizado na ADI 3.934/DF. Ausência de identidade. </w:t>
      </w:r>
      <w:r w:rsidRPr="005027DF">
        <w:rPr>
          <w:rFonts w:ascii="Times New Roman" w:hAnsi="Times New Roman"/>
          <w:b/>
        </w:rPr>
        <w:t>Paradigma de índole subjetiva</w:t>
      </w:r>
      <w:r w:rsidRPr="001B2D59">
        <w:rPr>
          <w:rFonts w:ascii="Times New Roman" w:hAnsi="Times New Roman"/>
        </w:rPr>
        <w:t xml:space="preserve"> (</w:t>
      </w:r>
      <w:r w:rsidRPr="005027DF">
        <w:rPr>
          <w:rFonts w:ascii="Times New Roman" w:hAnsi="Times New Roman"/>
          <w:b/>
        </w:rPr>
        <w:t>RE 583.955/RJ</w:t>
      </w:r>
      <w:r w:rsidRPr="001B2D59">
        <w:rPr>
          <w:rFonts w:ascii="Times New Roman" w:hAnsi="Times New Roman"/>
        </w:rPr>
        <w:t>). Impossibilidade do manejo de reclamação como sucedâneo recursal. Agravo regimental a que se nega provimento.</w:t>
      </w:r>
      <w:r>
        <w:rPr>
          <w:rFonts w:ascii="Times New Roman" w:hAnsi="Times New Roman"/>
        </w:rPr>
        <w:t xml:space="preserve"> (...)</w:t>
      </w:r>
      <w:r w:rsidRPr="001B2D59">
        <w:rPr>
          <w:rFonts w:ascii="Times New Roman" w:hAnsi="Times New Roman"/>
        </w:rPr>
        <w:t xml:space="preserve"> 3. </w:t>
      </w:r>
      <w:r w:rsidRPr="005027DF">
        <w:rPr>
          <w:rFonts w:ascii="Times New Roman" w:hAnsi="Times New Roman"/>
          <w:b/>
        </w:rPr>
        <w:t>As decisões proferidas em sede de recurso extraordinário, ainda que sob o regime da repercussão geral, não se prestam como paradigma viabilizador do instrumento da reclamação constitucional se o reclamante não houver integrado a relação processual</w:t>
      </w:r>
      <w:r w:rsidRPr="001B2D59">
        <w:rPr>
          <w:rFonts w:ascii="Times New Roman" w:hAnsi="Times New Roman"/>
        </w:rPr>
        <w:t xml:space="preserve">. 4. </w:t>
      </w:r>
      <w:r w:rsidRPr="005027DF">
        <w:rPr>
          <w:rFonts w:ascii="Times New Roman" w:hAnsi="Times New Roman"/>
          <w:b/>
        </w:rPr>
        <w:t>A reclamação revela-se incabível, quando invocado, como paradigma, julgamento do Supremo Tribunal Federal proferido em processo de índole subjetiva, cuja relação processual o reclamante não integrou</w:t>
      </w:r>
      <w:r w:rsidRPr="001B2D59">
        <w:rPr>
          <w:rFonts w:ascii="Times New Roman" w:hAnsi="Times New Roman"/>
        </w:rPr>
        <w:t>. Precedentes: Rcl 10.615-AgR, Rel. Min. Teori Zavascki, Pleno, DJe 14/6/2013; Rcl 11.566-AgR, Rel. Min. Dias Toffoli, Pleno, DJe 1º/8/2013; Rcl 14.638-AgR, Rel. Min. Dias Toffoli, Pleno, Dje 18/11/2013. 5. Agravo regi</w:t>
      </w:r>
      <w:r>
        <w:rPr>
          <w:rFonts w:ascii="Times New Roman" w:hAnsi="Times New Roman"/>
        </w:rPr>
        <w:t xml:space="preserve">mental a que se nega provimento (grifos nossos). </w:t>
      </w:r>
      <w:r w:rsidRPr="001B2D59">
        <w:rPr>
          <w:rFonts w:ascii="Times New Roman" w:hAnsi="Times New Roman"/>
        </w:rPr>
        <w:t xml:space="preserve">         </w:t>
      </w:r>
    </w:p>
  </w:footnote>
  <w:footnote w:id="262">
    <w:p w:rsidR="00D549BC" w:rsidRPr="004505D2" w:rsidRDefault="00D549BC" w:rsidP="004505D2">
      <w:pPr>
        <w:pStyle w:val="FootnoteText"/>
        <w:ind w:firstLine="0"/>
        <w:rPr>
          <w:rFonts w:ascii="Times New Roman" w:hAnsi="Times New Roman"/>
        </w:rPr>
      </w:pPr>
      <w:r w:rsidRPr="004505D2">
        <w:rPr>
          <w:rStyle w:val="FootnoteReference"/>
          <w:rFonts w:ascii="Times New Roman" w:hAnsi="Times New Roman"/>
        </w:rPr>
        <w:footnoteRef/>
      </w:r>
      <w:r w:rsidRPr="004505D2">
        <w:rPr>
          <w:rFonts w:ascii="Times New Roman" w:hAnsi="Times New Roman"/>
        </w:rPr>
        <w:t xml:space="preserve"> Art. 102. Compete ao Supremo Tribunal Federal, precipuamente, a guarda da Constituição, cabendo-lhe:</w:t>
      </w:r>
      <w:r>
        <w:rPr>
          <w:rFonts w:ascii="Times New Roman" w:hAnsi="Times New Roman"/>
        </w:rPr>
        <w:t xml:space="preserve"> </w:t>
      </w:r>
    </w:p>
    <w:p w:rsidR="00D549BC" w:rsidRDefault="00D549BC" w:rsidP="004505D2">
      <w:pPr>
        <w:pStyle w:val="FootnoteText"/>
        <w:ind w:firstLine="0"/>
      </w:pPr>
      <w:r w:rsidRPr="004505D2">
        <w:rPr>
          <w:rFonts w:ascii="Times New Roman" w:hAnsi="Times New Roman"/>
        </w:rPr>
        <w:t>I - processar e julgar, originariamente:</w:t>
      </w:r>
      <w:r>
        <w:rPr>
          <w:rFonts w:ascii="Times New Roman" w:hAnsi="Times New Roman"/>
        </w:rPr>
        <w:t xml:space="preserve"> </w:t>
      </w:r>
      <w:r w:rsidRPr="004505D2">
        <w:rPr>
          <w:rFonts w:ascii="Times New Roman" w:hAnsi="Times New Roman"/>
          <w:i/>
        </w:rPr>
        <w:t>l) a reclamação para a preservação de sua competência e garantia da autoridade de suas decisões</w:t>
      </w:r>
      <w:r>
        <w:rPr>
          <w:rFonts w:ascii="Times New Roman" w:hAnsi="Times New Roman"/>
        </w:rPr>
        <w:t xml:space="preserve"> (BRASIL. </w:t>
      </w:r>
      <w:r w:rsidRPr="003E677E">
        <w:rPr>
          <w:rFonts w:ascii="Times New Roman" w:hAnsi="Times New Roman"/>
        </w:rPr>
        <w:t>Planalto</w:t>
      </w:r>
      <w:r>
        <w:rPr>
          <w:rFonts w:ascii="Times New Roman" w:hAnsi="Times New Roman"/>
        </w:rPr>
        <w:t xml:space="preserve">. Constituição da República Federativa do Brasil de 1988. Grifos nossos). </w:t>
      </w:r>
    </w:p>
  </w:footnote>
  <w:footnote w:id="263">
    <w:p w:rsidR="00D549BC" w:rsidRDefault="00D549BC" w:rsidP="008B0AAB">
      <w:pPr>
        <w:pStyle w:val="FootnoteText"/>
        <w:ind w:firstLine="0"/>
      </w:pPr>
      <w:r w:rsidRPr="008B0AAB">
        <w:rPr>
          <w:rStyle w:val="FootnoteReference"/>
          <w:rFonts w:ascii="Times New Roman" w:hAnsi="Times New Roman"/>
        </w:rPr>
        <w:footnoteRef/>
      </w:r>
      <w:r>
        <w:rPr>
          <w:rFonts w:ascii="Times New Roman" w:hAnsi="Times New Roman"/>
        </w:rPr>
        <w:t xml:space="preserve"> Entrevista disponível em: </w:t>
      </w:r>
      <w:r w:rsidRPr="00523718">
        <w:rPr>
          <w:rFonts w:ascii="Times New Roman" w:hAnsi="Times New Roman"/>
        </w:rPr>
        <w:t>http://www.conjur.com.br/2015-jul-02/entrevista-luis-roberto-barroso-ministro-stf-parte</w:t>
      </w:r>
      <w:r>
        <w:rPr>
          <w:rFonts w:ascii="Times New Roman" w:hAnsi="Times New Roman"/>
        </w:rPr>
        <w:t xml:space="preserve">. Acesso em: 3 jul. 2015. </w:t>
      </w:r>
    </w:p>
  </w:footnote>
  <w:footnote w:id="264">
    <w:p w:rsidR="00D549BC" w:rsidRDefault="00D549BC" w:rsidP="006D0E51">
      <w:pPr>
        <w:pStyle w:val="FootnoteText"/>
        <w:ind w:firstLine="0"/>
      </w:pPr>
      <w:r w:rsidRPr="006D0E51">
        <w:rPr>
          <w:rStyle w:val="FootnoteReference"/>
          <w:rFonts w:ascii="Times New Roman" w:hAnsi="Times New Roman"/>
        </w:rPr>
        <w:footnoteRef/>
      </w:r>
      <w:r w:rsidRPr="006D0E51">
        <w:rPr>
          <w:rFonts w:ascii="Times New Roman" w:hAnsi="Times New Roman"/>
        </w:rPr>
        <w:t xml:space="preserve"> </w:t>
      </w:r>
      <w:r>
        <w:rPr>
          <w:rFonts w:ascii="Times New Roman" w:hAnsi="Times New Roman"/>
        </w:rPr>
        <w:t xml:space="preserve">Recente entrevista concedida ao </w:t>
      </w:r>
      <w:r w:rsidRPr="006D0E51">
        <w:rPr>
          <w:rFonts w:ascii="Times New Roman" w:hAnsi="Times New Roman"/>
          <w:i/>
        </w:rPr>
        <w:t>site</w:t>
      </w:r>
      <w:r>
        <w:rPr>
          <w:rFonts w:ascii="Times New Roman" w:hAnsi="Times New Roman"/>
          <w:i/>
        </w:rPr>
        <w:t xml:space="preserve"> </w:t>
      </w:r>
      <w:r>
        <w:rPr>
          <w:rFonts w:ascii="Times New Roman" w:hAnsi="Times New Roman"/>
        </w:rPr>
        <w:t xml:space="preserve">Consultor Jurídico, em comemoração aos dois anos como Ministro do STF. BARROSO, Luís Roberto. Entrevista. </w:t>
      </w:r>
      <w:r w:rsidRPr="00F43878">
        <w:rPr>
          <w:rFonts w:ascii="Times New Roman" w:hAnsi="Times New Roman"/>
          <w:b/>
        </w:rPr>
        <w:t>Consultor Jurídico</w:t>
      </w:r>
      <w:r>
        <w:rPr>
          <w:rFonts w:ascii="Times New Roman" w:hAnsi="Times New Roman"/>
        </w:rPr>
        <w:t xml:space="preserve"> (ConJur). Disponível em: </w:t>
      </w:r>
      <w:r w:rsidRPr="00523718">
        <w:rPr>
          <w:rFonts w:ascii="Times New Roman" w:hAnsi="Times New Roman"/>
        </w:rPr>
        <w:t>http://www.conjur.com.br/2015-jul-02/entrevista-luis-roberto-barroso-ministro-stf-parte</w:t>
      </w:r>
      <w:r>
        <w:rPr>
          <w:rFonts w:ascii="Times New Roman" w:hAnsi="Times New Roman"/>
        </w:rPr>
        <w:t xml:space="preserve">. Acesso em: 3 jul. 2015.  </w:t>
      </w:r>
    </w:p>
  </w:footnote>
  <w:footnote w:id="265">
    <w:p w:rsidR="00D549BC" w:rsidRDefault="00D549BC" w:rsidP="004C4C86">
      <w:pPr>
        <w:pStyle w:val="FootnoteText"/>
        <w:ind w:firstLine="0"/>
      </w:pPr>
      <w:r w:rsidRPr="004C4C86">
        <w:rPr>
          <w:rStyle w:val="FootnoteReference"/>
          <w:rFonts w:ascii="Times New Roman" w:hAnsi="Times New Roman"/>
        </w:rPr>
        <w:footnoteRef/>
      </w:r>
      <w:r w:rsidRPr="004C4C86">
        <w:rPr>
          <w:rFonts w:ascii="Times New Roman" w:hAnsi="Times New Roman"/>
        </w:rPr>
        <w:t xml:space="preserve"> </w:t>
      </w:r>
      <w:r>
        <w:rPr>
          <w:rFonts w:ascii="Times New Roman" w:hAnsi="Times New Roman"/>
        </w:rPr>
        <w:t xml:space="preserve">COELHO, Damares Medina. </w:t>
      </w:r>
      <w:r w:rsidRPr="004C4C86">
        <w:rPr>
          <w:rFonts w:ascii="Times New Roman" w:hAnsi="Times New Roman"/>
          <w:b/>
        </w:rPr>
        <w:t>A Repercussão Geral no Supremo Tribunal Federal</w:t>
      </w:r>
      <w:r>
        <w:rPr>
          <w:rFonts w:ascii="Times New Roman" w:hAnsi="Times New Roman"/>
        </w:rPr>
        <w:t xml:space="preserve">. São Paulo, 4 de agosto de 2014. 246 p. Tese (Doutorado em Direito Político e Econômico) – Universidade Presbiteriana Mackenzie.  </w:t>
      </w:r>
    </w:p>
  </w:footnote>
  <w:footnote w:id="266">
    <w:p w:rsidR="00D549BC" w:rsidRDefault="00D549BC" w:rsidP="00BE0F5C">
      <w:pPr>
        <w:pStyle w:val="FootnoteText"/>
        <w:ind w:firstLine="0"/>
      </w:pPr>
      <w:r w:rsidRPr="00BE0F5C">
        <w:rPr>
          <w:rStyle w:val="FootnoteReference"/>
          <w:rFonts w:ascii="Times New Roman" w:hAnsi="Times New Roman"/>
        </w:rPr>
        <w:footnoteRef/>
      </w:r>
      <w:r w:rsidRPr="00BE0F5C">
        <w:rPr>
          <w:rFonts w:ascii="Times New Roman" w:hAnsi="Times New Roman"/>
        </w:rPr>
        <w:t xml:space="preserve"> </w:t>
      </w:r>
      <w:r>
        <w:rPr>
          <w:rFonts w:ascii="Times New Roman" w:hAnsi="Times New Roman"/>
        </w:rPr>
        <w:t xml:space="preserve">BARROSO, Luís Roberto. Entrevista. </w:t>
      </w:r>
      <w:r w:rsidRPr="00F43878">
        <w:rPr>
          <w:rFonts w:ascii="Times New Roman" w:hAnsi="Times New Roman"/>
          <w:b/>
        </w:rPr>
        <w:t>Consultor Jurídico</w:t>
      </w:r>
      <w:r>
        <w:rPr>
          <w:rFonts w:ascii="Times New Roman" w:hAnsi="Times New Roman"/>
        </w:rPr>
        <w:t xml:space="preserve"> (ConJur). Disponível em: </w:t>
      </w:r>
      <w:r w:rsidRPr="007A4667">
        <w:rPr>
          <w:rFonts w:ascii="Times New Roman" w:hAnsi="Times New Roman"/>
        </w:rPr>
        <w:t>http://www.conjur.com.br/2015-jul-02/entrevista-luis-roberto-barroso-ministro-stf-parte</w:t>
      </w:r>
      <w:r>
        <w:rPr>
          <w:rFonts w:ascii="Times New Roman" w:hAnsi="Times New Roman"/>
        </w:rPr>
        <w:t xml:space="preserve">. Acesso em: 3 jul. 2015. </w:t>
      </w:r>
    </w:p>
  </w:footnote>
  <w:footnote w:id="267">
    <w:p w:rsidR="00D549BC" w:rsidRDefault="00D549BC" w:rsidP="008373DC">
      <w:pPr>
        <w:pStyle w:val="FootnoteText"/>
        <w:ind w:firstLine="0"/>
      </w:pPr>
      <w:r w:rsidRPr="008373DC">
        <w:rPr>
          <w:rStyle w:val="FootnoteReference"/>
          <w:rFonts w:ascii="Times New Roman" w:hAnsi="Times New Roman"/>
        </w:rPr>
        <w:footnoteRef/>
      </w:r>
      <w:r w:rsidRPr="008373DC">
        <w:rPr>
          <w:rFonts w:ascii="Times New Roman" w:hAnsi="Times New Roman"/>
        </w:rPr>
        <w:t xml:space="preserve"> </w:t>
      </w:r>
      <w:r>
        <w:rPr>
          <w:rFonts w:ascii="Times New Roman" w:hAnsi="Times New Roman"/>
        </w:rPr>
        <w:t xml:space="preserve">Ibid., grifos nossos. </w:t>
      </w:r>
    </w:p>
  </w:footnote>
  <w:footnote w:id="268">
    <w:p w:rsidR="00D549BC" w:rsidRDefault="00D549BC" w:rsidP="00281683">
      <w:pPr>
        <w:pStyle w:val="FootnoteText"/>
        <w:ind w:firstLine="0"/>
      </w:pPr>
      <w:r w:rsidRPr="00281683">
        <w:rPr>
          <w:rStyle w:val="FootnoteReference"/>
          <w:rFonts w:ascii="Times New Roman" w:hAnsi="Times New Roman"/>
        </w:rPr>
        <w:footnoteRef/>
      </w:r>
      <w:r w:rsidRPr="00281683">
        <w:rPr>
          <w:rFonts w:ascii="Times New Roman" w:hAnsi="Times New Roman"/>
        </w:rPr>
        <w:t xml:space="preserve"> </w:t>
      </w:r>
      <w:r>
        <w:rPr>
          <w:rFonts w:ascii="Times New Roman" w:hAnsi="Times New Roman"/>
        </w:rPr>
        <w:t xml:space="preserve">CERDEIRA, Pablo; FALCÃO, Joaquim. </w:t>
      </w:r>
      <w:r w:rsidRPr="00BD0B5B">
        <w:rPr>
          <w:rFonts w:ascii="Times New Roman" w:hAnsi="Times New Roman"/>
        </w:rPr>
        <w:t>A inflação de recurso do Executivo no Supremo</w:t>
      </w:r>
      <w:r>
        <w:rPr>
          <w:rFonts w:ascii="Times New Roman" w:hAnsi="Times New Roman"/>
        </w:rPr>
        <w:t xml:space="preserve">. </w:t>
      </w:r>
      <w:r w:rsidRPr="00BD0B5B">
        <w:rPr>
          <w:rFonts w:ascii="Times New Roman" w:hAnsi="Times New Roman"/>
          <w:b/>
        </w:rPr>
        <w:t>Revista Conjuntura Econômica</w:t>
      </w:r>
      <w:r>
        <w:rPr>
          <w:rFonts w:ascii="Times New Roman" w:hAnsi="Times New Roman"/>
          <w:b/>
        </w:rPr>
        <w:t>,</w:t>
      </w:r>
      <w:r>
        <w:rPr>
          <w:rFonts w:ascii="Times New Roman" w:hAnsi="Times New Roman"/>
        </w:rPr>
        <w:t xml:space="preserve"> </w:t>
      </w:r>
      <w:r w:rsidRPr="00281683">
        <w:rPr>
          <w:rFonts w:ascii="Times New Roman" w:hAnsi="Times New Roman"/>
        </w:rPr>
        <w:t>v. 65, n. 4 (2011)</w:t>
      </w:r>
      <w:r>
        <w:rPr>
          <w:rFonts w:ascii="Times New Roman" w:hAnsi="Times New Roman"/>
        </w:rPr>
        <w:t xml:space="preserve">, p. 60. Disponível em: </w:t>
      </w:r>
      <w:r w:rsidRPr="00BD0B5B">
        <w:rPr>
          <w:rFonts w:ascii="Times New Roman" w:hAnsi="Times New Roman"/>
        </w:rPr>
        <w:t>http://bibliotecadigital.fgv.br/ojs/index.php/rce/issue/view/1386</w:t>
      </w:r>
      <w:r>
        <w:rPr>
          <w:rFonts w:ascii="Times New Roman" w:hAnsi="Times New Roman"/>
        </w:rPr>
        <w:t>. Acesso em: 5 jun. 2015.</w:t>
      </w:r>
    </w:p>
  </w:footnote>
  <w:footnote w:id="269">
    <w:p w:rsidR="00D549BC" w:rsidRDefault="00D549BC" w:rsidP="00C86721">
      <w:pPr>
        <w:pStyle w:val="FootnoteText"/>
        <w:ind w:firstLine="0"/>
      </w:pPr>
      <w:r w:rsidRPr="00C86721">
        <w:rPr>
          <w:rStyle w:val="FootnoteReference"/>
          <w:rFonts w:ascii="Times New Roman" w:hAnsi="Times New Roman"/>
        </w:rPr>
        <w:footnoteRef/>
      </w:r>
      <w:r w:rsidRPr="00C86721">
        <w:rPr>
          <w:rFonts w:ascii="Times New Roman" w:hAnsi="Times New Roman"/>
        </w:rPr>
        <w:t xml:space="preserve"> </w:t>
      </w:r>
      <w:r>
        <w:rPr>
          <w:rFonts w:ascii="Times New Roman" w:hAnsi="Times New Roman"/>
        </w:rPr>
        <w:t xml:space="preserve">BARROSO. Luís Roberto. </w:t>
      </w:r>
      <w:r w:rsidRPr="003C6591">
        <w:rPr>
          <w:rFonts w:ascii="Times New Roman" w:hAnsi="Times New Roman"/>
          <w:b/>
        </w:rPr>
        <w:t xml:space="preserve">Reflexões sobre as </w:t>
      </w:r>
      <w:r>
        <w:rPr>
          <w:rFonts w:ascii="Times New Roman" w:hAnsi="Times New Roman"/>
          <w:b/>
        </w:rPr>
        <w:t>c</w:t>
      </w:r>
      <w:r w:rsidRPr="003C6591">
        <w:rPr>
          <w:rFonts w:ascii="Times New Roman" w:hAnsi="Times New Roman"/>
          <w:b/>
        </w:rPr>
        <w:t xml:space="preserve">ompetências e o </w:t>
      </w:r>
      <w:r>
        <w:rPr>
          <w:rFonts w:ascii="Times New Roman" w:hAnsi="Times New Roman"/>
          <w:b/>
        </w:rPr>
        <w:t>f</w:t>
      </w:r>
      <w:r w:rsidRPr="003C6591">
        <w:rPr>
          <w:rFonts w:ascii="Times New Roman" w:hAnsi="Times New Roman"/>
          <w:b/>
        </w:rPr>
        <w:t>uncionamento do Supremo Tribunal Federal</w:t>
      </w:r>
      <w:r>
        <w:rPr>
          <w:rFonts w:ascii="Times New Roman" w:hAnsi="Times New Roman"/>
          <w:b/>
        </w:rPr>
        <w:t xml:space="preserve">, </w:t>
      </w:r>
      <w:r>
        <w:rPr>
          <w:rFonts w:ascii="Times New Roman" w:hAnsi="Times New Roman"/>
        </w:rPr>
        <w:t xml:space="preserve">p. 16. Disponível em: </w:t>
      </w:r>
      <w:r w:rsidRPr="002A5BC2">
        <w:rPr>
          <w:rFonts w:ascii="Times New Roman" w:hAnsi="Times New Roman"/>
        </w:rPr>
        <w:t>http://www.luisrobertobarroso.com.br/?p=1087</w:t>
      </w:r>
      <w:r>
        <w:rPr>
          <w:rFonts w:ascii="Times New Roman" w:hAnsi="Times New Roman"/>
        </w:rPr>
        <w:t>. Acesso em: 8 out. 2014 – grifos nossos.</w:t>
      </w:r>
    </w:p>
  </w:footnote>
  <w:footnote w:id="270">
    <w:p w:rsidR="00D549BC" w:rsidRDefault="00D549BC" w:rsidP="00767CC0">
      <w:pPr>
        <w:pStyle w:val="FootnoteText"/>
        <w:ind w:firstLine="0"/>
      </w:pPr>
      <w:r w:rsidRPr="00D44E34">
        <w:rPr>
          <w:rStyle w:val="FootnoteReference"/>
          <w:rFonts w:ascii="Times New Roman" w:hAnsi="Times New Roman"/>
        </w:rPr>
        <w:footnoteRef/>
      </w:r>
      <w:r>
        <w:rPr>
          <w:rFonts w:ascii="Times New Roman" w:hAnsi="Times New Roman"/>
        </w:rPr>
        <w:t xml:space="preserve"> RE 607.607 ED/RS. Rel. Min. Luiz Fux, Julgamento: 2.10.2013. DJe: 12.05.2014. </w:t>
      </w:r>
      <w:r w:rsidRPr="00767CC0">
        <w:rPr>
          <w:rFonts w:ascii="Times New Roman" w:hAnsi="Times New Roman"/>
        </w:rPr>
        <w:t xml:space="preserve">Ementa: 1) Embargos de Declaração. Direito Administrativo. Reajuste de Vale-Refeição. Tema 347 da Repercussão Geral. Objeto da Controvérsia: Recurso extraordinário em que se discute, à luz do art. 37, caput e XV, da Constituição Federal, o direito, ou não, de servidores públicos do Estado do Rio Grande do Sul a obter, por decisão judicial, o reajuste mensal do valor do vale-refeição previsto no art. 3º da Lei estadual 10.002/93, em face da ausência de norma do Poder Executivo, em determinados períodos, a regulamentar essa atualização. 2) </w:t>
      </w:r>
      <w:r w:rsidRPr="00767CC0">
        <w:rPr>
          <w:rFonts w:ascii="Times New Roman" w:hAnsi="Times New Roman"/>
          <w:b/>
        </w:rPr>
        <w:t xml:space="preserve">Acórdão recorrido do Plenário físico manteve a repercussão do tema e reconheceu que, </w:t>
      </w:r>
      <w:r w:rsidRPr="00AF2304">
        <w:rPr>
          <w:rFonts w:ascii="Times New Roman" w:hAnsi="Times New Roman"/>
          <w:b/>
          <w:i/>
        </w:rPr>
        <w:t>in casu</w:t>
      </w:r>
      <w:r w:rsidRPr="00767CC0">
        <w:rPr>
          <w:rFonts w:ascii="Times New Roman" w:hAnsi="Times New Roman"/>
          <w:b/>
        </w:rPr>
        <w:t>, a matéria reclama interpretação afeta à legislação infraconstitucional e ao direito local</w:t>
      </w:r>
      <w:r w:rsidRPr="00767CC0">
        <w:rPr>
          <w:rFonts w:ascii="Times New Roman" w:hAnsi="Times New Roman"/>
        </w:rPr>
        <w:t xml:space="preserve">. 3) </w:t>
      </w:r>
      <w:r w:rsidRPr="00767CC0">
        <w:rPr>
          <w:rFonts w:ascii="Times New Roman" w:hAnsi="Times New Roman"/>
          <w:b/>
        </w:rPr>
        <w:t>Embargos parcialmente providos para que fique esclarecido que o reconhecimento da repercussão geral da matéria pelo Plenário Virtual não obstaculiza o superveniente julgamento pelo Pleno desta Corte no sentido do não conhecimento do Recurso Extraordinário com fundamento na exigência de interpretação da legislação infraconstitucional e do direito local</w:t>
      </w:r>
      <w:r w:rsidRPr="00767CC0">
        <w:rPr>
          <w:rFonts w:ascii="Times New Roman" w:hAnsi="Times New Roman"/>
        </w:rPr>
        <w:t xml:space="preserve">. 4) </w:t>
      </w:r>
      <w:r w:rsidRPr="00767CC0">
        <w:rPr>
          <w:rFonts w:ascii="Times New Roman" w:hAnsi="Times New Roman"/>
          <w:b/>
        </w:rPr>
        <w:t>O reajuste do vale-refeição é tema que se subsume à legislação infraconstitucional inviabilizando o recurso extraordinário</w:t>
      </w:r>
      <w:r w:rsidRPr="00767CC0">
        <w:rPr>
          <w:rFonts w:ascii="Times New Roman" w:hAnsi="Times New Roman"/>
        </w:rPr>
        <w:t xml:space="preserve">. 5) </w:t>
      </w:r>
      <w:r w:rsidRPr="00767CC0">
        <w:rPr>
          <w:rFonts w:ascii="Times New Roman" w:hAnsi="Times New Roman"/>
          <w:b/>
        </w:rPr>
        <w:t>Embargos de Declaração conhecidos e parcialmente providos, restando incidente a regra do art. 543-B do CPC para tornar inadmitidos os recursos extraordinários sobre o mesmo tema</w:t>
      </w:r>
      <w:r w:rsidRPr="00767CC0">
        <w:rPr>
          <w:rFonts w:ascii="Times New Roman" w:hAnsi="Times New Roman"/>
        </w:rPr>
        <w:t>.</w:t>
      </w:r>
      <w:r>
        <w:rPr>
          <w:rFonts w:ascii="Times New Roman" w:hAnsi="Times New Roman"/>
        </w:rPr>
        <w:t xml:space="preserve"> </w:t>
      </w:r>
      <w:r w:rsidRPr="00767CC0">
        <w:rPr>
          <w:rFonts w:ascii="Times New Roman" w:hAnsi="Times New Roman"/>
        </w:rPr>
        <w:t>Decisão</w:t>
      </w:r>
      <w:r>
        <w:rPr>
          <w:rFonts w:ascii="Times New Roman" w:hAnsi="Times New Roman"/>
        </w:rPr>
        <w:t xml:space="preserve">: </w:t>
      </w:r>
      <w:r w:rsidRPr="00767CC0">
        <w:rPr>
          <w:rFonts w:ascii="Times New Roman" w:hAnsi="Times New Roman"/>
        </w:rPr>
        <w:t>O Tribunal, por unanimidade e nos termos do voto do Relator, acolheu parcialmente os embargos de declaração e determinou a aplicação do art. 543-B, do Código de Processo Civil, ao tema veiculado no recurso. Votou o Presi</w:t>
      </w:r>
      <w:r>
        <w:rPr>
          <w:rFonts w:ascii="Times New Roman" w:hAnsi="Times New Roman"/>
        </w:rPr>
        <w:t xml:space="preserve">dente, Ministro Joaquim Barbosa (grifos nossos). </w:t>
      </w:r>
    </w:p>
  </w:footnote>
  <w:footnote w:id="271">
    <w:p w:rsidR="00D549BC" w:rsidRDefault="00D549BC" w:rsidP="0082290C">
      <w:pPr>
        <w:pStyle w:val="FootnoteText"/>
        <w:ind w:firstLine="0"/>
      </w:pPr>
      <w:r w:rsidRPr="0082290C">
        <w:rPr>
          <w:rStyle w:val="FootnoteReference"/>
          <w:rFonts w:ascii="Times New Roman" w:hAnsi="Times New Roman"/>
        </w:rPr>
        <w:footnoteRef/>
      </w:r>
      <w:r w:rsidRPr="0082290C">
        <w:rPr>
          <w:rFonts w:ascii="Times New Roman" w:hAnsi="Times New Roman"/>
        </w:rPr>
        <w:t xml:space="preserve"> </w:t>
      </w:r>
      <w:r>
        <w:rPr>
          <w:rFonts w:ascii="Times New Roman" w:hAnsi="Times New Roman"/>
        </w:rPr>
        <w:t xml:space="preserve">Frise-se, no entanto, que o Pleno do STF, em nenhum momento, afirmou a possibilidade de retirada da Repercussão Geral do Tema 347, apenas assentou que seu reconhecimento não impediria o reexame dos requisitos de admissibilidade do recurso paradigma. </w:t>
      </w:r>
      <w:r w:rsidRPr="0082290C">
        <w:rPr>
          <w:rFonts w:ascii="Times New Roman" w:hAnsi="Times New Roman"/>
          <w:i/>
        </w:rPr>
        <w:t>In casu</w:t>
      </w:r>
      <w:r>
        <w:rPr>
          <w:rFonts w:ascii="Times New Roman" w:hAnsi="Times New Roman"/>
        </w:rPr>
        <w:t>, o STF entendeu, por unanimidade, que o Tema 347, que tratava do d</w:t>
      </w:r>
      <w:r w:rsidRPr="0082290C">
        <w:rPr>
          <w:rFonts w:ascii="Times New Roman" w:hAnsi="Times New Roman"/>
        </w:rPr>
        <w:t>ireito à atualização monetária do vale-refeição dos</w:t>
      </w:r>
      <w:r>
        <w:rPr>
          <w:rFonts w:ascii="Times New Roman" w:hAnsi="Times New Roman"/>
        </w:rPr>
        <w:t xml:space="preserve"> </w:t>
      </w:r>
      <w:r w:rsidRPr="0082290C">
        <w:rPr>
          <w:rFonts w:ascii="Times New Roman" w:hAnsi="Times New Roman"/>
        </w:rPr>
        <w:t>servidores públicos do Estado do Rio Grande do Sul por decisão</w:t>
      </w:r>
      <w:r>
        <w:rPr>
          <w:rFonts w:ascii="Times New Roman" w:hAnsi="Times New Roman"/>
        </w:rPr>
        <w:t xml:space="preserve"> </w:t>
      </w:r>
      <w:r w:rsidRPr="0082290C">
        <w:rPr>
          <w:rFonts w:ascii="Times New Roman" w:hAnsi="Times New Roman"/>
        </w:rPr>
        <w:t>judicial</w:t>
      </w:r>
      <w:r>
        <w:rPr>
          <w:rFonts w:ascii="Times New Roman" w:hAnsi="Times New Roman"/>
        </w:rPr>
        <w:t>, ensejava i</w:t>
      </w:r>
      <w:r w:rsidRPr="0082290C">
        <w:rPr>
          <w:rFonts w:ascii="Times New Roman" w:hAnsi="Times New Roman"/>
        </w:rPr>
        <w:t>nterpretação da legislação infraconstitucional e do direito local</w:t>
      </w:r>
      <w:r>
        <w:rPr>
          <w:rFonts w:ascii="Times New Roman" w:hAnsi="Times New Roman"/>
        </w:rPr>
        <w:t>, o que é vedado em sede de Recurso Extraordinário, cuja matéria deve de índole exclusivamente constitucional.</w:t>
      </w:r>
    </w:p>
  </w:footnote>
  <w:footnote w:id="272">
    <w:p w:rsidR="00D549BC" w:rsidRPr="00112737" w:rsidRDefault="00D549BC" w:rsidP="00112737">
      <w:pPr>
        <w:pStyle w:val="FootnoteText"/>
        <w:ind w:firstLine="0"/>
        <w:rPr>
          <w:rFonts w:ascii="Times New Roman" w:hAnsi="Times New Roman"/>
        </w:rPr>
      </w:pPr>
      <w:r w:rsidRPr="00112737">
        <w:rPr>
          <w:rStyle w:val="FootnoteReference"/>
          <w:rFonts w:ascii="Times New Roman" w:hAnsi="Times New Roman"/>
        </w:rPr>
        <w:footnoteRef/>
      </w:r>
      <w:r w:rsidRPr="00112737">
        <w:rPr>
          <w:rFonts w:ascii="Times New Roman" w:hAnsi="Times New Roman"/>
        </w:rPr>
        <w:t xml:space="preserve"> Art. 3241. Recebida a manifestação do(a) Relator(a), os demais Ministros</w:t>
      </w:r>
      <w:r>
        <w:rPr>
          <w:rFonts w:ascii="Times New Roman" w:hAnsi="Times New Roman"/>
        </w:rPr>
        <w:t xml:space="preserve"> </w:t>
      </w:r>
      <w:r w:rsidRPr="00112737">
        <w:rPr>
          <w:rFonts w:ascii="Times New Roman" w:hAnsi="Times New Roman"/>
        </w:rPr>
        <w:t>encaminhar-lhe-ão, também por meio eletrônico, no prazo comum de vinte dias,</w:t>
      </w:r>
      <w:r>
        <w:rPr>
          <w:rFonts w:ascii="Times New Roman" w:hAnsi="Times New Roman"/>
        </w:rPr>
        <w:t xml:space="preserve"> </w:t>
      </w:r>
      <w:r w:rsidRPr="00112737">
        <w:rPr>
          <w:rFonts w:ascii="Times New Roman" w:hAnsi="Times New Roman"/>
        </w:rPr>
        <w:t>manifestação sobre a questão da repercussão geral.</w:t>
      </w:r>
    </w:p>
    <w:p w:rsidR="00D549BC" w:rsidRDefault="00D549BC" w:rsidP="00112737">
      <w:pPr>
        <w:pStyle w:val="FootnoteText"/>
        <w:ind w:firstLine="0"/>
      </w:pPr>
      <w:r w:rsidRPr="00112737">
        <w:rPr>
          <w:rFonts w:ascii="Times New Roman" w:hAnsi="Times New Roman"/>
        </w:rPr>
        <w:t xml:space="preserve">§ 1º </w:t>
      </w:r>
      <w:r w:rsidRPr="00112737">
        <w:rPr>
          <w:rFonts w:ascii="Times New Roman" w:hAnsi="Times New Roman"/>
          <w:i/>
        </w:rPr>
        <w:t>Decorrido o prazo sem manifestações suficientes para recusa do recurso, reputar-se-á existente a repercussão geral</w:t>
      </w:r>
      <w:r>
        <w:rPr>
          <w:rFonts w:ascii="Times New Roman" w:hAnsi="Times New Roman"/>
        </w:rPr>
        <w:t xml:space="preserve"> (</w:t>
      </w:r>
      <w:r w:rsidRPr="006D230E">
        <w:rPr>
          <w:rFonts w:ascii="Times New Roman" w:hAnsi="Times New Roman"/>
        </w:rPr>
        <w:t>Atualizado com a introdução da Emenda Regimental 31/2009</w:t>
      </w:r>
      <w:r>
        <w:rPr>
          <w:rFonts w:ascii="Times New Roman" w:hAnsi="Times New Roman"/>
        </w:rPr>
        <w:t>)</w:t>
      </w:r>
      <w:r w:rsidRPr="006D230E">
        <w:rPr>
          <w:rFonts w:ascii="Times New Roman" w:hAnsi="Times New Roman"/>
        </w:rPr>
        <w:t>.</w:t>
      </w:r>
      <w:r>
        <w:rPr>
          <w:rFonts w:ascii="Times New Roman" w:hAnsi="Times New Roman"/>
        </w:rPr>
        <w:t xml:space="preserve"> (BRASIL. Supremo Tribunal Federal. Regimento Interno. p. 147 – grifos nossos). </w:t>
      </w:r>
    </w:p>
  </w:footnote>
  <w:footnote w:id="273">
    <w:p w:rsidR="00D549BC" w:rsidRDefault="00D549BC" w:rsidP="006C6FF7">
      <w:pPr>
        <w:pStyle w:val="FootnoteText"/>
        <w:ind w:firstLine="0"/>
      </w:pPr>
      <w:r w:rsidRPr="006C6FF7">
        <w:rPr>
          <w:rStyle w:val="FootnoteReference"/>
          <w:rFonts w:ascii="Times New Roman" w:hAnsi="Times New Roman"/>
        </w:rPr>
        <w:footnoteRef/>
      </w:r>
      <w:r w:rsidRPr="006C6FF7">
        <w:rPr>
          <w:rFonts w:ascii="Times New Roman" w:hAnsi="Times New Roman"/>
        </w:rPr>
        <w:t xml:space="preserve"> </w:t>
      </w:r>
      <w:r>
        <w:rPr>
          <w:rFonts w:ascii="Times New Roman" w:hAnsi="Times New Roman"/>
        </w:rPr>
        <w:t xml:space="preserve">O Tema 548 do Plenário Virtual trata da </w:t>
      </w:r>
      <w:r w:rsidRPr="006C6FF7">
        <w:rPr>
          <w:rFonts w:ascii="Times New Roman" w:hAnsi="Times New Roman"/>
        </w:rPr>
        <w:t>competência para processar e julgar ação em que se discute pagamento de adicional de insalubridade a servidor público de ex-Território Federal ante a existência de convênio firmado entre a União e o E</w:t>
      </w:r>
      <w:r>
        <w:rPr>
          <w:rFonts w:ascii="Times New Roman" w:hAnsi="Times New Roman"/>
        </w:rPr>
        <w:t xml:space="preserve">stado-membro para o qual cedido. </w:t>
      </w:r>
    </w:p>
  </w:footnote>
  <w:footnote w:id="274">
    <w:p w:rsidR="00D549BC" w:rsidRDefault="00D549BC" w:rsidP="004B776C">
      <w:pPr>
        <w:pStyle w:val="FootnoteText"/>
        <w:ind w:firstLine="0"/>
      </w:pPr>
      <w:r w:rsidRPr="006D684D">
        <w:rPr>
          <w:rStyle w:val="FootnoteReference"/>
          <w:rFonts w:ascii="Times New Roman" w:hAnsi="Times New Roman"/>
        </w:rPr>
        <w:footnoteRef/>
      </w:r>
      <w:r w:rsidRPr="006D684D">
        <w:rPr>
          <w:rFonts w:ascii="Times New Roman" w:hAnsi="Times New Roman"/>
        </w:rPr>
        <w:t xml:space="preserve"> Questão de Ordem no Agravo de Instrumento 760.358</w:t>
      </w:r>
      <w:r>
        <w:rPr>
          <w:rFonts w:ascii="Times New Roman" w:hAnsi="Times New Roman"/>
        </w:rPr>
        <w:t>/SE.</w:t>
      </w:r>
      <w:r w:rsidRPr="006D684D">
        <w:rPr>
          <w:rFonts w:ascii="Times New Roman" w:hAnsi="Times New Roman"/>
        </w:rPr>
        <w:t xml:space="preserve"> Rel. Min. Gilma</w:t>
      </w:r>
      <w:r>
        <w:rPr>
          <w:rFonts w:ascii="Times New Roman" w:hAnsi="Times New Roman"/>
        </w:rPr>
        <w:t xml:space="preserve">r Mendes. </w:t>
      </w:r>
      <w:r w:rsidRPr="004B776C">
        <w:rPr>
          <w:rFonts w:ascii="Times New Roman" w:hAnsi="Times New Roman"/>
        </w:rPr>
        <w:t>Julgamento:  19/11/2009</w:t>
      </w:r>
      <w:r>
        <w:rPr>
          <w:rFonts w:ascii="Times New Roman" w:hAnsi="Times New Roman"/>
        </w:rPr>
        <w:t xml:space="preserve">. </w:t>
      </w:r>
      <w:r w:rsidRPr="004B776C">
        <w:rPr>
          <w:rFonts w:ascii="Times New Roman" w:hAnsi="Times New Roman"/>
        </w:rPr>
        <w:t>Órgão Julgador:</w:t>
      </w:r>
      <w:r>
        <w:rPr>
          <w:rFonts w:ascii="Times New Roman" w:hAnsi="Times New Roman"/>
        </w:rPr>
        <w:t xml:space="preserve"> Tribunal Pleno.  DJe: 3.12.</w:t>
      </w:r>
      <w:r w:rsidRPr="006D684D">
        <w:rPr>
          <w:rFonts w:ascii="Times New Roman" w:hAnsi="Times New Roman"/>
        </w:rPr>
        <w:t>2009.</w:t>
      </w:r>
      <w:r>
        <w:rPr>
          <w:rFonts w:ascii="Times New Roman" w:hAnsi="Times New Roman"/>
        </w:rPr>
        <w:t xml:space="preserve"> </w:t>
      </w:r>
      <w:r w:rsidRPr="004B776C">
        <w:rPr>
          <w:rFonts w:ascii="Times New Roman" w:hAnsi="Times New Roman"/>
        </w:rPr>
        <w:t xml:space="preserve">EMENTA: Questão de Ordem. Repercussão Geral. </w:t>
      </w:r>
      <w:r w:rsidRPr="004B776C">
        <w:rPr>
          <w:rFonts w:ascii="Times New Roman" w:hAnsi="Times New Roman"/>
          <w:b/>
        </w:rPr>
        <w:t>Inadmissibilidade de agravo de instrumento ou reclamação da decisão que aplica entendimento desta Corte aos processos múltiplos</w:t>
      </w:r>
      <w:r w:rsidRPr="004B776C">
        <w:rPr>
          <w:rFonts w:ascii="Times New Roman" w:hAnsi="Times New Roman"/>
        </w:rPr>
        <w:t xml:space="preserve">. Competência do Tribunal de origem. Conversão do agravo de instrumento em agravo regimental. 1. </w:t>
      </w:r>
      <w:r w:rsidRPr="004B776C">
        <w:rPr>
          <w:rFonts w:ascii="Times New Roman" w:hAnsi="Times New Roman"/>
          <w:b/>
        </w:rPr>
        <w:t>Não é cabível agravo de instrumento da decisão do tribunal de origem que, em cumprimento do disposto no § 3º do art. 543-B, do CPC, aplica decisão de mérito do STF em questão de repercussão geral</w:t>
      </w:r>
      <w:r w:rsidRPr="004B776C">
        <w:rPr>
          <w:rFonts w:ascii="Times New Roman" w:hAnsi="Times New Roman"/>
        </w:rPr>
        <w:t xml:space="preserve">. 2. </w:t>
      </w:r>
      <w:r w:rsidRPr="004B776C">
        <w:rPr>
          <w:rFonts w:ascii="Times New Roman" w:hAnsi="Times New Roman"/>
          <w:b/>
        </w:rPr>
        <w:t>Ao decretar o prejuízo de recurso ou exercer o juízo de retratação no processo em que interposto o recurso extraordinário, o tribunal de origem não está exercendo competência do STF, mas atribuição própria, de forma que a remessa dos autos individualmente ao STF apenas se justificará, nos termos da lei, na hipótese em que houver expressa negativa de retratação</w:t>
      </w:r>
      <w:r w:rsidRPr="004B776C">
        <w:rPr>
          <w:rFonts w:ascii="Times New Roman" w:hAnsi="Times New Roman"/>
        </w:rPr>
        <w:t>. 3. A maior ou menor aplicabilidade aos processos múltiplos do quanto assentado pela Suprema Corte ao julgar o mérito das matérias com repercussão geral dependerá da abrangência da questão constitucional decidida. 4. Agravo de instrumento que se converte em agravo regimental, a ser d</w:t>
      </w:r>
      <w:r>
        <w:rPr>
          <w:rFonts w:ascii="Times New Roman" w:hAnsi="Times New Roman"/>
        </w:rPr>
        <w:t xml:space="preserve">ecidido pelo tribunal de origem (grifos nossos). </w:t>
      </w:r>
    </w:p>
  </w:footnote>
  <w:footnote w:id="275">
    <w:p w:rsidR="00D549BC" w:rsidRDefault="00D549BC" w:rsidP="00163B5F">
      <w:pPr>
        <w:pStyle w:val="FootnoteText"/>
        <w:ind w:firstLine="0"/>
        <w:rPr>
          <w:rFonts w:ascii="Times New Roman" w:hAnsi="Times New Roman"/>
        </w:rPr>
      </w:pPr>
      <w:r w:rsidRPr="00163B5F">
        <w:rPr>
          <w:rStyle w:val="FootnoteReference"/>
          <w:rFonts w:ascii="Times New Roman" w:hAnsi="Times New Roman"/>
        </w:rPr>
        <w:footnoteRef/>
      </w:r>
      <w:r w:rsidRPr="00163B5F">
        <w:rPr>
          <w:rFonts w:ascii="Times New Roman" w:hAnsi="Times New Roman"/>
        </w:rPr>
        <w:t xml:space="preserve"> Art. 988.  Caberá </w:t>
      </w:r>
      <w:r w:rsidRPr="00163B5F">
        <w:rPr>
          <w:rFonts w:ascii="Times New Roman" w:hAnsi="Times New Roman"/>
          <w:i/>
        </w:rPr>
        <w:t>reclamação</w:t>
      </w:r>
      <w:r w:rsidRPr="00163B5F">
        <w:rPr>
          <w:rFonts w:ascii="Times New Roman" w:hAnsi="Times New Roman"/>
        </w:rPr>
        <w:t xml:space="preserve"> da parte interessada ou do Ministério Público para:</w:t>
      </w:r>
      <w:r>
        <w:rPr>
          <w:rFonts w:ascii="Times New Roman" w:hAnsi="Times New Roman"/>
        </w:rPr>
        <w:t xml:space="preserve"> </w:t>
      </w:r>
    </w:p>
    <w:p w:rsidR="00D549BC" w:rsidRDefault="00D549BC" w:rsidP="00163B5F">
      <w:pPr>
        <w:pStyle w:val="FootnoteText"/>
        <w:ind w:firstLine="0"/>
        <w:rPr>
          <w:rFonts w:ascii="Times New Roman" w:hAnsi="Times New Roman"/>
        </w:rPr>
      </w:pPr>
      <w:r>
        <w:rPr>
          <w:rFonts w:ascii="Times New Roman" w:hAnsi="Times New Roman"/>
        </w:rPr>
        <w:t xml:space="preserve">(...) </w:t>
      </w:r>
      <w:r w:rsidRPr="00163B5F">
        <w:rPr>
          <w:rFonts w:ascii="Times New Roman" w:hAnsi="Times New Roman"/>
        </w:rPr>
        <w:t xml:space="preserve">IV - </w:t>
      </w:r>
      <w:r w:rsidRPr="00163B5F">
        <w:rPr>
          <w:rFonts w:ascii="Times New Roman" w:hAnsi="Times New Roman"/>
          <w:i/>
        </w:rPr>
        <w:t>garantir a observância de enunciado de súmula vinculante e de precedente proferido em julgamento de casos repetitivos ou em incidente de assunção de competência</w:t>
      </w:r>
      <w:r w:rsidRPr="00163B5F">
        <w:rPr>
          <w:rFonts w:ascii="Times New Roman" w:hAnsi="Times New Roman"/>
        </w:rPr>
        <w:t>.</w:t>
      </w:r>
      <w:r>
        <w:rPr>
          <w:rFonts w:ascii="Times New Roman" w:hAnsi="Times New Roman"/>
        </w:rPr>
        <w:t xml:space="preserve"> </w:t>
      </w:r>
    </w:p>
    <w:p w:rsidR="00D549BC" w:rsidRDefault="00D549BC" w:rsidP="00163B5F">
      <w:pPr>
        <w:pStyle w:val="FootnoteText"/>
        <w:ind w:firstLine="0"/>
        <w:rPr>
          <w:rFonts w:ascii="Times New Roman" w:hAnsi="Times New Roman"/>
        </w:rPr>
      </w:pPr>
      <w:r w:rsidRPr="00070F83">
        <w:rPr>
          <w:rFonts w:ascii="Times New Roman" w:hAnsi="Times New Roman"/>
        </w:rPr>
        <w:t>Art. 1.042.  Cabe agravo contra decisão de presidente ou de vice-presidente do tribunal que:</w:t>
      </w:r>
      <w:r>
        <w:rPr>
          <w:rFonts w:ascii="Times New Roman" w:hAnsi="Times New Roman"/>
        </w:rPr>
        <w:t xml:space="preserve"> </w:t>
      </w:r>
    </w:p>
    <w:p w:rsidR="00D549BC" w:rsidRDefault="00D549BC" w:rsidP="00163B5F">
      <w:pPr>
        <w:pStyle w:val="FootnoteText"/>
        <w:ind w:firstLine="0"/>
        <w:rPr>
          <w:rFonts w:ascii="Times New Roman" w:hAnsi="Times New Roman"/>
        </w:rPr>
      </w:pPr>
      <w:r>
        <w:rPr>
          <w:rFonts w:ascii="Times New Roman" w:hAnsi="Times New Roman"/>
        </w:rPr>
        <w:t>(...)</w:t>
      </w:r>
    </w:p>
    <w:p w:rsidR="00D549BC" w:rsidRDefault="00D549BC" w:rsidP="00163B5F">
      <w:pPr>
        <w:pStyle w:val="FootnoteText"/>
        <w:ind w:firstLine="0"/>
        <w:rPr>
          <w:rFonts w:ascii="Times New Roman" w:hAnsi="Times New Roman"/>
        </w:rPr>
      </w:pPr>
      <w:r w:rsidRPr="00070F83">
        <w:rPr>
          <w:rFonts w:ascii="Times New Roman" w:hAnsi="Times New Roman"/>
        </w:rPr>
        <w:t xml:space="preserve">II - </w:t>
      </w:r>
      <w:r w:rsidRPr="00070F83">
        <w:rPr>
          <w:rFonts w:ascii="Times New Roman" w:hAnsi="Times New Roman"/>
          <w:i/>
        </w:rPr>
        <w:t>inadmitir</w:t>
      </w:r>
      <w:r w:rsidRPr="00070F83">
        <w:rPr>
          <w:rFonts w:ascii="Times New Roman" w:hAnsi="Times New Roman"/>
        </w:rPr>
        <w:t xml:space="preserve">, com base no art. 1.040, inciso I, </w:t>
      </w:r>
      <w:r w:rsidRPr="00070F83">
        <w:rPr>
          <w:rFonts w:ascii="Times New Roman" w:hAnsi="Times New Roman"/>
          <w:i/>
        </w:rPr>
        <w:t>recurso</w:t>
      </w:r>
      <w:r w:rsidRPr="00070F83">
        <w:rPr>
          <w:rFonts w:ascii="Times New Roman" w:hAnsi="Times New Roman"/>
        </w:rPr>
        <w:t xml:space="preserve"> especial ou </w:t>
      </w:r>
      <w:r w:rsidRPr="00070F83">
        <w:rPr>
          <w:rFonts w:ascii="Times New Roman" w:hAnsi="Times New Roman"/>
          <w:i/>
        </w:rPr>
        <w:t>extraordinário</w:t>
      </w:r>
      <w:r w:rsidRPr="00070F83">
        <w:rPr>
          <w:rFonts w:ascii="Times New Roman" w:hAnsi="Times New Roman"/>
        </w:rPr>
        <w:t xml:space="preserve"> sob o fundamento de que o acórdão recorrido coincide com a orientação do tribunal superior;</w:t>
      </w:r>
    </w:p>
    <w:p w:rsidR="00D549BC" w:rsidRDefault="00D549BC" w:rsidP="00163B5F">
      <w:pPr>
        <w:pStyle w:val="FootnoteText"/>
        <w:ind w:firstLine="0"/>
      </w:pPr>
      <w:r w:rsidRPr="00070F83">
        <w:rPr>
          <w:rFonts w:ascii="Times New Roman" w:hAnsi="Times New Roman"/>
        </w:rPr>
        <w:t xml:space="preserve">III - </w:t>
      </w:r>
      <w:r w:rsidRPr="00070F83">
        <w:rPr>
          <w:rFonts w:ascii="Times New Roman" w:hAnsi="Times New Roman"/>
          <w:i/>
        </w:rPr>
        <w:t>inadmitir recurso extraordinário</w:t>
      </w:r>
      <w:r>
        <w:rPr>
          <w:rFonts w:ascii="Times New Roman" w:hAnsi="Times New Roman"/>
        </w:rPr>
        <w:t>, com base no art. 1.035, § 8º</w:t>
      </w:r>
      <w:r w:rsidRPr="00070F83">
        <w:rPr>
          <w:rFonts w:ascii="Times New Roman" w:hAnsi="Times New Roman"/>
        </w:rPr>
        <w:t>, ou no art. 1.039, parágrafo único, sob o fundamento de que o Supremo Tribunal Federal reconheceu a inexistência de repercussão geral da q</w:t>
      </w:r>
      <w:r>
        <w:rPr>
          <w:rFonts w:ascii="Times New Roman" w:hAnsi="Times New Roman"/>
        </w:rPr>
        <w:t xml:space="preserve">uestão constitucional discutida (BRASIL. Planalto. Lei 13.105, de 16 de março de 2015. Grifos nossos). </w:t>
      </w:r>
    </w:p>
  </w:footnote>
  <w:footnote w:id="276">
    <w:p w:rsidR="00D549BC" w:rsidRPr="00D04814" w:rsidRDefault="00D549BC" w:rsidP="00D04814">
      <w:pPr>
        <w:pStyle w:val="FootnoteText"/>
        <w:ind w:firstLine="0"/>
        <w:rPr>
          <w:rFonts w:ascii="Times New Roman" w:hAnsi="Times New Roman"/>
        </w:rPr>
      </w:pPr>
      <w:r w:rsidRPr="00D04814">
        <w:rPr>
          <w:rStyle w:val="FootnoteReference"/>
          <w:rFonts w:ascii="Times New Roman" w:hAnsi="Times New Roman"/>
        </w:rPr>
        <w:footnoteRef/>
      </w:r>
      <w:r>
        <w:rPr>
          <w:rFonts w:ascii="Times New Roman" w:hAnsi="Times New Roman"/>
        </w:rPr>
        <w:t xml:space="preserve"> A</w:t>
      </w:r>
      <w:r w:rsidRPr="00D04814">
        <w:rPr>
          <w:rFonts w:ascii="Times New Roman" w:hAnsi="Times New Roman"/>
        </w:rPr>
        <w:t>rt. 1.030.  Recebida a petição do recurso pela secretaria do tribunal, o recorrido será intimado para apresentar contrarrazões no prazo de 15 (quinze) dias, findo o qual os autos serão remetidos ao respectivo tribunal superior.</w:t>
      </w:r>
    </w:p>
    <w:p w:rsidR="00D549BC" w:rsidRDefault="00D549BC" w:rsidP="00D04814">
      <w:pPr>
        <w:pStyle w:val="FootnoteText"/>
        <w:ind w:firstLine="0"/>
      </w:pPr>
      <w:r w:rsidRPr="00D04814">
        <w:rPr>
          <w:rFonts w:ascii="Times New Roman" w:hAnsi="Times New Roman"/>
        </w:rPr>
        <w:t xml:space="preserve">Parágrafo único.  </w:t>
      </w:r>
      <w:r w:rsidRPr="00D04814">
        <w:rPr>
          <w:rFonts w:ascii="Times New Roman" w:hAnsi="Times New Roman"/>
          <w:i/>
        </w:rPr>
        <w:t>A remessa de que trata o caput dar-se-á independentemente de juízo de admissibilidade</w:t>
      </w:r>
      <w:r>
        <w:rPr>
          <w:rFonts w:ascii="Times New Roman" w:hAnsi="Times New Roman"/>
        </w:rPr>
        <w:t xml:space="preserve"> </w:t>
      </w:r>
    </w:p>
  </w:footnote>
  <w:footnote w:id="277">
    <w:p w:rsidR="00D549BC" w:rsidRDefault="00D549BC" w:rsidP="00E9242F">
      <w:pPr>
        <w:pStyle w:val="FootnoteText"/>
        <w:ind w:firstLine="0"/>
        <w:rPr>
          <w:rFonts w:ascii="Times New Roman" w:hAnsi="Times New Roman"/>
        </w:rPr>
      </w:pPr>
      <w:r w:rsidRPr="00E9242F">
        <w:rPr>
          <w:rStyle w:val="FootnoteReference"/>
          <w:rFonts w:ascii="Times New Roman" w:hAnsi="Times New Roman"/>
        </w:rPr>
        <w:footnoteRef/>
      </w:r>
      <w:r w:rsidRPr="00E9242F">
        <w:rPr>
          <w:rFonts w:ascii="Times New Roman" w:hAnsi="Times New Roman"/>
        </w:rPr>
        <w:t xml:space="preserve"> </w:t>
      </w:r>
      <w:r w:rsidRPr="00204214">
        <w:rPr>
          <w:rFonts w:ascii="Times New Roman" w:hAnsi="Times New Roman"/>
        </w:rPr>
        <w:t xml:space="preserve">Art. 544.  </w:t>
      </w:r>
      <w:r w:rsidRPr="00204214">
        <w:rPr>
          <w:rFonts w:ascii="Times New Roman" w:hAnsi="Times New Roman"/>
          <w:i/>
        </w:rPr>
        <w:t>Não admitido o recurso extraordinário</w:t>
      </w:r>
      <w:r w:rsidRPr="00204214">
        <w:rPr>
          <w:rFonts w:ascii="Times New Roman" w:hAnsi="Times New Roman"/>
        </w:rPr>
        <w:t xml:space="preserve"> ou o recurso especial, </w:t>
      </w:r>
      <w:r w:rsidRPr="00204214">
        <w:rPr>
          <w:rFonts w:ascii="Times New Roman" w:hAnsi="Times New Roman"/>
          <w:i/>
        </w:rPr>
        <w:t>caberá agravo nos próprios autos</w:t>
      </w:r>
      <w:r w:rsidRPr="00204214">
        <w:rPr>
          <w:rFonts w:ascii="Times New Roman" w:hAnsi="Times New Roman"/>
        </w:rPr>
        <w:t>, no prazo de 10 (dez) dias.</w:t>
      </w:r>
      <w:r>
        <w:rPr>
          <w:rFonts w:ascii="Times New Roman" w:hAnsi="Times New Roman"/>
        </w:rPr>
        <w:t xml:space="preserve"> </w:t>
      </w:r>
    </w:p>
    <w:p w:rsidR="00D549BC" w:rsidRDefault="00D549BC" w:rsidP="00E9242F">
      <w:pPr>
        <w:pStyle w:val="FootnoteText"/>
        <w:ind w:firstLine="0"/>
        <w:rPr>
          <w:rFonts w:ascii="Times New Roman" w:hAnsi="Times New Roman"/>
        </w:rPr>
      </w:pPr>
      <w:r>
        <w:rPr>
          <w:rFonts w:ascii="Times New Roman" w:hAnsi="Times New Roman"/>
        </w:rPr>
        <w:t>(...)</w:t>
      </w:r>
    </w:p>
    <w:p w:rsidR="00D549BC" w:rsidRDefault="00D549BC" w:rsidP="00E9242F">
      <w:pPr>
        <w:pStyle w:val="FootnoteText"/>
        <w:ind w:firstLine="0"/>
      </w:pPr>
      <w:r w:rsidRPr="00204214">
        <w:rPr>
          <w:rFonts w:ascii="Times New Roman" w:hAnsi="Times New Roman"/>
        </w:rPr>
        <w:t xml:space="preserve">§ 2o A petição de agravo será dirigida à presidência do tribunal de origem, não dependendo do pagamento de custas e despesas postais. O agravado será intimado, de imediato, para no prazo de 10 (dez) dias oferecer resposta, podendo instruí-la com cópias das peças que entender conveniente. </w:t>
      </w:r>
      <w:r w:rsidRPr="00204214">
        <w:rPr>
          <w:rFonts w:ascii="Times New Roman" w:hAnsi="Times New Roman"/>
          <w:i/>
        </w:rPr>
        <w:t>Em seguida, subirá o agravo ao tribunal superior, onde será processado na forma regimental</w:t>
      </w:r>
      <w:r w:rsidRPr="00204214">
        <w:rPr>
          <w:rFonts w:ascii="Times New Roman" w:hAnsi="Times New Roman"/>
        </w:rPr>
        <w:t>.</w:t>
      </w:r>
    </w:p>
  </w:footnote>
  <w:footnote w:id="278">
    <w:p w:rsidR="00D549BC" w:rsidRDefault="00D549BC" w:rsidP="005C2EBD">
      <w:pPr>
        <w:pStyle w:val="FootnoteText"/>
        <w:ind w:firstLine="0"/>
        <w:rPr>
          <w:rFonts w:ascii="Times New Roman" w:hAnsi="Times New Roman"/>
        </w:rPr>
      </w:pPr>
      <w:r w:rsidRPr="005C2EBD">
        <w:rPr>
          <w:rStyle w:val="FootnoteReference"/>
          <w:rFonts w:ascii="Times New Roman" w:hAnsi="Times New Roman"/>
        </w:rPr>
        <w:footnoteRef/>
      </w:r>
      <w:r w:rsidRPr="005C2EBD">
        <w:rPr>
          <w:rFonts w:ascii="Times New Roman" w:hAnsi="Times New Roman"/>
        </w:rPr>
        <w:t xml:space="preserve"> Art. 1.035.  O Supremo Tribunal Federal, em decisão irrecorrível, não conhecerá do recurso extraordinário quando a questão constitucional nele versada não tiver repercussão geral, nos termos deste artigo.</w:t>
      </w:r>
      <w:r>
        <w:rPr>
          <w:rFonts w:ascii="Times New Roman" w:hAnsi="Times New Roman"/>
        </w:rPr>
        <w:t xml:space="preserve"> </w:t>
      </w:r>
    </w:p>
    <w:p w:rsidR="00D549BC" w:rsidRDefault="00D549BC" w:rsidP="005C2EBD">
      <w:pPr>
        <w:pStyle w:val="FootnoteText"/>
        <w:ind w:firstLine="0"/>
        <w:rPr>
          <w:rFonts w:ascii="Times New Roman" w:hAnsi="Times New Roman"/>
        </w:rPr>
      </w:pPr>
      <w:r>
        <w:rPr>
          <w:rFonts w:ascii="Times New Roman" w:hAnsi="Times New Roman"/>
        </w:rPr>
        <w:t>§ 9º</w:t>
      </w:r>
      <w:r w:rsidRPr="005C2EBD">
        <w:rPr>
          <w:rFonts w:ascii="Times New Roman" w:hAnsi="Times New Roman"/>
        </w:rPr>
        <w:t xml:space="preserve"> O recurso que tiver a repercussão geral reconhecida deverá ser julgad</w:t>
      </w:r>
      <w:r>
        <w:rPr>
          <w:rFonts w:ascii="Times New Roman" w:hAnsi="Times New Roman"/>
        </w:rPr>
        <w:t xml:space="preserve">o no prazo de 1 (um) ano e terá </w:t>
      </w:r>
      <w:r w:rsidRPr="005C2EBD">
        <w:rPr>
          <w:rFonts w:ascii="Times New Roman" w:hAnsi="Times New Roman"/>
        </w:rPr>
        <w:t>preferência sobre os demais feitos, ressalvados os que envolvam réu preso e os pedidos de habeas corpus.</w:t>
      </w:r>
    </w:p>
    <w:p w:rsidR="00D549BC" w:rsidRDefault="00D549BC" w:rsidP="005C2EBD">
      <w:pPr>
        <w:pStyle w:val="FootnoteText"/>
        <w:ind w:firstLine="0"/>
        <w:rPr>
          <w:rFonts w:ascii="Times New Roman" w:hAnsi="Times New Roman"/>
        </w:rPr>
      </w:pPr>
      <w:r w:rsidRPr="005C2EBD">
        <w:rPr>
          <w:rFonts w:ascii="Times New Roman" w:hAnsi="Times New Roman"/>
        </w:rPr>
        <w:t>§ 10.  Não ocorrendo o julgamento no prazo de 1 (um) ano a contar do reconhecimento da repercussão geral, cessa,</w:t>
      </w:r>
      <w:r>
        <w:rPr>
          <w:rFonts w:ascii="Times New Roman" w:hAnsi="Times New Roman"/>
        </w:rPr>
        <w:t xml:space="preserve"> </w:t>
      </w:r>
      <w:r w:rsidRPr="005C2EBD">
        <w:rPr>
          <w:rFonts w:ascii="Times New Roman" w:hAnsi="Times New Roman"/>
        </w:rPr>
        <w:t>em todo o território nacional, a suspensão dos processos,</w:t>
      </w:r>
      <w:r>
        <w:rPr>
          <w:rFonts w:ascii="Times New Roman" w:hAnsi="Times New Roman"/>
        </w:rPr>
        <w:t xml:space="preserve"> que retomarão seu curso normal. </w:t>
      </w:r>
    </w:p>
    <w:p w:rsidR="00D549BC" w:rsidRDefault="00D549BC" w:rsidP="005C2EBD">
      <w:pPr>
        <w:pStyle w:val="FootnoteText"/>
        <w:ind w:firstLine="0"/>
        <w:rPr>
          <w:rFonts w:ascii="Times New Roman" w:hAnsi="Times New Roman"/>
        </w:rPr>
      </w:pPr>
      <w:r w:rsidRPr="005C2EBD">
        <w:rPr>
          <w:rFonts w:ascii="Times New Roman" w:hAnsi="Times New Roman"/>
        </w:rPr>
        <w:t>Art. 1.037.  Selecionados os recursos, o relator, no tribunal superior, constatando a presença do pressuposto do caput do art. 1.036, proferirá decisão de afetação, na qual</w:t>
      </w:r>
      <w:r>
        <w:rPr>
          <w:rFonts w:ascii="Times New Roman" w:hAnsi="Times New Roman"/>
        </w:rPr>
        <w:t xml:space="preserve">: </w:t>
      </w:r>
    </w:p>
    <w:p w:rsidR="00D549BC" w:rsidRDefault="00D549BC" w:rsidP="005C2EBD">
      <w:pPr>
        <w:pStyle w:val="FootnoteText"/>
        <w:ind w:firstLine="0"/>
        <w:rPr>
          <w:rFonts w:ascii="Times New Roman" w:hAnsi="Times New Roman"/>
        </w:rPr>
      </w:pPr>
      <w:r>
        <w:rPr>
          <w:rFonts w:ascii="Times New Roman" w:hAnsi="Times New Roman"/>
        </w:rPr>
        <w:t xml:space="preserve">(...) </w:t>
      </w:r>
    </w:p>
    <w:p w:rsidR="00D549BC" w:rsidRDefault="00D549BC" w:rsidP="005C2EBD">
      <w:pPr>
        <w:pStyle w:val="FootnoteText"/>
        <w:ind w:firstLine="0"/>
      </w:pPr>
      <w:r>
        <w:rPr>
          <w:rFonts w:ascii="Times New Roman" w:hAnsi="Times New Roman"/>
        </w:rPr>
        <w:t>§ 4º</w:t>
      </w:r>
      <w:r w:rsidRPr="005C2EBD">
        <w:rPr>
          <w:rFonts w:ascii="Times New Roman" w:hAnsi="Times New Roman"/>
        </w:rPr>
        <w:t xml:space="preserve"> Os recursos afetados deverão ser julgados no prazo de 1 (um) ano e terão preferência sobre os demais feitos, ressalvados os que envolvam réu preso e os pedidos de </w:t>
      </w:r>
      <w:r w:rsidRPr="00F4183C">
        <w:rPr>
          <w:rFonts w:ascii="Times New Roman" w:hAnsi="Times New Roman"/>
          <w:i/>
        </w:rPr>
        <w:t>habeas corpus</w:t>
      </w:r>
      <w:r>
        <w:rPr>
          <w:rFonts w:ascii="Times New Roman" w:hAnsi="Times New Roman"/>
        </w:rPr>
        <w:t xml:space="preserve"> (BRASIL, </w:t>
      </w:r>
      <w:r w:rsidRPr="005B60F6">
        <w:rPr>
          <w:rFonts w:ascii="Times New Roman" w:hAnsi="Times New Roman"/>
        </w:rPr>
        <w:t>Planalto</w:t>
      </w:r>
      <w:r>
        <w:rPr>
          <w:rFonts w:ascii="Times New Roman" w:hAnsi="Times New Roman"/>
        </w:rPr>
        <w:t>. Lei 13.105, de 16 de março de 2015. Novo Código de Processo Civil)</w:t>
      </w:r>
      <w:r w:rsidRPr="005C2EBD">
        <w:rPr>
          <w:rFonts w:ascii="Times New Roman" w:hAnsi="Times New Roman"/>
        </w:rPr>
        <w:t>.</w:t>
      </w:r>
    </w:p>
  </w:footnote>
  <w:footnote w:id="279">
    <w:p w:rsidR="00D549BC" w:rsidRDefault="00D549BC" w:rsidP="00050006">
      <w:pPr>
        <w:pStyle w:val="FootnoteText"/>
        <w:ind w:firstLine="0"/>
      </w:pPr>
      <w:r w:rsidRPr="00050006">
        <w:rPr>
          <w:rStyle w:val="FootnoteReference"/>
          <w:rFonts w:ascii="Times New Roman" w:hAnsi="Times New Roman"/>
        </w:rPr>
        <w:footnoteRef/>
      </w:r>
      <w:r w:rsidRPr="00050006">
        <w:rPr>
          <w:rFonts w:ascii="Times New Roman" w:hAnsi="Times New Roman"/>
        </w:rPr>
        <w:t xml:space="preserve"> </w:t>
      </w:r>
      <w:r>
        <w:rPr>
          <w:rFonts w:ascii="Times New Roman" w:hAnsi="Times New Roman"/>
        </w:rPr>
        <w:t xml:space="preserve">BARROSO. Luís Roberto. </w:t>
      </w:r>
      <w:r w:rsidRPr="00050006">
        <w:rPr>
          <w:rFonts w:ascii="Times New Roman" w:hAnsi="Times New Roman"/>
          <w:i/>
        </w:rPr>
        <w:t>Op</w:t>
      </w:r>
      <w:r>
        <w:rPr>
          <w:rFonts w:ascii="Times New Roman" w:hAnsi="Times New Roman"/>
        </w:rPr>
        <w:t xml:space="preserve">. </w:t>
      </w:r>
      <w:r w:rsidRPr="00050006">
        <w:rPr>
          <w:rFonts w:ascii="Times New Roman" w:hAnsi="Times New Roman"/>
          <w:i/>
        </w:rPr>
        <w:t>Cit</w:t>
      </w:r>
      <w:r>
        <w:rPr>
          <w:rFonts w:ascii="Times New Roman" w:hAnsi="Times New Roman"/>
        </w:rPr>
        <w:t xml:space="preserve">., p. 13-14. </w:t>
      </w:r>
    </w:p>
  </w:footnote>
  <w:footnote w:id="280">
    <w:p w:rsidR="00D549BC" w:rsidRDefault="00D549BC" w:rsidP="00066A87">
      <w:pPr>
        <w:pStyle w:val="FootnoteText"/>
        <w:ind w:firstLine="0"/>
      </w:pPr>
      <w:r w:rsidRPr="00066A87">
        <w:rPr>
          <w:rStyle w:val="FootnoteReference"/>
          <w:rFonts w:ascii="Times New Roman" w:hAnsi="Times New Roman"/>
        </w:rPr>
        <w:footnoteRef/>
      </w:r>
      <w:r w:rsidRPr="00066A87">
        <w:rPr>
          <w:rFonts w:ascii="Times New Roman" w:hAnsi="Times New Roman"/>
        </w:rPr>
        <w:t xml:space="preserve"> </w:t>
      </w:r>
      <w:r>
        <w:rPr>
          <w:rFonts w:ascii="Times New Roman" w:hAnsi="Times New Roman"/>
        </w:rPr>
        <w:t xml:space="preserve">Art. 323-A </w:t>
      </w:r>
      <w:r w:rsidRPr="00066A87">
        <w:rPr>
          <w:rFonts w:ascii="Times New Roman" w:hAnsi="Times New Roman"/>
        </w:rPr>
        <w:t>O julgamento de mérito de questões com repercussão geral, nos</w:t>
      </w:r>
      <w:r>
        <w:rPr>
          <w:rFonts w:ascii="Times New Roman" w:hAnsi="Times New Roman"/>
        </w:rPr>
        <w:t xml:space="preserve"> </w:t>
      </w:r>
      <w:r w:rsidRPr="00066A87">
        <w:rPr>
          <w:rFonts w:ascii="Times New Roman" w:hAnsi="Times New Roman"/>
        </w:rPr>
        <w:t>casos de reafirmação de jurisprudência dominante da Corte, também poderá ser</w:t>
      </w:r>
      <w:r>
        <w:rPr>
          <w:rFonts w:ascii="Times New Roman" w:hAnsi="Times New Roman"/>
        </w:rPr>
        <w:t xml:space="preserve"> realizado por meio eletrônico (</w:t>
      </w:r>
      <w:r w:rsidRPr="00066A87">
        <w:rPr>
          <w:rFonts w:ascii="Times New Roman" w:hAnsi="Times New Roman"/>
        </w:rPr>
        <w:t>Atualizado com a introdução da Emenda Regimental 42/2010</w:t>
      </w:r>
      <w:r>
        <w:rPr>
          <w:rFonts w:ascii="Times New Roman" w:hAnsi="Times New Roman"/>
        </w:rPr>
        <w:t>)</w:t>
      </w:r>
      <w:r w:rsidRPr="00066A87">
        <w:rPr>
          <w:rFonts w:ascii="Times New Roman" w:hAnsi="Times New Roman"/>
        </w:rPr>
        <w:t>.</w:t>
      </w:r>
      <w:r>
        <w:rPr>
          <w:rFonts w:ascii="Times New Roman" w:hAnsi="Times New Roman"/>
        </w:rPr>
        <w:t xml:space="preserve"> (BRASIL. STF. Regimento Interno). </w:t>
      </w:r>
    </w:p>
  </w:footnote>
  <w:footnote w:id="281">
    <w:p w:rsidR="00D549BC" w:rsidRDefault="00D549BC" w:rsidP="00125E3D">
      <w:pPr>
        <w:pStyle w:val="FootnoteText"/>
        <w:ind w:firstLine="0"/>
        <w:rPr>
          <w:rFonts w:ascii="Times New Roman" w:hAnsi="Times New Roman"/>
        </w:rPr>
      </w:pPr>
      <w:r w:rsidRPr="00125E3D">
        <w:rPr>
          <w:rStyle w:val="FootnoteReference"/>
          <w:rFonts w:ascii="Times New Roman" w:hAnsi="Times New Roman"/>
        </w:rPr>
        <w:footnoteRef/>
      </w:r>
      <w:r w:rsidRPr="00125E3D">
        <w:rPr>
          <w:rFonts w:ascii="Times New Roman" w:hAnsi="Times New Roman"/>
        </w:rPr>
        <w:t xml:space="preserve"> Art. 1.029.  O recurso extraordinário e o recurso especial, nos casos previstos na Constituição Federal, serão interpostos perante o presidente ou o vice-p</w:t>
      </w:r>
      <w:r>
        <w:rPr>
          <w:rFonts w:ascii="Times New Roman" w:hAnsi="Times New Roman"/>
        </w:rPr>
        <w:t>residente do tribunal recorrido (...).</w:t>
      </w:r>
    </w:p>
    <w:p w:rsidR="00D549BC" w:rsidRDefault="00D549BC" w:rsidP="00125E3D">
      <w:pPr>
        <w:pStyle w:val="FootnoteText"/>
        <w:ind w:firstLine="0"/>
      </w:pPr>
      <w:r>
        <w:rPr>
          <w:rFonts w:ascii="Times New Roman" w:hAnsi="Times New Roman"/>
        </w:rPr>
        <w:t>§ 3º</w:t>
      </w:r>
      <w:r w:rsidRPr="00474251">
        <w:rPr>
          <w:rFonts w:ascii="Times New Roman" w:hAnsi="Times New Roman"/>
        </w:rPr>
        <w:t xml:space="preserve"> </w:t>
      </w:r>
      <w:r w:rsidRPr="00474251">
        <w:rPr>
          <w:rFonts w:ascii="Times New Roman" w:hAnsi="Times New Roman"/>
          <w:i/>
        </w:rPr>
        <w:t>O Supremo Tribunal Federal ou o Superior Tribunal de Justiça poderá desconsiderar vício formal de recurso tempestivo ou determinar sua correção, desde que não o repute grave</w:t>
      </w:r>
      <w:r>
        <w:rPr>
          <w:rFonts w:ascii="Times New Roman" w:hAnsi="Times New Roman"/>
        </w:rPr>
        <w:t xml:space="preserve"> (BRASIL. </w:t>
      </w:r>
      <w:r w:rsidRPr="005B60F6">
        <w:rPr>
          <w:rFonts w:ascii="Times New Roman" w:hAnsi="Times New Roman"/>
        </w:rPr>
        <w:t>Planalto</w:t>
      </w:r>
      <w:r>
        <w:rPr>
          <w:rFonts w:ascii="Times New Roman" w:hAnsi="Times New Roman"/>
        </w:rPr>
        <w:t>. Lei 13.105, de 16 de março de 2015 – Novo Código de Processo Civil)</w:t>
      </w:r>
      <w:r w:rsidRPr="00474251">
        <w:rPr>
          <w:rFonts w:ascii="Times New Roman" w:hAnsi="Times New Roman"/>
        </w:rPr>
        <w:t>.</w:t>
      </w:r>
    </w:p>
  </w:footnote>
  <w:footnote w:id="282">
    <w:p w:rsidR="00D549BC" w:rsidRDefault="00D549BC" w:rsidP="00502C93">
      <w:pPr>
        <w:pStyle w:val="FootnoteText"/>
        <w:ind w:firstLine="0"/>
      </w:pPr>
      <w:r w:rsidRPr="00502C93">
        <w:rPr>
          <w:rStyle w:val="FootnoteReference"/>
          <w:rFonts w:ascii="Times New Roman" w:hAnsi="Times New Roman"/>
        </w:rPr>
        <w:footnoteRef/>
      </w:r>
      <w:r w:rsidRPr="00502C93">
        <w:rPr>
          <w:rFonts w:ascii="Times New Roman" w:hAnsi="Times New Roman"/>
        </w:rPr>
        <w:t xml:space="preserve"> </w:t>
      </w:r>
      <w:r>
        <w:rPr>
          <w:rFonts w:ascii="Times New Roman" w:hAnsi="Times New Roman"/>
        </w:rPr>
        <w:t>RECONDO, Felipe. “</w:t>
      </w:r>
      <w:r w:rsidRPr="00502C93">
        <w:rPr>
          <w:rFonts w:ascii="Times New Roman" w:hAnsi="Times New Roman"/>
        </w:rPr>
        <w:t>Gilmar Mendes defende adiamento do novo CPC</w:t>
      </w:r>
      <w:r>
        <w:rPr>
          <w:rFonts w:ascii="Times New Roman" w:hAnsi="Times New Roman"/>
        </w:rPr>
        <w:t xml:space="preserve">”. </w:t>
      </w:r>
      <w:r>
        <w:rPr>
          <w:rFonts w:ascii="Times New Roman" w:hAnsi="Times New Roman"/>
          <w:b/>
        </w:rPr>
        <w:t xml:space="preserve">Jota. </w:t>
      </w:r>
      <w:r>
        <w:rPr>
          <w:rFonts w:ascii="Times New Roman" w:hAnsi="Times New Roman"/>
        </w:rPr>
        <w:t xml:space="preserve">Disponível em: </w:t>
      </w:r>
      <w:r w:rsidRPr="00BD6038">
        <w:rPr>
          <w:rFonts w:ascii="Times New Roman" w:hAnsi="Times New Roman"/>
        </w:rPr>
        <w:t>http://jota.info/gilmar-mendes-defende-adiamento-do-novo-cpc</w:t>
      </w:r>
      <w:r>
        <w:rPr>
          <w:rFonts w:ascii="Times New Roman" w:hAnsi="Times New Roman"/>
        </w:rPr>
        <w:t xml:space="preserve">. Acesso em: 23 jun. 2015.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9BC" w:rsidRPr="00531773" w:rsidRDefault="00D549BC">
    <w:pPr>
      <w:pStyle w:val="Header"/>
      <w:jc w:val="right"/>
      <w:rPr>
        <w:rFonts w:ascii="Times New Roman" w:hAnsi="Times New Roman"/>
        <w:sz w:val="24"/>
      </w:rPr>
    </w:pPr>
    <w:r w:rsidRPr="00531773">
      <w:rPr>
        <w:rFonts w:ascii="Times New Roman" w:hAnsi="Times New Roman"/>
        <w:sz w:val="24"/>
      </w:rPr>
      <w:fldChar w:fldCharType="begin"/>
    </w:r>
    <w:r w:rsidRPr="00531773">
      <w:rPr>
        <w:rFonts w:ascii="Times New Roman" w:hAnsi="Times New Roman"/>
        <w:sz w:val="24"/>
      </w:rPr>
      <w:instrText>PAGE   \* MERGEFORMAT</w:instrText>
    </w:r>
    <w:r w:rsidRPr="00531773">
      <w:rPr>
        <w:rFonts w:ascii="Times New Roman" w:hAnsi="Times New Roman"/>
        <w:sz w:val="24"/>
      </w:rPr>
      <w:fldChar w:fldCharType="separate"/>
    </w:r>
    <w:r>
      <w:rPr>
        <w:rFonts w:ascii="Times New Roman" w:hAnsi="Times New Roman"/>
        <w:noProof/>
        <w:sz w:val="24"/>
      </w:rPr>
      <w:t>2</w:t>
    </w:r>
    <w:r w:rsidRPr="00531773">
      <w:rPr>
        <w:rFonts w:ascii="Times New Roman" w:hAnsi="Times New Roman"/>
        <w:sz w:val="24"/>
      </w:rPr>
      <w:fldChar w:fldCharType="end"/>
    </w:r>
  </w:p>
  <w:p w:rsidR="00D549BC" w:rsidRDefault="00D549B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9BC" w:rsidRDefault="00D549BC" w:rsidP="00406A06">
    <w:pPr>
      <w:pStyle w:val="Header"/>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9BC" w:rsidRPr="00531773" w:rsidRDefault="00D549BC">
    <w:pPr>
      <w:pStyle w:val="Header"/>
      <w:jc w:val="right"/>
      <w:rPr>
        <w:rFonts w:ascii="Times New Roman" w:hAnsi="Times New Roman"/>
        <w:sz w:val="24"/>
      </w:rPr>
    </w:pPr>
  </w:p>
  <w:p w:rsidR="00D549BC" w:rsidRDefault="00D549B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9BC" w:rsidRPr="00531773" w:rsidRDefault="00D549BC">
    <w:pPr>
      <w:pStyle w:val="Header"/>
      <w:jc w:val="right"/>
      <w:rPr>
        <w:rFonts w:ascii="Times New Roman" w:hAnsi="Times New Roman"/>
        <w:sz w:val="24"/>
      </w:rPr>
    </w:pPr>
  </w:p>
  <w:p w:rsidR="00D549BC" w:rsidRDefault="00D549B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9BC" w:rsidRPr="00531773" w:rsidRDefault="00D549BC">
    <w:pPr>
      <w:pStyle w:val="Header"/>
      <w:jc w:val="right"/>
      <w:rPr>
        <w:rFonts w:ascii="Times New Roman" w:hAnsi="Times New Roman"/>
        <w:sz w:val="24"/>
      </w:rPr>
    </w:pPr>
    <w:r w:rsidRPr="00531773">
      <w:rPr>
        <w:rFonts w:ascii="Times New Roman" w:hAnsi="Times New Roman"/>
        <w:sz w:val="24"/>
      </w:rPr>
      <w:fldChar w:fldCharType="begin"/>
    </w:r>
    <w:r w:rsidRPr="00531773">
      <w:rPr>
        <w:rFonts w:ascii="Times New Roman" w:hAnsi="Times New Roman"/>
        <w:sz w:val="24"/>
      </w:rPr>
      <w:instrText>PAGE   \* MERGEFORMAT</w:instrText>
    </w:r>
    <w:r w:rsidRPr="00531773">
      <w:rPr>
        <w:rFonts w:ascii="Times New Roman" w:hAnsi="Times New Roman"/>
        <w:sz w:val="24"/>
      </w:rPr>
      <w:fldChar w:fldCharType="separate"/>
    </w:r>
    <w:r>
      <w:rPr>
        <w:rFonts w:ascii="Times New Roman" w:hAnsi="Times New Roman"/>
        <w:noProof/>
        <w:sz w:val="24"/>
      </w:rPr>
      <w:t>73</w:t>
    </w:r>
    <w:r w:rsidRPr="00531773">
      <w:rPr>
        <w:rFonts w:ascii="Times New Roman" w:hAnsi="Times New Roman"/>
        <w:sz w:val="24"/>
      </w:rPr>
      <w:fldChar w:fldCharType="end"/>
    </w:r>
  </w:p>
  <w:p w:rsidR="00D549BC" w:rsidRDefault="00D549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1580"/>
    <w:multiLevelType w:val="hybridMultilevel"/>
    <w:tmpl w:val="E006EF54"/>
    <w:lvl w:ilvl="0" w:tplc="0F50D152">
      <w:start w:val="1"/>
      <w:numFmt w:val="decimal"/>
      <w:lvlText w:val="%1."/>
      <w:lvlJc w:val="left"/>
      <w:pPr>
        <w:ind w:left="1211" w:hanging="360"/>
      </w:pPr>
      <w:rPr>
        <w:rFonts w:cs="Times New Roman" w:hint="default"/>
      </w:rPr>
    </w:lvl>
    <w:lvl w:ilvl="1" w:tplc="04160019" w:tentative="1">
      <w:start w:val="1"/>
      <w:numFmt w:val="lowerLetter"/>
      <w:lvlText w:val="%2."/>
      <w:lvlJc w:val="left"/>
      <w:pPr>
        <w:ind w:left="1931" w:hanging="360"/>
      </w:pPr>
      <w:rPr>
        <w:rFonts w:cs="Times New Roman"/>
      </w:rPr>
    </w:lvl>
    <w:lvl w:ilvl="2" w:tplc="0416001B" w:tentative="1">
      <w:start w:val="1"/>
      <w:numFmt w:val="lowerRoman"/>
      <w:lvlText w:val="%3."/>
      <w:lvlJc w:val="right"/>
      <w:pPr>
        <w:ind w:left="2651" w:hanging="180"/>
      </w:pPr>
      <w:rPr>
        <w:rFonts w:cs="Times New Roman"/>
      </w:rPr>
    </w:lvl>
    <w:lvl w:ilvl="3" w:tplc="0416000F" w:tentative="1">
      <w:start w:val="1"/>
      <w:numFmt w:val="decimal"/>
      <w:lvlText w:val="%4."/>
      <w:lvlJc w:val="left"/>
      <w:pPr>
        <w:ind w:left="3371" w:hanging="360"/>
      </w:pPr>
      <w:rPr>
        <w:rFonts w:cs="Times New Roman"/>
      </w:rPr>
    </w:lvl>
    <w:lvl w:ilvl="4" w:tplc="04160019" w:tentative="1">
      <w:start w:val="1"/>
      <w:numFmt w:val="lowerLetter"/>
      <w:lvlText w:val="%5."/>
      <w:lvlJc w:val="left"/>
      <w:pPr>
        <w:ind w:left="4091" w:hanging="360"/>
      </w:pPr>
      <w:rPr>
        <w:rFonts w:cs="Times New Roman"/>
      </w:rPr>
    </w:lvl>
    <w:lvl w:ilvl="5" w:tplc="0416001B" w:tentative="1">
      <w:start w:val="1"/>
      <w:numFmt w:val="lowerRoman"/>
      <w:lvlText w:val="%6."/>
      <w:lvlJc w:val="right"/>
      <w:pPr>
        <w:ind w:left="4811" w:hanging="180"/>
      </w:pPr>
      <w:rPr>
        <w:rFonts w:cs="Times New Roman"/>
      </w:rPr>
    </w:lvl>
    <w:lvl w:ilvl="6" w:tplc="0416000F" w:tentative="1">
      <w:start w:val="1"/>
      <w:numFmt w:val="decimal"/>
      <w:lvlText w:val="%7."/>
      <w:lvlJc w:val="left"/>
      <w:pPr>
        <w:ind w:left="5531" w:hanging="360"/>
      </w:pPr>
      <w:rPr>
        <w:rFonts w:cs="Times New Roman"/>
      </w:rPr>
    </w:lvl>
    <w:lvl w:ilvl="7" w:tplc="04160019" w:tentative="1">
      <w:start w:val="1"/>
      <w:numFmt w:val="lowerLetter"/>
      <w:lvlText w:val="%8."/>
      <w:lvlJc w:val="left"/>
      <w:pPr>
        <w:ind w:left="6251" w:hanging="360"/>
      </w:pPr>
      <w:rPr>
        <w:rFonts w:cs="Times New Roman"/>
      </w:rPr>
    </w:lvl>
    <w:lvl w:ilvl="8" w:tplc="0416001B" w:tentative="1">
      <w:start w:val="1"/>
      <w:numFmt w:val="lowerRoman"/>
      <w:lvlText w:val="%9."/>
      <w:lvlJc w:val="right"/>
      <w:pPr>
        <w:ind w:left="6971" w:hanging="180"/>
      </w:pPr>
      <w:rPr>
        <w:rFonts w:cs="Times New Roman"/>
      </w:rPr>
    </w:lvl>
  </w:abstractNum>
  <w:abstractNum w:abstractNumId="1">
    <w:nsid w:val="05A076A6"/>
    <w:multiLevelType w:val="hybridMultilevel"/>
    <w:tmpl w:val="246EE550"/>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9906289"/>
    <w:multiLevelType w:val="hybridMultilevel"/>
    <w:tmpl w:val="143234CA"/>
    <w:lvl w:ilvl="0" w:tplc="138EA0DE">
      <w:start w:val="1"/>
      <w:numFmt w:val="lowerLetter"/>
      <w:lvlText w:val="%1)"/>
      <w:lvlJc w:val="left"/>
      <w:pPr>
        <w:ind w:left="1069" w:hanging="360"/>
      </w:pPr>
      <w:rPr>
        <w:rFonts w:cs="Times New Roman" w:hint="default"/>
      </w:rPr>
    </w:lvl>
    <w:lvl w:ilvl="1" w:tplc="04160019" w:tentative="1">
      <w:start w:val="1"/>
      <w:numFmt w:val="lowerLetter"/>
      <w:lvlText w:val="%2."/>
      <w:lvlJc w:val="left"/>
      <w:pPr>
        <w:ind w:left="1789" w:hanging="360"/>
      </w:pPr>
      <w:rPr>
        <w:rFonts w:cs="Times New Roman"/>
      </w:rPr>
    </w:lvl>
    <w:lvl w:ilvl="2" w:tplc="0416001B" w:tentative="1">
      <w:start w:val="1"/>
      <w:numFmt w:val="lowerRoman"/>
      <w:lvlText w:val="%3."/>
      <w:lvlJc w:val="right"/>
      <w:pPr>
        <w:ind w:left="2509" w:hanging="180"/>
      </w:pPr>
      <w:rPr>
        <w:rFonts w:cs="Times New Roman"/>
      </w:rPr>
    </w:lvl>
    <w:lvl w:ilvl="3" w:tplc="0416000F" w:tentative="1">
      <w:start w:val="1"/>
      <w:numFmt w:val="decimal"/>
      <w:lvlText w:val="%4."/>
      <w:lvlJc w:val="left"/>
      <w:pPr>
        <w:ind w:left="3229" w:hanging="360"/>
      </w:pPr>
      <w:rPr>
        <w:rFonts w:cs="Times New Roman"/>
      </w:rPr>
    </w:lvl>
    <w:lvl w:ilvl="4" w:tplc="04160019" w:tentative="1">
      <w:start w:val="1"/>
      <w:numFmt w:val="lowerLetter"/>
      <w:lvlText w:val="%5."/>
      <w:lvlJc w:val="left"/>
      <w:pPr>
        <w:ind w:left="3949" w:hanging="360"/>
      </w:pPr>
      <w:rPr>
        <w:rFonts w:cs="Times New Roman"/>
      </w:rPr>
    </w:lvl>
    <w:lvl w:ilvl="5" w:tplc="0416001B" w:tentative="1">
      <w:start w:val="1"/>
      <w:numFmt w:val="lowerRoman"/>
      <w:lvlText w:val="%6."/>
      <w:lvlJc w:val="right"/>
      <w:pPr>
        <w:ind w:left="4669" w:hanging="180"/>
      </w:pPr>
      <w:rPr>
        <w:rFonts w:cs="Times New Roman"/>
      </w:rPr>
    </w:lvl>
    <w:lvl w:ilvl="6" w:tplc="0416000F" w:tentative="1">
      <w:start w:val="1"/>
      <w:numFmt w:val="decimal"/>
      <w:lvlText w:val="%7."/>
      <w:lvlJc w:val="left"/>
      <w:pPr>
        <w:ind w:left="5389" w:hanging="360"/>
      </w:pPr>
      <w:rPr>
        <w:rFonts w:cs="Times New Roman"/>
      </w:rPr>
    </w:lvl>
    <w:lvl w:ilvl="7" w:tplc="04160019" w:tentative="1">
      <w:start w:val="1"/>
      <w:numFmt w:val="lowerLetter"/>
      <w:lvlText w:val="%8."/>
      <w:lvlJc w:val="left"/>
      <w:pPr>
        <w:ind w:left="6109" w:hanging="360"/>
      </w:pPr>
      <w:rPr>
        <w:rFonts w:cs="Times New Roman"/>
      </w:rPr>
    </w:lvl>
    <w:lvl w:ilvl="8" w:tplc="0416001B" w:tentative="1">
      <w:start w:val="1"/>
      <w:numFmt w:val="lowerRoman"/>
      <w:lvlText w:val="%9."/>
      <w:lvlJc w:val="right"/>
      <w:pPr>
        <w:ind w:left="6829" w:hanging="180"/>
      </w:pPr>
      <w:rPr>
        <w:rFonts w:cs="Times New Roman"/>
      </w:rPr>
    </w:lvl>
  </w:abstractNum>
  <w:abstractNum w:abstractNumId="3">
    <w:nsid w:val="2C2C6038"/>
    <w:multiLevelType w:val="hybridMultilevel"/>
    <w:tmpl w:val="3FCA9A8C"/>
    <w:lvl w:ilvl="0" w:tplc="78D0603C">
      <w:start w:val="1"/>
      <w:numFmt w:val="decimal"/>
      <w:lvlText w:val="%1."/>
      <w:lvlJc w:val="left"/>
      <w:pPr>
        <w:ind w:left="3762" w:hanging="360"/>
      </w:pPr>
      <w:rPr>
        <w:rFonts w:cs="Times New Roman" w:hint="default"/>
      </w:rPr>
    </w:lvl>
    <w:lvl w:ilvl="1" w:tplc="04160019" w:tentative="1">
      <w:start w:val="1"/>
      <w:numFmt w:val="lowerLetter"/>
      <w:lvlText w:val="%2."/>
      <w:lvlJc w:val="left"/>
      <w:pPr>
        <w:ind w:left="4482" w:hanging="360"/>
      </w:pPr>
      <w:rPr>
        <w:rFonts w:cs="Times New Roman"/>
      </w:rPr>
    </w:lvl>
    <w:lvl w:ilvl="2" w:tplc="0416001B" w:tentative="1">
      <w:start w:val="1"/>
      <w:numFmt w:val="lowerRoman"/>
      <w:lvlText w:val="%3."/>
      <w:lvlJc w:val="right"/>
      <w:pPr>
        <w:ind w:left="5202" w:hanging="180"/>
      </w:pPr>
      <w:rPr>
        <w:rFonts w:cs="Times New Roman"/>
      </w:rPr>
    </w:lvl>
    <w:lvl w:ilvl="3" w:tplc="0416000F" w:tentative="1">
      <w:start w:val="1"/>
      <w:numFmt w:val="decimal"/>
      <w:lvlText w:val="%4."/>
      <w:lvlJc w:val="left"/>
      <w:pPr>
        <w:ind w:left="5922" w:hanging="360"/>
      </w:pPr>
      <w:rPr>
        <w:rFonts w:cs="Times New Roman"/>
      </w:rPr>
    </w:lvl>
    <w:lvl w:ilvl="4" w:tplc="04160019" w:tentative="1">
      <w:start w:val="1"/>
      <w:numFmt w:val="lowerLetter"/>
      <w:lvlText w:val="%5."/>
      <w:lvlJc w:val="left"/>
      <w:pPr>
        <w:ind w:left="6642" w:hanging="360"/>
      </w:pPr>
      <w:rPr>
        <w:rFonts w:cs="Times New Roman"/>
      </w:rPr>
    </w:lvl>
    <w:lvl w:ilvl="5" w:tplc="0416001B" w:tentative="1">
      <w:start w:val="1"/>
      <w:numFmt w:val="lowerRoman"/>
      <w:lvlText w:val="%6."/>
      <w:lvlJc w:val="right"/>
      <w:pPr>
        <w:ind w:left="7362" w:hanging="180"/>
      </w:pPr>
      <w:rPr>
        <w:rFonts w:cs="Times New Roman"/>
      </w:rPr>
    </w:lvl>
    <w:lvl w:ilvl="6" w:tplc="0416000F" w:tentative="1">
      <w:start w:val="1"/>
      <w:numFmt w:val="decimal"/>
      <w:lvlText w:val="%7."/>
      <w:lvlJc w:val="left"/>
      <w:pPr>
        <w:ind w:left="8082" w:hanging="360"/>
      </w:pPr>
      <w:rPr>
        <w:rFonts w:cs="Times New Roman"/>
      </w:rPr>
    </w:lvl>
    <w:lvl w:ilvl="7" w:tplc="04160019" w:tentative="1">
      <w:start w:val="1"/>
      <w:numFmt w:val="lowerLetter"/>
      <w:lvlText w:val="%8."/>
      <w:lvlJc w:val="left"/>
      <w:pPr>
        <w:ind w:left="8802" w:hanging="360"/>
      </w:pPr>
      <w:rPr>
        <w:rFonts w:cs="Times New Roman"/>
      </w:rPr>
    </w:lvl>
    <w:lvl w:ilvl="8" w:tplc="0416001B" w:tentative="1">
      <w:start w:val="1"/>
      <w:numFmt w:val="lowerRoman"/>
      <w:lvlText w:val="%9."/>
      <w:lvlJc w:val="right"/>
      <w:pPr>
        <w:ind w:left="9522" w:hanging="180"/>
      </w:pPr>
      <w:rPr>
        <w:rFonts w:cs="Times New Roman"/>
      </w:rPr>
    </w:lvl>
  </w:abstractNum>
  <w:abstractNum w:abstractNumId="4">
    <w:nsid w:val="481343D5"/>
    <w:multiLevelType w:val="multilevel"/>
    <w:tmpl w:val="F7F2B5B2"/>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48343427"/>
    <w:multiLevelType w:val="hybridMultilevel"/>
    <w:tmpl w:val="B14C1D98"/>
    <w:lvl w:ilvl="0" w:tplc="1AE63522">
      <w:start w:val="1"/>
      <w:numFmt w:val="decimal"/>
      <w:lvlText w:val="%1."/>
      <w:lvlJc w:val="left"/>
      <w:pPr>
        <w:ind w:left="3762" w:hanging="360"/>
      </w:pPr>
      <w:rPr>
        <w:rFonts w:cs="Times New Roman" w:hint="default"/>
      </w:rPr>
    </w:lvl>
    <w:lvl w:ilvl="1" w:tplc="04160019" w:tentative="1">
      <w:start w:val="1"/>
      <w:numFmt w:val="lowerLetter"/>
      <w:lvlText w:val="%2."/>
      <w:lvlJc w:val="left"/>
      <w:pPr>
        <w:ind w:left="4482" w:hanging="360"/>
      </w:pPr>
      <w:rPr>
        <w:rFonts w:cs="Times New Roman"/>
      </w:rPr>
    </w:lvl>
    <w:lvl w:ilvl="2" w:tplc="0416001B" w:tentative="1">
      <w:start w:val="1"/>
      <w:numFmt w:val="lowerRoman"/>
      <w:lvlText w:val="%3."/>
      <w:lvlJc w:val="right"/>
      <w:pPr>
        <w:ind w:left="5202" w:hanging="180"/>
      </w:pPr>
      <w:rPr>
        <w:rFonts w:cs="Times New Roman"/>
      </w:rPr>
    </w:lvl>
    <w:lvl w:ilvl="3" w:tplc="0416000F" w:tentative="1">
      <w:start w:val="1"/>
      <w:numFmt w:val="decimal"/>
      <w:lvlText w:val="%4."/>
      <w:lvlJc w:val="left"/>
      <w:pPr>
        <w:ind w:left="5922" w:hanging="360"/>
      </w:pPr>
      <w:rPr>
        <w:rFonts w:cs="Times New Roman"/>
      </w:rPr>
    </w:lvl>
    <w:lvl w:ilvl="4" w:tplc="04160019" w:tentative="1">
      <w:start w:val="1"/>
      <w:numFmt w:val="lowerLetter"/>
      <w:lvlText w:val="%5."/>
      <w:lvlJc w:val="left"/>
      <w:pPr>
        <w:ind w:left="6642" w:hanging="360"/>
      </w:pPr>
      <w:rPr>
        <w:rFonts w:cs="Times New Roman"/>
      </w:rPr>
    </w:lvl>
    <w:lvl w:ilvl="5" w:tplc="0416001B" w:tentative="1">
      <w:start w:val="1"/>
      <w:numFmt w:val="lowerRoman"/>
      <w:lvlText w:val="%6."/>
      <w:lvlJc w:val="right"/>
      <w:pPr>
        <w:ind w:left="7362" w:hanging="180"/>
      </w:pPr>
      <w:rPr>
        <w:rFonts w:cs="Times New Roman"/>
      </w:rPr>
    </w:lvl>
    <w:lvl w:ilvl="6" w:tplc="0416000F" w:tentative="1">
      <w:start w:val="1"/>
      <w:numFmt w:val="decimal"/>
      <w:lvlText w:val="%7."/>
      <w:lvlJc w:val="left"/>
      <w:pPr>
        <w:ind w:left="8082" w:hanging="360"/>
      </w:pPr>
      <w:rPr>
        <w:rFonts w:cs="Times New Roman"/>
      </w:rPr>
    </w:lvl>
    <w:lvl w:ilvl="7" w:tplc="04160019" w:tentative="1">
      <w:start w:val="1"/>
      <w:numFmt w:val="lowerLetter"/>
      <w:lvlText w:val="%8."/>
      <w:lvlJc w:val="left"/>
      <w:pPr>
        <w:ind w:left="8802" w:hanging="360"/>
      </w:pPr>
      <w:rPr>
        <w:rFonts w:cs="Times New Roman"/>
      </w:rPr>
    </w:lvl>
    <w:lvl w:ilvl="8" w:tplc="0416001B" w:tentative="1">
      <w:start w:val="1"/>
      <w:numFmt w:val="lowerRoman"/>
      <w:lvlText w:val="%9."/>
      <w:lvlJc w:val="right"/>
      <w:pPr>
        <w:ind w:left="9522" w:hanging="180"/>
      </w:pPr>
      <w:rPr>
        <w:rFonts w:cs="Times New Roman"/>
      </w:rPr>
    </w:lvl>
  </w:abstractNum>
  <w:abstractNum w:abstractNumId="6">
    <w:nsid w:val="4A3F1582"/>
    <w:multiLevelType w:val="multilevel"/>
    <w:tmpl w:val="8114549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nsid w:val="4B054B4E"/>
    <w:multiLevelType w:val="multilevel"/>
    <w:tmpl w:val="5D12F7CE"/>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4FA83015"/>
    <w:multiLevelType w:val="multilevel"/>
    <w:tmpl w:val="A8FEA09A"/>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75E5169E"/>
    <w:multiLevelType w:val="hybridMultilevel"/>
    <w:tmpl w:val="223CC184"/>
    <w:lvl w:ilvl="0" w:tplc="9A7E42F6">
      <w:start w:val="1"/>
      <w:numFmt w:val="lowerRoman"/>
      <w:lvlText w:val="(%1)"/>
      <w:lvlJc w:val="left"/>
      <w:pPr>
        <w:ind w:left="1571" w:hanging="720"/>
      </w:pPr>
      <w:rPr>
        <w:rFonts w:cs="Times New Roman" w:hint="default"/>
      </w:rPr>
    </w:lvl>
    <w:lvl w:ilvl="1" w:tplc="04160019" w:tentative="1">
      <w:start w:val="1"/>
      <w:numFmt w:val="lowerLetter"/>
      <w:lvlText w:val="%2."/>
      <w:lvlJc w:val="left"/>
      <w:pPr>
        <w:ind w:left="1931" w:hanging="360"/>
      </w:pPr>
      <w:rPr>
        <w:rFonts w:cs="Times New Roman"/>
      </w:rPr>
    </w:lvl>
    <w:lvl w:ilvl="2" w:tplc="0416001B" w:tentative="1">
      <w:start w:val="1"/>
      <w:numFmt w:val="lowerRoman"/>
      <w:lvlText w:val="%3."/>
      <w:lvlJc w:val="right"/>
      <w:pPr>
        <w:ind w:left="2651" w:hanging="180"/>
      </w:pPr>
      <w:rPr>
        <w:rFonts w:cs="Times New Roman"/>
      </w:rPr>
    </w:lvl>
    <w:lvl w:ilvl="3" w:tplc="0416000F" w:tentative="1">
      <w:start w:val="1"/>
      <w:numFmt w:val="decimal"/>
      <w:lvlText w:val="%4."/>
      <w:lvlJc w:val="left"/>
      <w:pPr>
        <w:ind w:left="3371" w:hanging="360"/>
      </w:pPr>
      <w:rPr>
        <w:rFonts w:cs="Times New Roman"/>
      </w:rPr>
    </w:lvl>
    <w:lvl w:ilvl="4" w:tplc="04160019" w:tentative="1">
      <w:start w:val="1"/>
      <w:numFmt w:val="lowerLetter"/>
      <w:lvlText w:val="%5."/>
      <w:lvlJc w:val="left"/>
      <w:pPr>
        <w:ind w:left="4091" w:hanging="360"/>
      </w:pPr>
      <w:rPr>
        <w:rFonts w:cs="Times New Roman"/>
      </w:rPr>
    </w:lvl>
    <w:lvl w:ilvl="5" w:tplc="0416001B" w:tentative="1">
      <w:start w:val="1"/>
      <w:numFmt w:val="lowerRoman"/>
      <w:lvlText w:val="%6."/>
      <w:lvlJc w:val="right"/>
      <w:pPr>
        <w:ind w:left="4811" w:hanging="180"/>
      </w:pPr>
      <w:rPr>
        <w:rFonts w:cs="Times New Roman"/>
      </w:rPr>
    </w:lvl>
    <w:lvl w:ilvl="6" w:tplc="0416000F" w:tentative="1">
      <w:start w:val="1"/>
      <w:numFmt w:val="decimal"/>
      <w:lvlText w:val="%7."/>
      <w:lvlJc w:val="left"/>
      <w:pPr>
        <w:ind w:left="5531" w:hanging="360"/>
      </w:pPr>
      <w:rPr>
        <w:rFonts w:cs="Times New Roman"/>
      </w:rPr>
    </w:lvl>
    <w:lvl w:ilvl="7" w:tplc="04160019" w:tentative="1">
      <w:start w:val="1"/>
      <w:numFmt w:val="lowerLetter"/>
      <w:lvlText w:val="%8."/>
      <w:lvlJc w:val="left"/>
      <w:pPr>
        <w:ind w:left="6251" w:hanging="360"/>
      </w:pPr>
      <w:rPr>
        <w:rFonts w:cs="Times New Roman"/>
      </w:rPr>
    </w:lvl>
    <w:lvl w:ilvl="8" w:tplc="0416001B" w:tentative="1">
      <w:start w:val="1"/>
      <w:numFmt w:val="lowerRoman"/>
      <w:lvlText w:val="%9."/>
      <w:lvlJc w:val="right"/>
      <w:pPr>
        <w:ind w:left="6971" w:hanging="180"/>
      </w:pPr>
      <w:rPr>
        <w:rFonts w:cs="Times New Roman"/>
      </w:rPr>
    </w:lvl>
  </w:abstractNum>
  <w:abstractNum w:abstractNumId="10">
    <w:nsid w:val="76EC7F9B"/>
    <w:multiLevelType w:val="hybridMultilevel"/>
    <w:tmpl w:val="EDEE41D8"/>
    <w:lvl w:ilvl="0" w:tplc="B5005D70">
      <w:start w:val="1"/>
      <w:numFmt w:val="lowerRoman"/>
      <w:lvlText w:val="(%1)"/>
      <w:lvlJc w:val="left"/>
      <w:pPr>
        <w:ind w:left="1571" w:hanging="720"/>
      </w:pPr>
      <w:rPr>
        <w:rFonts w:cs="Times New Roman" w:hint="default"/>
      </w:rPr>
    </w:lvl>
    <w:lvl w:ilvl="1" w:tplc="04160019" w:tentative="1">
      <w:start w:val="1"/>
      <w:numFmt w:val="lowerLetter"/>
      <w:lvlText w:val="%2."/>
      <w:lvlJc w:val="left"/>
      <w:pPr>
        <w:ind w:left="1931" w:hanging="360"/>
      </w:pPr>
      <w:rPr>
        <w:rFonts w:cs="Times New Roman"/>
      </w:rPr>
    </w:lvl>
    <w:lvl w:ilvl="2" w:tplc="0416001B" w:tentative="1">
      <w:start w:val="1"/>
      <w:numFmt w:val="lowerRoman"/>
      <w:lvlText w:val="%3."/>
      <w:lvlJc w:val="right"/>
      <w:pPr>
        <w:ind w:left="2651" w:hanging="180"/>
      </w:pPr>
      <w:rPr>
        <w:rFonts w:cs="Times New Roman"/>
      </w:rPr>
    </w:lvl>
    <w:lvl w:ilvl="3" w:tplc="0416000F" w:tentative="1">
      <w:start w:val="1"/>
      <w:numFmt w:val="decimal"/>
      <w:lvlText w:val="%4."/>
      <w:lvlJc w:val="left"/>
      <w:pPr>
        <w:ind w:left="3371" w:hanging="360"/>
      </w:pPr>
      <w:rPr>
        <w:rFonts w:cs="Times New Roman"/>
      </w:rPr>
    </w:lvl>
    <w:lvl w:ilvl="4" w:tplc="04160019" w:tentative="1">
      <w:start w:val="1"/>
      <w:numFmt w:val="lowerLetter"/>
      <w:lvlText w:val="%5."/>
      <w:lvlJc w:val="left"/>
      <w:pPr>
        <w:ind w:left="4091" w:hanging="360"/>
      </w:pPr>
      <w:rPr>
        <w:rFonts w:cs="Times New Roman"/>
      </w:rPr>
    </w:lvl>
    <w:lvl w:ilvl="5" w:tplc="0416001B" w:tentative="1">
      <w:start w:val="1"/>
      <w:numFmt w:val="lowerRoman"/>
      <w:lvlText w:val="%6."/>
      <w:lvlJc w:val="right"/>
      <w:pPr>
        <w:ind w:left="4811" w:hanging="180"/>
      </w:pPr>
      <w:rPr>
        <w:rFonts w:cs="Times New Roman"/>
      </w:rPr>
    </w:lvl>
    <w:lvl w:ilvl="6" w:tplc="0416000F" w:tentative="1">
      <w:start w:val="1"/>
      <w:numFmt w:val="decimal"/>
      <w:lvlText w:val="%7."/>
      <w:lvlJc w:val="left"/>
      <w:pPr>
        <w:ind w:left="5531" w:hanging="360"/>
      </w:pPr>
      <w:rPr>
        <w:rFonts w:cs="Times New Roman"/>
      </w:rPr>
    </w:lvl>
    <w:lvl w:ilvl="7" w:tplc="04160019" w:tentative="1">
      <w:start w:val="1"/>
      <w:numFmt w:val="lowerLetter"/>
      <w:lvlText w:val="%8."/>
      <w:lvlJc w:val="left"/>
      <w:pPr>
        <w:ind w:left="6251" w:hanging="360"/>
      </w:pPr>
      <w:rPr>
        <w:rFonts w:cs="Times New Roman"/>
      </w:rPr>
    </w:lvl>
    <w:lvl w:ilvl="8" w:tplc="0416001B" w:tentative="1">
      <w:start w:val="1"/>
      <w:numFmt w:val="lowerRoman"/>
      <w:lvlText w:val="%9."/>
      <w:lvlJc w:val="right"/>
      <w:pPr>
        <w:ind w:left="6971" w:hanging="180"/>
      </w:pPr>
      <w:rPr>
        <w:rFonts w:cs="Times New Roman"/>
      </w:rPr>
    </w:lvl>
  </w:abstractNum>
  <w:abstractNum w:abstractNumId="11">
    <w:nsid w:val="79951CCF"/>
    <w:multiLevelType w:val="multilevel"/>
    <w:tmpl w:val="F686FC14"/>
    <w:lvl w:ilvl="0">
      <w:start w:val="1"/>
      <w:numFmt w:val="decimal"/>
      <w:pStyle w:val="TOC2"/>
      <w:lvlText w:val="%1."/>
      <w:lvlJc w:val="left"/>
      <w:pPr>
        <w:ind w:left="1440" w:hanging="360"/>
      </w:pPr>
      <w:rPr>
        <w:rFonts w:cs="Times New Roman"/>
        <w:b/>
        <w:color w:val="000000"/>
      </w:rPr>
    </w:lvl>
    <w:lvl w:ilvl="1">
      <w:start w:val="1"/>
      <w:numFmt w:val="decimal"/>
      <w:pStyle w:val="TOC3"/>
      <w:isLgl/>
      <w:lvlText w:val="%1.%2"/>
      <w:lvlJc w:val="left"/>
      <w:pPr>
        <w:ind w:left="1515" w:hanging="435"/>
      </w:pPr>
      <w:rPr>
        <w:rFonts w:cs="Times New Roman" w:hint="default"/>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1800" w:hanging="720"/>
      </w:pPr>
      <w:rPr>
        <w:rFonts w:cs="Times New Roman" w:hint="default"/>
        <w:b w:val="0"/>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2">
    <w:nsid w:val="79A209CE"/>
    <w:multiLevelType w:val="multilevel"/>
    <w:tmpl w:val="9DA44204"/>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7B58266C"/>
    <w:multiLevelType w:val="hybridMultilevel"/>
    <w:tmpl w:val="0B44AA02"/>
    <w:lvl w:ilvl="0" w:tplc="88BE4C14">
      <w:start w:val="1"/>
      <w:numFmt w:val="lowerLetter"/>
      <w:lvlText w:val="%1)"/>
      <w:lvlJc w:val="left"/>
      <w:pPr>
        <w:ind w:left="1069" w:hanging="360"/>
      </w:pPr>
      <w:rPr>
        <w:rFonts w:cs="Times New Roman" w:hint="default"/>
      </w:rPr>
    </w:lvl>
    <w:lvl w:ilvl="1" w:tplc="04160019" w:tentative="1">
      <w:start w:val="1"/>
      <w:numFmt w:val="lowerLetter"/>
      <w:lvlText w:val="%2."/>
      <w:lvlJc w:val="left"/>
      <w:pPr>
        <w:ind w:left="1789" w:hanging="360"/>
      </w:pPr>
      <w:rPr>
        <w:rFonts w:cs="Times New Roman"/>
      </w:rPr>
    </w:lvl>
    <w:lvl w:ilvl="2" w:tplc="0416001B" w:tentative="1">
      <w:start w:val="1"/>
      <w:numFmt w:val="lowerRoman"/>
      <w:lvlText w:val="%3."/>
      <w:lvlJc w:val="right"/>
      <w:pPr>
        <w:ind w:left="2509" w:hanging="180"/>
      </w:pPr>
      <w:rPr>
        <w:rFonts w:cs="Times New Roman"/>
      </w:rPr>
    </w:lvl>
    <w:lvl w:ilvl="3" w:tplc="0416000F" w:tentative="1">
      <w:start w:val="1"/>
      <w:numFmt w:val="decimal"/>
      <w:lvlText w:val="%4."/>
      <w:lvlJc w:val="left"/>
      <w:pPr>
        <w:ind w:left="3229" w:hanging="360"/>
      </w:pPr>
      <w:rPr>
        <w:rFonts w:cs="Times New Roman"/>
      </w:rPr>
    </w:lvl>
    <w:lvl w:ilvl="4" w:tplc="04160019" w:tentative="1">
      <w:start w:val="1"/>
      <w:numFmt w:val="lowerLetter"/>
      <w:lvlText w:val="%5."/>
      <w:lvlJc w:val="left"/>
      <w:pPr>
        <w:ind w:left="3949" w:hanging="360"/>
      </w:pPr>
      <w:rPr>
        <w:rFonts w:cs="Times New Roman"/>
      </w:rPr>
    </w:lvl>
    <w:lvl w:ilvl="5" w:tplc="0416001B" w:tentative="1">
      <w:start w:val="1"/>
      <w:numFmt w:val="lowerRoman"/>
      <w:lvlText w:val="%6."/>
      <w:lvlJc w:val="right"/>
      <w:pPr>
        <w:ind w:left="4669" w:hanging="180"/>
      </w:pPr>
      <w:rPr>
        <w:rFonts w:cs="Times New Roman"/>
      </w:rPr>
    </w:lvl>
    <w:lvl w:ilvl="6" w:tplc="0416000F" w:tentative="1">
      <w:start w:val="1"/>
      <w:numFmt w:val="decimal"/>
      <w:lvlText w:val="%7."/>
      <w:lvlJc w:val="left"/>
      <w:pPr>
        <w:ind w:left="5389" w:hanging="360"/>
      </w:pPr>
      <w:rPr>
        <w:rFonts w:cs="Times New Roman"/>
      </w:rPr>
    </w:lvl>
    <w:lvl w:ilvl="7" w:tplc="04160019" w:tentative="1">
      <w:start w:val="1"/>
      <w:numFmt w:val="lowerLetter"/>
      <w:lvlText w:val="%8."/>
      <w:lvlJc w:val="left"/>
      <w:pPr>
        <w:ind w:left="6109" w:hanging="360"/>
      </w:pPr>
      <w:rPr>
        <w:rFonts w:cs="Times New Roman"/>
      </w:rPr>
    </w:lvl>
    <w:lvl w:ilvl="8" w:tplc="0416001B" w:tentative="1">
      <w:start w:val="1"/>
      <w:numFmt w:val="lowerRoman"/>
      <w:lvlText w:val="%9."/>
      <w:lvlJc w:val="right"/>
      <w:pPr>
        <w:ind w:left="6829" w:hanging="180"/>
      </w:pPr>
      <w:rPr>
        <w:rFonts w:cs="Times New Roman"/>
      </w:rPr>
    </w:lvl>
  </w:abstractNum>
  <w:abstractNum w:abstractNumId="14">
    <w:nsid w:val="7E403406"/>
    <w:multiLevelType w:val="hybridMultilevel"/>
    <w:tmpl w:val="8F38EDD4"/>
    <w:lvl w:ilvl="0" w:tplc="066CE090">
      <w:start w:val="1"/>
      <w:numFmt w:val="lowerLetter"/>
      <w:lvlText w:val="%1)"/>
      <w:lvlJc w:val="left"/>
      <w:pPr>
        <w:ind w:left="2628" w:hanging="360"/>
      </w:pPr>
      <w:rPr>
        <w:rFonts w:cs="Times New Roman" w:hint="default"/>
      </w:rPr>
    </w:lvl>
    <w:lvl w:ilvl="1" w:tplc="04160019" w:tentative="1">
      <w:start w:val="1"/>
      <w:numFmt w:val="lowerLetter"/>
      <w:lvlText w:val="%2."/>
      <w:lvlJc w:val="left"/>
      <w:pPr>
        <w:ind w:left="3348" w:hanging="360"/>
      </w:pPr>
      <w:rPr>
        <w:rFonts w:cs="Times New Roman"/>
      </w:rPr>
    </w:lvl>
    <w:lvl w:ilvl="2" w:tplc="0416001B" w:tentative="1">
      <w:start w:val="1"/>
      <w:numFmt w:val="lowerRoman"/>
      <w:lvlText w:val="%3."/>
      <w:lvlJc w:val="right"/>
      <w:pPr>
        <w:ind w:left="4068" w:hanging="180"/>
      </w:pPr>
      <w:rPr>
        <w:rFonts w:cs="Times New Roman"/>
      </w:rPr>
    </w:lvl>
    <w:lvl w:ilvl="3" w:tplc="0416000F" w:tentative="1">
      <w:start w:val="1"/>
      <w:numFmt w:val="decimal"/>
      <w:lvlText w:val="%4."/>
      <w:lvlJc w:val="left"/>
      <w:pPr>
        <w:ind w:left="4788" w:hanging="360"/>
      </w:pPr>
      <w:rPr>
        <w:rFonts w:cs="Times New Roman"/>
      </w:rPr>
    </w:lvl>
    <w:lvl w:ilvl="4" w:tplc="04160019" w:tentative="1">
      <w:start w:val="1"/>
      <w:numFmt w:val="lowerLetter"/>
      <w:lvlText w:val="%5."/>
      <w:lvlJc w:val="left"/>
      <w:pPr>
        <w:ind w:left="5508" w:hanging="360"/>
      </w:pPr>
      <w:rPr>
        <w:rFonts w:cs="Times New Roman"/>
      </w:rPr>
    </w:lvl>
    <w:lvl w:ilvl="5" w:tplc="0416001B" w:tentative="1">
      <w:start w:val="1"/>
      <w:numFmt w:val="lowerRoman"/>
      <w:lvlText w:val="%6."/>
      <w:lvlJc w:val="right"/>
      <w:pPr>
        <w:ind w:left="6228" w:hanging="180"/>
      </w:pPr>
      <w:rPr>
        <w:rFonts w:cs="Times New Roman"/>
      </w:rPr>
    </w:lvl>
    <w:lvl w:ilvl="6" w:tplc="0416000F" w:tentative="1">
      <w:start w:val="1"/>
      <w:numFmt w:val="decimal"/>
      <w:lvlText w:val="%7."/>
      <w:lvlJc w:val="left"/>
      <w:pPr>
        <w:ind w:left="6948" w:hanging="360"/>
      </w:pPr>
      <w:rPr>
        <w:rFonts w:cs="Times New Roman"/>
      </w:rPr>
    </w:lvl>
    <w:lvl w:ilvl="7" w:tplc="04160019" w:tentative="1">
      <w:start w:val="1"/>
      <w:numFmt w:val="lowerLetter"/>
      <w:lvlText w:val="%8."/>
      <w:lvlJc w:val="left"/>
      <w:pPr>
        <w:ind w:left="7668" w:hanging="360"/>
      </w:pPr>
      <w:rPr>
        <w:rFonts w:cs="Times New Roman"/>
      </w:rPr>
    </w:lvl>
    <w:lvl w:ilvl="8" w:tplc="0416001B" w:tentative="1">
      <w:start w:val="1"/>
      <w:numFmt w:val="lowerRoman"/>
      <w:lvlText w:val="%9."/>
      <w:lvlJc w:val="right"/>
      <w:pPr>
        <w:ind w:left="8388" w:hanging="180"/>
      </w:pPr>
      <w:rPr>
        <w:rFonts w:cs="Times New Roman"/>
      </w:rPr>
    </w:lvl>
  </w:abstractNum>
  <w:abstractNum w:abstractNumId="15">
    <w:nsid w:val="7F151687"/>
    <w:multiLevelType w:val="hybridMultilevel"/>
    <w:tmpl w:val="AC3877B2"/>
    <w:lvl w:ilvl="0" w:tplc="4552DBB0">
      <w:start w:val="1"/>
      <w:numFmt w:val="decimal"/>
      <w:lvlText w:val="%1."/>
      <w:lvlJc w:val="left"/>
      <w:pPr>
        <w:ind w:left="3762" w:hanging="360"/>
      </w:pPr>
      <w:rPr>
        <w:rFonts w:cs="Times New Roman" w:hint="default"/>
      </w:rPr>
    </w:lvl>
    <w:lvl w:ilvl="1" w:tplc="04160019" w:tentative="1">
      <w:start w:val="1"/>
      <w:numFmt w:val="lowerLetter"/>
      <w:lvlText w:val="%2."/>
      <w:lvlJc w:val="left"/>
      <w:pPr>
        <w:ind w:left="4482" w:hanging="360"/>
      </w:pPr>
      <w:rPr>
        <w:rFonts w:cs="Times New Roman"/>
      </w:rPr>
    </w:lvl>
    <w:lvl w:ilvl="2" w:tplc="0416001B" w:tentative="1">
      <w:start w:val="1"/>
      <w:numFmt w:val="lowerRoman"/>
      <w:lvlText w:val="%3."/>
      <w:lvlJc w:val="right"/>
      <w:pPr>
        <w:ind w:left="5202" w:hanging="180"/>
      </w:pPr>
      <w:rPr>
        <w:rFonts w:cs="Times New Roman"/>
      </w:rPr>
    </w:lvl>
    <w:lvl w:ilvl="3" w:tplc="0416000F" w:tentative="1">
      <w:start w:val="1"/>
      <w:numFmt w:val="decimal"/>
      <w:lvlText w:val="%4."/>
      <w:lvlJc w:val="left"/>
      <w:pPr>
        <w:ind w:left="5922" w:hanging="360"/>
      </w:pPr>
      <w:rPr>
        <w:rFonts w:cs="Times New Roman"/>
      </w:rPr>
    </w:lvl>
    <w:lvl w:ilvl="4" w:tplc="04160019" w:tentative="1">
      <w:start w:val="1"/>
      <w:numFmt w:val="lowerLetter"/>
      <w:lvlText w:val="%5."/>
      <w:lvlJc w:val="left"/>
      <w:pPr>
        <w:ind w:left="6642" w:hanging="360"/>
      </w:pPr>
      <w:rPr>
        <w:rFonts w:cs="Times New Roman"/>
      </w:rPr>
    </w:lvl>
    <w:lvl w:ilvl="5" w:tplc="0416001B" w:tentative="1">
      <w:start w:val="1"/>
      <w:numFmt w:val="lowerRoman"/>
      <w:lvlText w:val="%6."/>
      <w:lvlJc w:val="right"/>
      <w:pPr>
        <w:ind w:left="7362" w:hanging="180"/>
      </w:pPr>
      <w:rPr>
        <w:rFonts w:cs="Times New Roman"/>
      </w:rPr>
    </w:lvl>
    <w:lvl w:ilvl="6" w:tplc="0416000F" w:tentative="1">
      <w:start w:val="1"/>
      <w:numFmt w:val="decimal"/>
      <w:lvlText w:val="%7."/>
      <w:lvlJc w:val="left"/>
      <w:pPr>
        <w:ind w:left="8082" w:hanging="360"/>
      </w:pPr>
      <w:rPr>
        <w:rFonts w:cs="Times New Roman"/>
      </w:rPr>
    </w:lvl>
    <w:lvl w:ilvl="7" w:tplc="04160019" w:tentative="1">
      <w:start w:val="1"/>
      <w:numFmt w:val="lowerLetter"/>
      <w:lvlText w:val="%8."/>
      <w:lvlJc w:val="left"/>
      <w:pPr>
        <w:ind w:left="8802" w:hanging="360"/>
      </w:pPr>
      <w:rPr>
        <w:rFonts w:cs="Times New Roman"/>
      </w:rPr>
    </w:lvl>
    <w:lvl w:ilvl="8" w:tplc="0416001B" w:tentative="1">
      <w:start w:val="1"/>
      <w:numFmt w:val="lowerRoman"/>
      <w:lvlText w:val="%9."/>
      <w:lvlJc w:val="right"/>
      <w:pPr>
        <w:ind w:left="9522" w:hanging="180"/>
      </w:pPr>
      <w:rPr>
        <w:rFonts w:cs="Times New Roman"/>
      </w:rPr>
    </w:lvl>
  </w:abstractNum>
  <w:num w:numId="1">
    <w:abstractNumId w:val="6"/>
  </w:num>
  <w:num w:numId="2">
    <w:abstractNumId w:val="7"/>
  </w:num>
  <w:num w:numId="3">
    <w:abstractNumId w:val="12"/>
  </w:num>
  <w:num w:numId="4">
    <w:abstractNumId w:val="4"/>
  </w:num>
  <w:num w:numId="5">
    <w:abstractNumId w:val="8"/>
  </w:num>
  <w:num w:numId="6">
    <w:abstractNumId w:val="2"/>
  </w:num>
  <w:num w:numId="7">
    <w:abstractNumId w:val="13"/>
  </w:num>
  <w:num w:numId="8">
    <w:abstractNumId w:val="14"/>
  </w:num>
  <w:num w:numId="9">
    <w:abstractNumId w:val="1"/>
  </w:num>
  <w:num w:numId="10">
    <w:abstractNumId w:val="11"/>
  </w:num>
  <w:num w:numId="11">
    <w:abstractNumId w:val="11"/>
    <w:lvlOverride w:ilvl="0">
      <w:startOverride w:val="1"/>
    </w:lvlOverride>
  </w:num>
  <w:num w:numId="12">
    <w:abstractNumId w:val="9"/>
  </w:num>
  <w:num w:numId="13">
    <w:abstractNumId w:val="10"/>
  </w:num>
  <w:num w:numId="14">
    <w:abstractNumId w:val="0"/>
  </w:num>
  <w:num w:numId="15">
    <w:abstractNumId w:val="15"/>
  </w:num>
  <w:num w:numId="16">
    <w:abstractNumId w:val="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01D2"/>
    <w:rsid w:val="000018E2"/>
    <w:rsid w:val="00001D18"/>
    <w:rsid w:val="00002C8C"/>
    <w:rsid w:val="000039AB"/>
    <w:rsid w:val="00003A04"/>
    <w:rsid w:val="00004949"/>
    <w:rsid w:val="00006721"/>
    <w:rsid w:val="000068BE"/>
    <w:rsid w:val="00006F62"/>
    <w:rsid w:val="00007ED7"/>
    <w:rsid w:val="0001031E"/>
    <w:rsid w:val="000117E6"/>
    <w:rsid w:val="00012052"/>
    <w:rsid w:val="00012732"/>
    <w:rsid w:val="0001275E"/>
    <w:rsid w:val="000139F2"/>
    <w:rsid w:val="00014436"/>
    <w:rsid w:val="00014D06"/>
    <w:rsid w:val="00014E1A"/>
    <w:rsid w:val="000173E1"/>
    <w:rsid w:val="00020E5D"/>
    <w:rsid w:val="0002230C"/>
    <w:rsid w:val="00022885"/>
    <w:rsid w:val="00023269"/>
    <w:rsid w:val="00023CDC"/>
    <w:rsid w:val="0002432A"/>
    <w:rsid w:val="00026C1A"/>
    <w:rsid w:val="000301E7"/>
    <w:rsid w:val="00033729"/>
    <w:rsid w:val="000353D3"/>
    <w:rsid w:val="0003541C"/>
    <w:rsid w:val="00035EF7"/>
    <w:rsid w:val="00036542"/>
    <w:rsid w:val="000411F9"/>
    <w:rsid w:val="000415A1"/>
    <w:rsid w:val="0004183F"/>
    <w:rsid w:val="0004186A"/>
    <w:rsid w:val="00041B9E"/>
    <w:rsid w:val="00041EB4"/>
    <w:rsid w:val="00042C1B"/>
    <w:rsid w:val="00043238"/>
    <w:rsid w:val="00043475"/>
    <w:rsid w:val="0004370E"/>
    <w:rsid w:val="0004412D"/>
    <w:rsid w:val="0004417D"/>
    <w:rsid w:val="000450B8"/>
    <w:rsid w:val="000463F6"/>
    <w:rsid w:val="000466C2"/>
    <w:rsid w:val="00046852"/>
    <w:rsid w:val="00047C00"/>
    <w:rsid w:val="00050006"/>
    <w:rsid w:val="00050053"/>
    <w:rsid w:val="000501E5"/>
    <w:rsid w:val="00050421"/>
    <w:rsid w:val="0005264B"/>
    <w:rsid w:val="000526C8"/>
    <w:rsid w:val="00052BF4"/>
    <w:rsid w:val="00052EFD"/>
    <w:rsid w:val="0005404E"/>
    <w:rsid w:val="000550D2"/>
    <w:rsid w:val="000603CC"/>
    <w:rsid w:val="000603D4"/>
    <w:rsid w:val="000615FD"/>
    <w:rsid w:val="000624F3"/>
    <w:rsid w:val="00062934"/>
    <w:rsid w:val="00062D76"/>
    <w:rsid w:val="00062F18"/>
    <w:rsid w:val="0006409D"/>
    <w:rsid w:val="000641CC"/>
    <w:rsid w:val="00064BC5"/>
    <w:rsid w:val="00066406"/>
    <w:rsid w:val="00066872"/>
    <w:rsid w:val="00066A87"/>
    <w:rsid w:val="00067CD0"/>
    <w:rsid w:val="0007010F"/>
    <w:rsid w:val="00070CE0"/>
    <w:rsid w:val="00070F83"/>
    <w:rsid w:val="00072841"/>
    <w:rsid w:val="00073204"/>
    <w:rsid w:val="00073B3E"/>
    <w:rsid w:val="00073D6B"/>
    <w:rsid w:val="0007404C"/>
    <w:rsid w:val="00074F56"/>
    <w:rsid w:val="00075FD0"/>
    <w:rsid w:val="0007645D"/>
    <w:rsid w:val="00076D72"/>
    <w:rsid w:val="00076FC0"/>
    <w:rsid w:val="00077429"/>
    <w:rsid w:val="0007743D"/>
    <w:rsid w:val="0007789E"/>
    <w:rsid w:val="00077AC1"/>
    <w:rsid w:val="00077E15"/>
    <w:rsid w:val="0008051F"/>
    <w:rsid w:val="00080B1C"/>
    <w:rsid w:val="000823A5"/>
    <w:rsid w:val="00083296"/>
    <w:rsid w:val="00083738"/>
    <w:rsid w:val="00083872"/>
    <w:rsid w:val="00084AE2"/>
    <w:rsid w:val="00084C23"/>
    <w:rsid w:val="00084F59"/>
    <w:rsid w:val="0008562C"/>
    <w:rsid w:val="000858F5"/>
    <w:rsid w:val="000862EB"/>
    <w:rsid w:val="000864B9"/>
    <w:rsid w:val="00086727"/>
    <w:rsid w:val="00086938"/>
    <w:rsid w:val="00086F23"/>
    <w:rsid w:val="000901B3"/>
    <w:rsid w:val="00090266"/>
    <w:rsid w:val="00092BE4"/>
    <w:rsid w:val="00092ED1"/>
    <w:rsid w:val="00093180"/>
    <w:rsid w:val="00094724"/>
    <w:rsid w:val="0009570A"/>
    <w:rsid w:val="000965B0"/>
    <w:rsid w:val="00096D6A"/>
    <w:rsid w:val="00097908"/>
    <w:rsid w:val="000A100A"/>
    <w:rsid w:val="000A13F6"/>
    <w:rsid w:val="000A16EA"/>
    <w:rsid w:val="000A2252"/>
    <w:rsid w:val="000A2476"/>
    <w:rsid w:val="000A360D"/>
    <w:rsid w:val="000A3CD7"/>
    <w:rsid w:val="000A4692"/>
    <w:rsid w:val="000A6942"/>
    <w:rsid w:val="000A6D37"/>
    <w:rsid w:val="000A6E11"/>
    <w:rsid w:val="000A752C"/>
    <w:rsid w:val="000A7722"/>
    <w:rsid w:val="000A7853"/>
    <w:rsid w:val="000B057D"/>
    <w:rsid w:val="000B13CC"/>
    <w:rsid w:val="000B1652"/>
    <w:rsid w:val="000B2C1D"/>
    <w:rsid w:val="000B325E"/>
    <w:rsid w:val="000B4787"/>
    <w:rsid w:val="000B62C8"/>
    <w:rsid w:val="000B6805"/>
    <w:rsid w:val="000B68E5"/>
    <w:rsid w:val="000B6A28"/>
    <w:rsid w:val="000B706E"/>
    <w:rsid w:val="000B7F6A"/>
    <w:rsid w:val="000C0E18"/>
    <w:rsid w:val="000C3190"/>
    <w:rsid w:val="000C3475"/>
    <w:rsid w:val="000C3484"/>
    <w:rsid w:val="000C3FE5"/>
    <w:rsid w:val="000C4A00"/>
    <w:rsid w:val="000C56B0"/>
    <w:rsid w:val="000C601F"/>
    <w:rsid w:val="000C63F9"/>
    <w:rsid w:val="000C7300"/>
    <w:rsid w:val="000C75CC"/>
    <w:rsid w:val="000D1B66"/>
    <w:rsid w:val="000D1DBD"/>
    <w:rsid w:val="000D1E3A"/>
    <w:rsid w:val="000D47F0"/>
    <w:rsid w:val="000D559F"/>
    <w:rsid w:val="000D55B3"/>
    <w:rsid w:val="000D66F7"/>
    <w:rsid w:val="000D6CEC"/>
    <w:rsid w:val="000D71FC"/>
    <w:rsid w:val="000E11E3"/>
    <w:rsid w:val="000E1825"/>
    <w:rsid w:val="000E1DB7"/>
    <w:rsid w:val="000E2EB5"/>
    <w:rsid w:val="000E3214"/>
    <w:rsid w:val="000E347C"/>
    <w:rsid w:val="000E6297"/>
    <w:rsid w:val="000E6BC0"/>
    <w:rsid w:val="000E73C6"/>
    <w:rsid w:val="000E7EE8"/>
    <w:rsid w:val="000F0B9D"/>
    <w:rsid w:val="000F1B73"/>
    <w:rsid w:val="000F251E"/>
    <w:rsid w:val="000F2AF5"/>
    <w:rsid w:val="000F6C58"/>
    <w:rsid w:val="000F717B"/>
    <w:rsid w:val="000F739F"/>
    <w:rsid w:val="00101417"/>
    <w:rsid w:val="00101508"/>
    <w:rsid w:val="00102415"/>
    <w:rsid w:val="00104E03"/>
    <w:rsid w:val="00105BFA"/>
    <w:rsid w:val="00106B31"/>
    <w:rsid w:val="00107707"/>
    <w:rsid w:val="0011090D"/>
    <w:rsid w:val="00111907"/>
    <w:rsid w:val="001119B1"/>
    <w:rsid w:val="0011226A"/>
    <w:rsid w:val="00112737"/>
    <w:rsid w:val="00112886"/>
    <w:rsid w:val="001128B5"/>
    <w:rsid w:val="00113305"/>
    <w:rsid w:val="00114C99"/>
    <w:rsid w:val="0011618C"/>
    <w:rsid w:val="0011655F"/>
    <w:rsid w:val="00116CEB"/>
    <w:rsid w:val="001179C1"/>
    <w:rsid w:val="001202C2"/>
    <w:rsid w:val="00120504"/>
    <w:rsid w:val="001206BE"/>
    <w:rsid w:val="001218F0"/>
    <w:rsid w:val="001227DB"/>
    <w:rsid w:val="00122945"/>
    <w:rsid w:val="00122D7F"/>
    <w:rsid w:val="00123138"/>
    <w:rsid w:val="00123674"/>
    <w:rsid w:val="00124CFB"/>
    <w:rsid w:val="001252D0"/>
    <w:rsid w:val="00125861"/>
    <w:rsid w:val="00125E3D"/>
    <w:rsid w:val="0012615B"/>
    <w:rsid w:val="00126567"/>
    <w:rsid w:val="0012778C"/>
    <w:rsid w:val="00130768"/>
    <w:rsid w:val="00131601"/>
    <w:rsid w:val="00132A99"/>
    <w:rsid w:val="00133888"/>
    <w:rsid w:val="00133DC4"/>
    <w:rsid w:val="00133FD2"/>
    <w:rsid w:val="001343D2"/>
    <w:rsid w:val="001348B4"/>
    <w:rsid w:val="0013493A"/>
    <w:rsid w:val="00134FDB"/>
    <w:rsid w:val="0013508D"/>
    <w:rsid w:val="00135BD5"/>
    <w:rsid w:val="00136775"/>
    <w:rsid w:val="001373C8"/>
    <w:rsid w:val="0013781F"/>
    <w:rsid w:val="00141D37"/>
    <w:rsid w:val="001434FE"/>
    <w:rsid w:val="0014370F"/>
    <w:rsid w:val="0014452E"/>
    <w:rsid w:val="00144889"/>
    <w:rsid w:val="00145596"/>
    <w:rsid w:val="00145759"/>
    <w:rsid w:val="0014656E"/>
    <w:rsid w:val="00147439"/>
    <w:rsid w:val="00147B84"/>
    <w:rsid w:val="00147F0E"/>
    <w:rsid w:val="001500AC"/>
    <w:rsid w:val="001501D7"/>
    <w:rsid w:val="00150953"/>
    <w:rsid w:val="00150A60"/>
    <w:rsid w:val="00150A72"/>
    <w:rsid w:val="00150A84"/>
    <w:rsid w:val="00150EF2"/>
    <w:rsid w:val="00151C7C"/>
    <w:rsid w:val="00153881"/>
    <w:rsid w:val="00153A85"/>
    <w:rsid w:val="00154A98"/>
    <w:rsid w:val="00155899"/>
    <w:rsid w:val="001558A8"/>
    <w:rsid w:val="0015656D"/>
    <w:rsid w:val="00157081"/>
    <w:rsid w:val="00160B6B"/>
    <w:rsid w:val="0016195D"/>
    <w:rsid w:val="001619F3"/>
    <w:rsid w:val="00161AA2"/>
    <w:rsid w:val="00162859"/>
    <w:rsid w:val="00162B3E"/>
    <w:rsid w:val="00162B5E"/>
    <w:rsid w:val="00163B5F"/>
    <w:rsid w:val="001651BC"/>
    <w:rsid w:val="001663B5"/>
    <w:rsid w:val="00166ACB"/>
    <w:rsid w:val="00167340"/>
    <w:rsid w:val="00167C57"/>
    <w:rsid w:val="0017083C"/>
    <w:rsid w:val="00171B34"/>
    <w:rsid w:val="001727EF"/>
    <w:rsid w:val="00173EA0"/>
    <w:rsid w:val="00174D12"/>
    <w:rsid w:val="00174D2E"/>
    <w:rsid w:val="00174DF6"/>
    <w:rsid w:val="00175805"/>
    <w:rsid w:val="00177408"/>
    <w:rsid w:val="00177ABD"/>
    <w:rsid w:val="00180BB3"/>
    <w:rsid w:val="0018101D"/>
    <w:rsid w:val="001815B9"/>
    <w:rsid w:val="00181CB8"/>
    <w:rsid w:val="00183CE2"/>
    <w:rsid w:val="00184109"/>
    <w:rsid w:val="001850A8"/>
    <w:rsid w:val="00185A7B"/>
    <w:rsid w:val="00186054"/>
    <w:rsid w:val="00186524"/>
    <w:rsid w:val="001907D3"/>
    <w:rsid w:val="00190DF8"/>
    <w:rsid w:val="0019181D"/>
    <w:rsid w:val="001923DB"/>
    <w:rsid w:val="00192EB6"/>
    <w:rsid w:val="0019310F"/>
    <w:rsid w:val="00193D2A"/>
    <w:rsid w:val="00194CC7"/>
    <w:rsid w:val="00195448"/>
    <w:rsid w:val="0019562E"/>
    <w:rsid w:val="00195DE9"/>
    <w:rsid w:val="00195E57"/>
    <w:rsid w:val="001963AA"/>
    <w:rsid w:val="001966FF"/>
    <w:rsid w:val="0019754E"/>
    <w:rsid w:val="00197FFE"/>
    <w:rsid w:val="001A04CC"/>
    <w:rsid w:val="001A109F"/>
    <w:rsid w:val="001A1E3A"/>
    <w:rsid w:val="001A2019"/>
    <w:rsid w:val="001A3948"/>
    <w:rsid w:val="001A408B"/>
    <w:rsid w:val="001A4946"/>
    <w:rsid w:val="001A4B31"/>
    <w:rsid w:val="001A50DB"/>
    <w:rsid w:val="001A6922"/>
    <w:rsid w:val="001A6AFC"/>
    <w:rsid w:val="001A7D68"/>
    <w:rsid w:val="001A7E91"/>
    <w:rsid w:val="001B0744"/>
    <w:rsid w:val="001B0C96"/>
    <w:rsid w:val="001B29E9"/>
    <w:rsid w:val="001B2D59"/>
    <w:rsid w:val="001B39E7"/>
    <w:rsid w:val="001B4CE3"/>
    <w:rsid w:val="001B50E5"/>
    <w:rsid w:val="001B531D"/>
    <w:rsid w:val="001B566A"/>
    <w:rsid w:val="001B6335"/>
    <w:rsid w:val="001B6AF2"/>
    <w:rsid w:val="001B75A4"/>
    <w:rsid w:val="001B7E27"/>
    <w:rsid w:val="001C197D"/>
    <w:rsid w:val="001C2B4B"/>
    <w:rsid w:val="001C30EA"/>
    <w:rsid w:val="001C34A4"/>
    <w:rsid w:val="001C36B9"/>
    <w:rsid w:val="001C3993"/>
    <w:rsid w:val="001C42EA"/>
    <w:rsid w:val="001C56ED"/>
    <w:rsid w:val="001C64F5"/>
    <w:rsid w:val="001C67E6"/>
    <w:rsid w:val="001C7CBA"/>
    <w:rsid w:val="001D111E"/>
    <w:rsid w:val="001D3053"/>
    <w:rsid w:val="001D399C"/>
    <w:rsid w:val="001D4154"/>
    <w:rsid w:val="001D51D6"/>
    <w:rsid w:val="001D6C1B"/>
    <w:rsid w:val="001D7FE0"/>
    <w:rsid w:val="001E03B6"/>
    <w:rsid w:val="001E0460"/>
    <w:rsid w:val="001E0D13"/>
    <w:rsid w:val="001E133F"/>
    <w:rsid w:val="001E14A6"/>
    <w:rsid w:val="001E1867"/>
    <w:rsid w:val="001E188E"/>
    <w:rsid w:val="001E2CF0"/>
    <w:rsid w:val="001E3471"/>
    <w:rsid w:val="001E3DEA"/>
    <w:rsid w:val="001E5705"/>
    <w:rsid w:val="001E5AFA"/>
    <w:rsid w:val="001E67BF"/>
    <w:rsid w:val="001E6988"/>
    <w:rsid w:val="001E7DE1"/>
    <w:rsid w:val="001F3475"/>
    <w:rsid w:val="001F3672"/>
    <w:rsid w:val="001F4768"/>
    <w:rsid w:val="001F4F85"/>
    <w:rsid w:val="001F6EF9"/>
    <w:rsid w:val="001F6F20"/>
    <w:rsid w:val="001F7649"/>
    <w:rsid w:val="002005BE"/>
    <w:rsid w:val="00200FDB"/>
    <w:rsid w:val="002028B1"/>
    <w:rsid w:val="00202F3F"/>
    <w:rsid w:val="00204214"/>
    <w:rsid w:val="00204E4A"/>
    <w:rsid w:val="002071E4"/>
    <w:rsid w:val="00207681"/>
    <w:rsid w:val="00207EDE"/>
    <w:rsid w:val="002101DC"/>
    <w:rsid w:val="002103C1"/>
    <w:rsid w:val="002109A6"/>
    <w:rsid w:val="002110FE"/>
    <w:rsid w:val="002114F9"/>
    <w:rsid w:val="00212F7C"/>
    <w:rsid w:val="00213412"/>
    <w:rsid w:val="00214DC9"/>
    <w:rsid w:val="00214F43"/>
    <w:rsid w:val="002151FD"/>
    <w:rsid w:val="002157DB"/>
    <w:rsid w:val="00215E94"/>
    <w:rsid w:val="00217810"/>
    <w:rsid w:val="00217D80"/>
    <w:rsid w:val="00217DFF"/>
    <w:rsid w:val="00220246"/>
    <w:rsid w:val="0022090B"/>
    <w:rsid w:val="00220B24"/>
    <w:rsid w:val="00222603"/>
    <w:rsid w:val="0022268F"/>
    <w:rsid w:val="00222F01"/>
    <w:rsid w:val="00223447"/>
    <w:rsid w:val="00224613"/>
    <w:rsid w:val="002247D0"/>
    <w:rsid w:val="00225F6F"/>
    <w:rsid w:val="0022698B"/>
    <w:rsid w:val="00226D1B"/>
    <w:rsid w:val="00230A1B"/>
    <w:rsid w:val="00230BA0"/>
    <w:rsid w:val="00230EC7"/>
    <w:rsid w:val="00231B3D"/>
    <w:rsid w:val="00231D79"/>
    <w:rsid w:val="00232F51"/>
    <w:rsid w:val="00233670"/>
    <w:rsid w:val="00233A31"/>
    <w:rsid w:val="00234A9E"/>
    <w:rsid w:val="00234B59"/>
    <w:rsid w:val="00235311"/>
    <w:rsid w:val="0023566F"/>
    <w:rsid w:val="0023776B"/>
    <w:rsid w:val="00237E19"/>
    <w:rsid w:val="0024234B"/>
    <w:rsid w:val="00244C2C"/>
    <w:rsid w:val="00246226"/>
    <w:rsid w:val="00246B64"/>
    <w:rsid w:val="00247701"/>
    <w:rsid w:val="00247CC9"/>
    <w:rsid w:val="00251502"/>
    <w:rsid w:val="00253735"/>
    <w:rsid w:val="00253984"/>
    <w:rsid w:val="00253D61"/>
    <w:rsid w:val="002556C5"/>
    <w:rsid w:val="00255AD1"/>
    <w:rsid w:val="00255AEC"/>
    <w:rsid w:val="00255CC2"/>
    <w:rsid w:val="00256370"/>
    <w:rsid w:val="00256695"/>
    <w:rsid w:val="00257B0C"/>
    <w:rsid w:val="00261A3A"/>
    <w:rsid w:val="00262CD5"/>
    <w:rsid w:val="002631CD"/>
    <w:rsid w:val="00263CA5"/>
    <w:rsid w:val="00264035"/>
    <w:rsid w:val="0026450D"/>
    <w:rsid w:val="00264AA8"/>
    <w:rsid w:val="00265DE2"/>
    <w:rsid w:val="00266014"/>
    <w:rsid w:val="002664B0"/>
    <w:rsid w:val="0026688A"/>
    <w:rsid w:val="002674A4"/>
    <w:rsid w:val="002675FF"/>
    <w:rsid w:val="00267E33"/>
    <w:rsid w:val="00272F44"/>
    <w:rsid w:val="002730F7"/>
    <w:rsid w:val="002739CC"/>
    <w:rsid w:val="00274B94"/>
    <w:rsid w:val="00274C8F"/>
    <w:rsid w:val="00277112"/>
    <w:rsid w:val="0027739E"/>
    <w:rsid w:val="00277C72"/>
    <w:rsid w:val="00280321"/>
    <w:rsid w:val="00280798"/>
    <w:rsid w:val="00281683"/>
    <w:rsid w:val="00281BE0"/>
    <w:rsid w:val="00281F09"/>
    <w:rsid w:val="0028266E"/>
    <w:rsid w:val="002827A3"/>
    <w:rsid w:val="002839CF"/>
    <w:rsid w:val="002867B0"/>
    <w:rsid w:val="00286ED7"/>
    <w:rsid w:val="00286F8F"/>
    <w:rsid w:val="00287093"/>
    <w:rsid w:val="002872E8"/>
    <w:rsid w:val="00287E05"/>
    <w:rsid w:val="00291562"/>
    <w:rsid w:val="00291E3C"/>
    <w:rsid w:val="002922EB"/>
    <w:rsid w:val="00292963"/>
    <w:rsid w:val="00295349"/>
    <w:rsid w:val="002954D1"/>
    <w:rsid w:val="00296EEB"/>
    <w:rsid w:val="00296FD5"/>
    <w:rsid w:val="002971FD"/>
    <w:rsid w:val="002977C1"/>
    <w:rsid w:val="002978A5"/>
    <w:rsid w:val="00297E3F"/>
    <w:rsid w:val="00297F12"/>
    <w:rsid w:val="002A0430"/>
    <w:rsid w:val="002A0D3F"/>
    <w:rsid w:val="002A10AC"/>
    <w:rsid w:val="002A14B0"/>
    <w:rsid w:val="002A1961"/>
    <w:rsid w:val="002A2B4E"/>
    <w:rsid w:val="002A2D61"/>
    <w:rsid w:val="002A323D"/>
    <w:rsid w:val="002A394B"/>
    <w:rsid w:val="002A5A03"/>
    <w:rsid w:val="002A5BA8"/>
    <w:rsid w:val="002A5BC2"/>
    <w:rsid w:val="002A6242"/>
    <w:rsid w:val="002A73F7"/>
    <w:rsid w:val="002A7F69"/>
    <w:rsid w:val="002B0150"/>
    <w:rsid w:val="002B03D0"/>
    <w:rsid w:val="002B243B"/>
    <w:rsid w:val="002B3453"/>
    <w:rsid w:val="002B3571"/>
    <w:rsid w:val="002B3A4A"/>
    <w:rsid w:val="002B5A0C"/>
    <w:rsid w:val="002B602A"/>
    <w:rsid w:val="002C0A58"/>
    <w:rsid w:val="002C0FB6"/>
    <w:rsid w:val="002C197E"/>
    <w:rsid w:val="002C1EE3"/>
    <w:rsid w:val="002C25F4"/>
    <w:rsid w:val="002C2894"/>
    <w:rsid w:val="002C375D"/>
    <w:rsid w:val="002C4B6C"/>
    <w:rsid w:val="002C59A9"/>
    <w:rsid w:val="002C5F45"/>
    <w:rsid w:val="002C6FAD"/>
    <w:rsid w:val="002C7129"/>
    <w:rsid w:val="002C746F"/>
    <w:rsid w:val="002C7527"/>
    <w:rsid w:val="002D03CC"/>
    <w:rsid w:val="002D1497"/>
    <w:rsid w:val="002D2CFB"/>
    <w:rsid w:val="002D30E9"/>
    <w:rsid w:val="002D431D"/>
    <w:rsid w:val="002D4D16"/>
    <w:rsid w:val="002D5C41"/>
    <w:rsid w:val="002D63BE"/>
    <w:rsid w:val="002D66AB"/>
    <w:rsid w:val="002D6C7D"/>
    <w:rsid w:val="002D6F1C"/>
    <w:rsid w:val="002E055E"/>
    <w:rsid w:val="002E08C0"/>
    <w:rsid w:val="002E0B81"/>
    <w:rsid w:val="002E1ADF"/>
    <w:rsid w:val="002E295E"/>
    <w:rsid w:val="002E3B67"/>
    <w:rsid w:val="002E41AF"/>
    <w:rsid w:val="002E4AD7"/>
    <w:rsid w:val="002E659C"/>
    <w:rsid w:val="002E6A34"/>
    <w:rsid w:val="002E6DC5"/>
    <w:rsid w:val="002F1071"/>
    <w:rsid w:val="002F35B1"/>
    <w:rsid w:val="002F4025"/>
    <w:rsid w:val="002F7935"/>
    <w:rsid w:val="002F793E"/>
    <w:rsid w:val="002F7C44"/>
    <w:rsid w:val="002F7E7E"/>
    <w:rsid w:val="0030070D"/>
    <w:rsid w:val="00300CED"/>
    <w:rsid w:val="003010DD"/>
    <w:rsid w:val="003015B4"/>
    <w:rsid w:val="00301A01"/>
    <w:rsid w:val="00301D49"/>
    <w:rsid w:val="00301DBD"/>
    <w:rsid w:val="00303BD1"/>
    <w:rsid w:val="00303C2B"/>
    <w:rsid w:val="00303C4F"/>
    <w:rsid w:val="00304659"/>
    <w:rsid w:val="0030473A"/>
    <w:rsid w:val="00304806"/>
    <w:rsid w:val="00305714"/>
    <w:rsid w:val="00305C6B"/>
    <w:rsid w:val="00305EFE"/>
    <w:rsid w:val="00306D8F"/>
    <w:rsid w:val="003079C9"/>
    <w:rsid w:val="00310071"/>
    <w:rsid w:val="00310936"/>
    <w:rsid w:val="00310B24"/>
    <w:rsid w:val="0031157A"/>
    <w:rsid w:val="0031189E"/>
    <w:rsid w:val="00311A4A"/>
    <w:rsid w:val="00314184"/>
    <w:rsid w:val="00314DEC"/>
    <w:rsid w:val="0031513F"/>
    <w:rsid w:val="003157BA"/>
    <w:rsid w:val="00315C4F"/>
    <w:rsid w:val="00317C45"/>
    <w:rsid w:val="003203AD"/>
    <w:rsid w:val="003206B8"/>
    <w:rsid w:val="00320B5B"/>
    <w:rsid w:val="003213F4"/>
    <w:rsid w:val="00321658"/>
    <w:rsid w:val="0032190A"/>
    <w:rsid w:val="00321A4E"/>
    <w:rsid w:val="00321BE4"/>
    <w:rsid w:val="00321EA9"/>
    <w:rsid w:val="00322FF2"/>
    <w:rsid w:val="0032313F"/>
    <w:rsid w:val="003233EF"/>
    <w:rsid w:val="003234FA"/>
    <w:rsid w:val="00324795"/>
    <w:rsid w:val="0032497D"/>
    <w:rsid w:val="0032575A"/>
    <w:rsid w:val="00326B96"/>
    <w:rsid w:val="00326CD5"/>
    <w:rsid w:val="00327472"/>
    <w:rsid w:val="00327595"/>
    <w:rsid w:val="0033103F"/>
    <w:rsid w:val="003315A8"/>
    <w:rsid w:val="00331B85"/>
    <w:rsid w:val="0033219F"/>
    <w:rsid w:val="00332487"/>
    <w:rsid w:val="0033539B"/>
    <w:rsid w:val="00336989"/>
    <w:rsid w:val="00336D8F"/>
    <w:rsid w:val="00340506"/>
    <w:rsid w:val="00340A0B"/>
    <w:rsid w:val="00341927"/>
    <w:rsid w:val="00342D8B"/>
    <w:rsid w:val="00343DAE"/>
    <w:rsid w:val="00344D4B"/>
    <w:rsid w:val="00346714"/>
    <w:rsid w:val="00346F2F"/>
    <w:rsid w:val="003475EB"/>
    <w:rsid w:val="00347C15"/>
    <w:rsid w:val="00350A41"/>
    <w:rsid w:val="00351137"/>
    <w:rsid w:val="0035195E"/>
    <w:rsid w:val="003524E5"/>
    <w:rsid w:val="00353013"/>
    <w:rsid w:val="0035356A"/>
    <w:rsid w:val="00353BD3"/>
    <w:rsid w:val="00353CC5"/>
    <w:rsid w:val="00355756"/>
    <w:rsid w:val="00357B9E"/>
    <w:rsid w:val="0036105A"/>
    <w:rsid w:val="00361544"/>
    <w:rsid w:val="00361A38"/>
    <w:rsid w:val="003635F5"/>
    <w:rsid w:val="00363FF6"/>
    <w:rsid w:val="00364DC3"/>
    <w:rsid w:val="00364FE4"/>
    <w:rsid w:val="00366472"/>
    <w:rsid w:val="0036747E"/>
    <w:rsid w:val="0036760F"/>
    <w:rsid w:val="00367686"/>
    <w:rsid w:val="003678DC"/>
    <w:rsid w:val="00371F8F"/>
    <w:rsid w:val="003720F4"/>
    <w:rsid w:val="00372CDD"/>
    <w:rsid w:val="00373CA4"/>
    <w:rsid w:val="00374398"/>
    <w:rsid w:val="0037459E"/>
    <w:rsid w:val="00374772"/>
    <w:rsid w:val="00376A0C"/>
    <w:rsid w:val="0037743E"/>
    <w:rsid w:val="003804AB"/>
    <w:rsid w:val="003836D0"/>
    <w:rsid w:val="00384121"/>
    <w:rsid w:val="003843D7"/>
    <w:rsid w:val="0038446F"/>
    <w:rsid w:val="00385229"/>
    <w:rsid w:val="003853A2"/>
    <w:rsid w:val="00385A8D"/>
    <w:rsid w:val="00385DFC"/>
    <w:rsid w:val="00385E5B"/>
    <w:rsid w:val="0038767F"/>
    <w:rsid w:val="003878A8"/>
    <w:rsid w:val="003921C0"/>
    <w:rsid w:val="00392E92"/>
    <w:rsid w:val="003932AB"/>
    <w:rsid w:val="003933B8"/>
    <w:rsid w:val="00393D12"/>
    <w:rsid w:val="00393E4F"/>
    <w:rsid w:val="00394337"/>
    <w:rsid w:val="00396188"/>
    <w:rsid w:val="00396635"/>
    <w:rsid w:val="00397354"/>
    <w:rsid w:val="003A0E7B"/>
    <w:rsid w:val="003A1FF9"/>
    <w:rsid w:val="003A302D"/>
    <w:rsid w:val="003A34FA"/>
    <w:rsid w:val="003A3853"/>
    <w:rsid w:val="003A5E09"/>
    <w:rsid w:val="003A62F0"/>
    <w:rsid w:val="003A634B"/>
    <w:rsid w:val="003A665E"/>
    <w:rsid w:val="003A6DB0"/>
    <w:rsid w:val="003A7979"/>
    <w:rsid w:val="003B080F"/>
    <w:rsid w:val="003B19FB"/>
    <w:rsid w:val="003B1C83"/>
    <w:rsid w:val="003B225E"/>
    <w:rsid w:val="003B321F"/>
    <w:rsid w:val="003B3C58"/>
    <w:rsid w:val="003B48CA"/>
    <w:rsid w:val="003B4D5F"/>
    <w:rsid w:val="003B69CA"/>
    <w:rsid w:val="003B7C87"/>
    <w:rsid w:val="003C0417"/>
    <w:rsid w:val="003C06FF"/>
    <w:rsid w:val="003C0B2F"/>
    <w:rsid w:val="003C31BE"/>
    <w:rsid w:val="003C370E"/>
    <w:rsid w:val="003C37D1"/>
    <w:rsid w:val="003C4178"/>
    <w:rsid w:val="003C43C9"/>
    <w:rsid w:val="003C491F"/>
    <w:rsid w:val="003C4FCA"/>
    <w:rsid w:val="003C6591"/>
    <w:rsid w:val="003D2203"/>
    <w:rsid w:val="003D278C"/>
    <w:rsid w:val="003D28E1"/>
    <w:rsid w:val="003D33A3"/>
    <w:rsid w:val="003D3532"/>
    <w:rsid w:val="003D5234"/>
    <w:rsid w:val="003D5CBC"/>
    <w:rsid w:val="003D6AE9"/>
    <w:rsid w:val="003D6EEC"/>
    <w:rsid w:val="003D6F0A"/>
    <w:rsid w:val="003D7EBE"/>
    <w:rsid w:val="003E0814"/>
    <w:rsid w:val="003E0AB2"/>
    <w:rsid w:val="003E10AE"/>
    <w:rsid w:val="003E10F3"/>
    <w:rsid w:val="003E1A7A"/>
    <w:rsid w:val="003E2B6D"/>
    <w:rsid w:val="003E2F2C"/>
    <w:rsid w:val="003E353C"/>
    <w:rsid w:val="003E395F"/>
    <w:rsid w:val="003E3F4B"/>
    <w:rsid w:val="003E3FB3"/>
    <w:rsid w:val="003E41D4"/>
    <w:rsid w:val="003E444A"/>
    <w:rsid w:val="003E4948"/>
    <w:rsid w:val="003E53D5"/>
    <w:rsid w:val="003E677E"/>
    <w:rsid w:val="003E6E79"/>
    <w:rsid w:val="003F0BE2"/>
    <w:rsid w:val="003F16EF"/>
    <w:rsid w:val="003F2C67"/>
    <w:rsid w:val="003F3292"/>
    <w:rsid w:val="003F4BE4"/>
    <w:rsid w:val="003F54A9"/>
    <w:rsid w:val="003F5954"/>
    <w:rsid w:val="003F6908"/>
    <w:rsid w:val="003F79BB"/>
    <w:rsid w:val="003F7B47"/>
    <w:rsid w:val="003F7E9F"/>
    <w:rsid w:val="0040132A"/>
    <w:rsid w:val="00401466"/>
    <w:rsid w:val="00401C46"/>
    <w:rsid w:val="004023ED"/>
    <w:rsid w:val="00402BA4"/>
    <w:rsid w:val="00402FB8"/>
    <w:rsid w:val="004030D8"/>
    <w:rsid w:val="00403923"/>
    <w:rsid w:val="00403F6B"/>
    <w:rsid w:val="00404649"/>
    <w:rsid w:val="00405E7E"/>
    <w:rsid w:val="004067FB"/>
    <w:rsid w:val="00406A06"/>
    <w:rsid w:val="00407C14"/>
    <w:rsid w:val="004101FF"/>
    <w:rsid w:val="00411142"/>
    <w:rsid w:val="00412005"/>
    <w:rsid w:val="004123CB"/>
    <w:rsid w:val="004135E7"/>
    <w:rsid w:val="0041392E"/>
    <w:rsid w:val="00413F62"/>
    <w:rsid w:val="00414054"/>
    <w:rsid w:val="0041411A"/>
    <w:rsid w:val="00416B14"/>
    <w:rsid w:val="00417CC3"/>
    <w:rsid w:val="00417F1A"/>
    <w:rsid w:val="00417F3F"/>
    <w:rsid w:val="004205C8"/>
    <w:rsid w:val="0042082C"/>
    <w:rsid w:val="00420AFC"/>
    <w:rsid w:val="00420DD9"/>
    <w:rsid w:val="00421048"/>
    <w:rsid w:val="00421C5E"/>
    <w:rsid w:val="00421D41"/>
    <w:rsid w:val="0042268F"/>
    <w:rsid w:val="00422D91"/>
    <w:rsid w:val="00422F11"/>
    <w:rsid w:val="004239C8"/>
    <w:rsid w:val="00423DCF"/>
    <w:rsid w:val="00424AE9"/>
    <w:rsid w:val="00424FEB"/>
    <w:rsid w:val="004265ED"/>
    <w:rsid w:val="004273F2"/>
    <w:rsid w:val="00427726"/>
    <w:rsid w:val="00431159"/>
    <w:rsid w:val="004317F4"/>
    <w:rsid w:val="00431E03"/>
    <w:rsid w:val="00432AEE"/>
    <w:rsid w:val="00432E26"/>
    <w:rsid w:val="00433761"/>
    <w:rsid w:val="00434D2A"/>
    <w:rsid w:val="00434DA8"/>
    <w:rsid w:val="00434F0F"/>
    <w:rsid w:val="004350DD"/>
    <w:rsid w:val="00435E1C"/>
    <w:rsid w:val="00436DFC"/>
    <w:rsid w:val="00437FED"/>
    <w:rsid w:val="004430C1"/>
    <w:rsid w:val="00443462"/>
    <w:rsid w:val="00443652"/>
    <w:rsid w:val="00443DE1"/>
    <w:rsid w:val="0044435C"/>
    <w:rsid w:val="004443AF"/>
    <w:rsid w:val="00444D60"/>
    <w:rsid w:val="004457F6"/>
    <w:rsid w:val="00446591"/>
    <w:rsid w:val="00446D69"/>
    <w:rsid w:val="00447151"/>
    <w:rsid w:val="004476BC"/>
    <w:rsid w:val="004505D2"/>
    <w:rsid w:val="004529F6"/>
    <w:rsid w:val="00452B7E"/>
    <w:rsid w:val="00452E58"/>
    <w:rsid w:val="004531BC"/>
    <w:rsid w:val="004539AA"/>
    <w:rsid w:val="00453F55"/>
    <w:rsid w:val="00454D95"/>
    <w:rsid w:val="004573FF"/>
    <w:rsid w:val="00457922"/>
    <w:rsid w:val="00460082"/>
    <w:rsid w:val="004607B2"/>
    <w:rsid w:val="004626A8"/>
    <w:rsid w:val="00463821"/>
    <w:rsid w:val="0046396A"/>
    <w:rsid w:val="00464059"/>
    <w:rsid w:val="00464498"/>
    <w:rsid w:val="00466051"/>
    <w:rsid w:val="00466777"/>
    <w:rsid w:val="004672F6"/>
    <w:rsid w:val="0046780E"/>
    <w:rsid w:val="00470EFB"/>
    <w:rsid w:val="00471629"/>
    <w:rsid w:val="00471AE4"/>
    <w:rsid w:val="004724D2"/>
    <w:rsid w:val="00472858"/>
    <w:rsid w:val="00472BDB"/>
    <w:rsid w:val="0047323C"/>
    <w:rsid w:val="0047326B"/>
    <w:rsid w:val="004735A6"/>
    <w:rsid w:val="00474041"/>
    <w:rsid w:val="00474060"/>
    <w:rsid w:val="00474251"/>
    <w:rsid w:val="0047483A"/>
    <w:rsid w:val="00475174"/>
    <w:rsid w:val="00475953"/>
    <w:rsid w:val="00475CB3"/>
    <w:rsid w:val="00475EDC"/>
    <w:rsid w:val="00476EE8"/>
    <w:rsid w:val="00477766"/>
    <w:rsid w:val="0048125D"/>
    <w:rsid w:val="004812FD"/>
    <w:rsid w:val="00481F1B"/>
    <w:rsid w:val="00482420"/>
    <w:rsid w:val="00484092"/>
    <w:rsid w:val="00486A2A"/>
    <w:rsid w:val="00486F40"/>
    <w:rsid w:val="00491DD7"/>
    <w:rsid w:val="00491F3D"/>
    <w:rsid w:val="004925CC"/>
    <w:rsid w:val="00493F2B"/>
    <w:rsid w:val="004940CD"/>
    <w:rsid w:val="00494DC9"/>
    <w:rsid w:val="004955CB"/>
    <w:rsid w:val="00496191"/>
    <w:rsid w:val="0049661B"/>
    <w:rsid w:val="00496BD8"/>
    <w:rsid w:val="0049735F"/>
    <w:rsid w:val="004A026C"/>
    <w:rsid w:val="004A25E4"/>
    <w:rsid w:val="004A3C30"/>
    <w:rsid w:val="004A3D63"/>
    <w:rsid w:val="004A4583"/>
    <w:rsid w:val="004A4F91"/>
    <w:rsid w:val="004A59BF"/>
    <w:rsid w:val="004A630D"/>
    <w:rsid w:val="004A7B34"/>
    <w:rsid w:val="004B0BAE"/>
    <w:rsid w:val="004B20D6"/>
    <w:rsid w:val="004B2FC3"/>
    <w:rsid w:val="004B35A0"/>
    <w:rsid w:val="004B3FCB"/>
    <w:rsid w:val="004B43E4"/>
    <w:rsid w:val="004B4638"/>
    <w:rsid w:val="004B709F"/>
    <w:rsid w:val="004B776C"/>
    <w:rsid w:val="004B780B"/>
    <w:rsid w:val="004B7F75"/>
    <w:rsid w:val="004C0CBE"/>
    <w:rsid w:val="004C21A7"/>
    <w:rsid w:val="004C2437"/>
    <w:rsid w:val="004C246B"/>
    <w:rsid w:val="004C25C0"/>
    <w:rsid w:val="004C3811"/>
    <w:rsid w:val="004C4468"/>
    <w:rsid w:val="004C4C86"/>
    <w:rsid w:val="004C54DF"/>
    <w:rsid w:val="004C5517"/>
    <w:rsid w:val="004C5EC2"/>
    <w:rsid w:val="004C5FE4"/>
    <w:rsid w:val="004C6964"/>
    <w:rsid w:val="004C6ADC"/>
    <w:rsid w:val="004C6B9E"/>
    <w:rsid w:val="004D019B"/>
    <w:rsid w:val="004D2E1B"/>
    <w:rsid w:val="004D3282"/>
    <w:rsid w:val="004D360E"/>
    <w:rsid w:val="004D4DFE"/>
    <w:rsid w:val="004D563C"/>
    <w:rsid w:val="004D5E56"/>
    <w:rsid w:val="004D73D3"/>
    <w:rsid w:val="004D7F70"/>
    <w:rsid w:val="004E0741"/>
    <w:rsid w:val="004E0C90"/>
    <w:rsid w:val="004E2149"/>
    <w:rsid w:val="004E265C"/>
    <w:rsid w:val="004E270D"/>
    <w:rsid w:val="004E3665"/>
    <w:rsid w:val="004E387C"/>
    <w:rsid w:val="004E4342"/>
    <w:rsid w:val="004E4ED1"/>
    <w:rsid w:val="004E5EC4"/>
    <w:rsid w:val="004E645A"/>
    <w:rsid w:val="004E695E"/>
    <w:rsid w:val="004E6E4F"/>
    <w:rsid w:val="004E7D23"/>
    <w:rsid w:val="004F0886"/>
    <w:rsid w:val="004F1DAF"/>
    <w:rsid w:val="004F2031"/>
    <w:rsid w:val="004F38A6"/>
    <w:rsid w:val="004F3D9E"/>
    <w:rsid w:val="004F4288"/>
    <w:rsid w:val="004F45AD"/>
    <w:rsid w:val="004F4BA5"/>
    <w:rsid w:val="004F508E"/>
    <w:rsid w:val="004F5201"/>
    <w:rsid w:val="004F67B9"/>
    <w:rsid w:val="004F6A8A"/>
    <w:rsid w:val="004F6AB2"/>
    <w:rsid w:val="00500177"/>
    <w:rsid w:val="00500C23"/>
    <w:rsid w:val="005023C2"/>
    <w:rsid w:val="005024AA"/>
    <w:rsid w:val="005027DF"/>
    <w:rsid w:val="00502A54"/>
    <w:rsid w:val="00502C93"/>
    <w:rsid w:val="005048CC"/>
    <w:rsid w:val="00504EB6"/>
    <w:rsid w:val="005052E9"/>
    <w:rsid w:val="00505695"/>
    <w:rsid w:val="00506373"/>
    <w:rsid w:val="00506439"/>
    <w:rsid w:val="005068CF"/>
    <w:rsid w:val="00511309"/>
    <w:rsid w:val="00511653"/>
    <w:rsid w:val="005121D0"/>
    <w:rsid w:val="00512F79"/>
    <w:rsid w:val="005135B2"/>
    <w:rsid w:val="00513978"/>
    <w:rsid w:val="00513C17"/>
    <w:rsid w:val="00513C5D"/>
    <w:rsid w:val="00513D1F"/>
    <w:rsid w:val="00513D5F"/>
    <w:rsid w:val="005152C6"/>
    <w:rsid w:val="0051538D"/>
    <w:rsid w:val="005158D9"/>
    <w:rsid w:val="00516129"/>
    <w:rsid w:val="00516E09"/>
    <w:rsid w:val="005206B1"/>
    <w:rsid w:val="005206F9"/>
    <w:rsid w:val="00520850"/>
    <w:rsid w:val="005208BB"/>
    <w:rsid w:val="005226ED"/>
    <w:rsid w:val="00523718"/>
    <w:rsid w:val="00523971"/>
    <w:rsid w:val="00523984"/>
    <w:rsid w:val="0052410A"/>
    <w:rsid w:val="00525AB8"/>
    <w:rsid w:val="00531395"/>
    <w:rsid w:val="00531773"/>
    <w:rsid w:val="00531D70"/>
    <w:rsid w:val="00532623"/>
    <w:rsid w:val="00533E4D"/>
    <w:rsid w:val="00534F3E"/>
    <w:rsid w:val="00535985"/>
    <w:rsid w:val="005364BF"/>
    <w:rsid w:val="00536538"/>
    <w:rsid w:val="00537591"/>
    <w:rsid w:val="005431FC"/>
    <w:rsid w:val="00544CE2"/>
    <w:rsid w:val="0054688C"/>
    <w:rsid w:val="00546990"/>
    <w:rsid w:val="00547017"/>
    <w:rsid w:val="0054725E"/>
    <w:rsid w:val="005474BF"/>
    <w:rsid w:val="00550C09"/>
    <w:rsid w:val="00553FEF"/>
    <w:rsid w:val="00554181"/>
    <w:rsid w:val="00554328"/>
    <w:rsid w:val="00554380"/>
    <w:rsid w:val="00555444"/>
    <w:rsid w:val="005568BF"/>
    <w:rsid w:val="0056000B"/>
    <w:rsid w:val="00560AD9"/>
    <w:rsid w:val="00561B19"/>
    <w:rsid w:val="00562DD6"/>
    <w:rsid w:val="0056477E"/>
    <w:rsid w:val="005658F0"/>
    <w:rsid w:val="0056614F"/>
    <w:rsid w:val="00566C00"/>
    <w:rsid w:val="00567C44"/>
    <w:rsid w:val="00570710"/>
    <w:rsid w:val="005714D0"/>
    <w:rsid w:val="00571546"/>
    <w:rsid w:val="00572C0B"/>
    <w:rsid w:val="005760CD"/>
    <w:rsid w:val="005773BF"/>
    <w:rsid w:val="00577D28"/>
    <w:rsid w:val="005800E8"/>
    <w:rsid w:val="00582107"/>
    <w:rsid w:val="005829F8"/>
    <w:rsid w:val="00583828"/>
    <w:rsid w:val="00583F26"/>
    <w:rsid w:val="005845CE"/>
    <w:rsid w:val="0058475A"/>
    <w:rsid w:val="005856F5"/>
    <w:rsid w:val="00585AAC"/>
    <w:rsid w:val="00585BDF"/>
    <w:rsid w:val="00585D7F"/>
    <w:rsid w:val="0058608A"/>
    <w:rsid w:val="005870E7"/>
    <w:rsid w:val="0058757F"/>
    <w:rsid w:val="005876AF"/>
    <w:rsid w:val="00590DB8"/>
    <w:rsid w:val="005914A2"/>
    <w:rsid w:val="00592653"/>
    <w:rsid w:val="00594883"/>
    <w:rsid w:val="00595020"/>
    <w:rsid w:val="005955E8"/>
    <w:rsid w:val="00595806"/>
    <w:rsid w:val="00596598"/>
    <w:rsid w:val="0059734E"/>
    <w:rsid w:val="005977B2"/>
    <w:rsid w:val="005A0257"/>
    <w:rsid w:val="005A053C"/>
    <w:rsid w:val="005A0737"/>
    <w:rsid w:val="005A0B1F"/>
    <w:rsid w:val="005A0FBD"/>
    <w:rsid w:val="005A1AD5"/>
    <w:rsid w:val="005A1F61"/>
    <w:rsid w:val="005A1FAF"/>
    <w:rsid w:val="005A33B9"/>
    <w:rsid w:val="005A4CE4"/>
    <w:rsid w:val="005A4D7F"/>
    <w:rsid w:val="005A5884"/>
    <w:rsid w:val="005A5FE2"/>
    <w:rsid w:val="005A66CF"/>
    <w:rsid w:val="005A6B06"/>
    <w:rsid w:val="005A741B"/>
    <w:rsid w:val="005B11F1"/>
    <w:rsid w:val="005B1E78"/>
    <w:rsid w:val="005B251F"/>
    <w:rsid w:val="005B26E4"/>
    <w:rsid w:val="005B2E38"/>
    <w:rsid w:val="005B30C8"/>
    <w:rsid w:val="005B3F29"/>
    <w:rsid w:val="005B42F0"/>
    <w:rsid w:val="005B49C0"/>
    <w:rsid w:val="005B57D8"/>
    <w:rsid w:val="005B60F6"/>
    <w:rsid w:val="005B61B2"/>
    <w:rsid w:val="005B65C0"/>
    <w:rsid w:val="005B6BF9"/>
    <w:rsid w:val="005B6CA6"/>
    <w:rsid w:val="005B73FF"/>
    <w:rsid w:val="005C0806"/>
    <w:rsid w:val="005C095D"/>
    <w:rsid w:val="005C09B4"/>
    <w:rsid w:val="005C0BC3"/>
    <w:rsid w:val="005C0CFD"/>
    <w:rsid w:val="005C1346"/>
    <w:rsid w:val="005C1BD6"/>
    <w:rsid w:val="005C23D7"/>
    <w:rsid w:val="005C2C4B"/>
    <w:rsid w:val="005C2EBD"/>
    <w:rsid w:val="005C3045"/>
    <w:rsid w:val="005C39D9"/>
    <w:rsid w:val="005C3D45"/>
    <w:rsid w:val="005C401A"/>
    <w:rsid w:val="005C543B"/>
    <w:rsid w:val="005C7770"/>
    <w:rsid w:val="005D08D2"/>
    <w:rsid w:val="005D0C0B"/>
    <w:rsid w:val="005D1690"/>
    <w:rsid w:val="005D18C7"/>
    <w:rsid w:val="005D1FD2"/>
    <w:rsid w:val="005D48C8"/>
    <w:rsid w:val="005D6066"/>
    <w:rsid w:val="005D6643"/>
    <w:rsid w:val="005D6924"/>
    <w:rsid w:val="005D7F7E"/>
    <w:rsid w:val="005E07D8"/>
    <w:rsid w:val="005E0B3D"/>
    <w:rsid w:val="005E0D90"/>
    <w:rsid w:val="005E1803"/>
    <w:rsid w:val="005E25BD"/>
    <w:rsid w:val="005E2D75"/>
    <w:rsid w:val="005E4A48"/>
    <w:rsid w:val="005E4CC6"/>
    <w:rsid w:val="005E50D7"/>
    <w:rsid w:val="005E592F"/>
    <w:rsid w:val="005E5DA8"/>
    <w:rsid w:val="005E5F64"/>
    <w:rsid w:val="005F02D4"/>
    <w:rsid w:val="005F0790"/>
    <w:rsid w:val="005F1F15"/>
    <w:rsid w:val="005F26C2"/>
    <w:rsid w:val="005F2778"/>
    <w:rsid w:val="005F379F"/>
    <w:rsid w:val="005F39AA"/>
    <w:rsid w:val="005F4463"/>
    <w:rsid w:val="005F54CC"/>
    <w:rsid w:val="005F6266"/>
    <w:rsid w:val="005F6599"/>
    <w:rsid w:val="005F6709"/>
    <w:rsid w:val="005F75D9"/>
    <w:rsid w:val="005F763E"/>
    <w:rsid w:val="005F79AA"/>
    <w:rsid w:val="0060007A"/>
    <w:rsid w:val="0060095A"/>
    <w:rsid w:val="00600A02"/>
    <w:rsid w:val="006018F4"/>
    <w:rsid w:val="00601BA5"/>
    <w:rsid w:val="00602183"/>
    <w:rsid w:val="0060256F"/>
    <w:rsid w:val="006025BD"/>
    <w:rsid w:val="00603A87"/>
    <w:rsid w:val="00603D00"/>
    <w:rsid w:val="00603D36"/>
    <w:rsid w:val="0060434D"/>
    <w:rsid w:val="00604D11"/>
    <w:rsid w:val="006058AF"/>
    <w:rsid w:val="0060671A"/>
    <w:rsid w:val="0060777B"/>
    <w:rsid w:val="00607B5C"/>
    <w:rsid w:val="006100C6"/>
    <w:rsid w:val="0061049B"/>
    <w:rsid w:val="00610DA9"/>
    <w:rsid w:val="00611209"/>
    <w:rsid w:val="00612142"/>
    <w:rsid w:val="006123A2"/>
    <w:rsid w:val="006133E7"/>
    <w:rsid w:val="00613A06"/>
    <w:rsid w:val="006144FD"/>
    <w:rsid w:val="0061472B"/>
    <w:rsid w:val="006153A6"/>
    <w:rsid w:val="0061594E"/>
    <w:rsid w:val="00616184"/>
    <w:rsid w:val="00620ADA"/>
    <w:rsid w:val="00620E4C"/>
    <w:rsid w:val="00622022"/>
    <w:rsid w:val="0062330B"/>
    <w:rsid w:val="00625CFE"/>
    <w:rsid w:val="0062636D"/>
    <w:rsid w:val="0062744F"/>
    <w:rsid w:val="006275F1"/>
    <w:rsid w:val="00627A53"/>
    <w:rsid w:val="00627F95"/>
    <w:rsid w:val="006307CD"/>
    <w:rsid w:val="006309C8"/>
    <w:rsid w:val="00631B0D"/>
    <w:rsid w:val="00634437"/>
    <w:rsid w:val="0063451B"/>
    <w:rsid w:val="00634579"/>
    <w:rsid w:val="006346FC"/>
    <w:rsid w:val="00634F9F"/>
    <w:rsid w:val="00635A49"/>
    <w:rsid w:val="00635D3B"/>
    <w:rsid w:val="00636DA3"/>
    <w:rsid w:val="006372A2"/>
    <w:rsid w:val="00637ECB"/>
    <w:rsid w:val="006412A0"/>
    <w:rsid w:val="0064195C"/>
    <w:rsid w:val="00643179"/>
    <w:rsid w:val="006433E2"/>
    <w:rsid w:val="00645131"/>
    <w:rsid w:val="00645D94"/>
    <w:rsid w:val="00646E35"/>
    <w:rsid w:val="006473F0"/>
    <w:rsid w:val="00647798"/>
    <w:rsid w:val="0065020A"/>
    <w:rsid w:val="00650657"/>
    <w:rsid w:val="00651510"/>
    <w:rsid w:val="00651EBE"/>
    <w:rsid w:val="00652A76"/>
    <w:rsid w:val="00652F8D"/>
    <w:rsid w:val="0065363F"/>
    <w:rsid w:val="00653680"/>
    <w:rsid w:val="00653D89"/>
    <w:rsid w:val="00653DDB"/>
    <w:rsid w:val="00654250"/>
    <w:rsid w:val="00654464"/>
    <w:rsid w:val="006548E1"/>
    <w:rsid w:val="0065559A"/>
    <w:rsid w:val="00656D31"/>
    <w:rsid w:val="006575D5"/>
    <w:rsid w:val="006576F1"/>
    <w:rsid w:val="00657EE1"/>
    <w:rsid w:val="006610C3"/>
    <w:rsid w:val="006614C9"/>
    <w:rsid w:val="006622DF"/>
    <w:rsid w:val="00663CBC"/>
    <w:rsid w:val="00664BF3"/>
    <w:rsid w:val="00671009"/>
    <w:rsid w:val="00671FA8"/>
    <w:rsid w:val="00672131"/>
    <w:rsid w:val="0067233B"/>
    <w:rsid w:val="00672B71"/>
    <w:rsid w:val="00673F10"/>
    <w:rsid w:val="006761FA"/>
    <w:rsid w:val="006767A1"/>
    <w:rsid w:val="0067751F"/>
    <w:rsid w:val="00677C5E"/>
    <w:rsid w:val="00677DF8"/>
    <w:rsid w:val="00680472"/>
    <w:rsid w:val="006805BB"/>
    <w:rsid w:val="00681A11"/>
    <w:rsid w:val="00683E67"/>
    <w:rsid w:val="006841E1"/>
    <w:rsid w:val="00685004"/>
    <w:rsid w:val="0068701B"/>
    <w:rsid w:val="00691BB1"/>
    <w:rsid w:val="00691E96"/>
    <w:rsid w:val="0069291D"/>
    <w:rsid w:val="006937C6"/>
    <w:rsid w:val="00693BDD"/>
    <w:rsid w:val="0069487E"/>
    <w:rsid w:val="00695A9C"/>
    <w:rsid w:val="006961BF"/>
    <w:rsid w:val="00696AA2"/>
    <w:rsid w:val="006975F6"/>
    <w:rsid w:val="00697CA9"/>
    <w:rsid w:val="006A021D"/>
    <w:rsid w:val="006A0533"/>
    <w:rsid w:val="006A0602"/>
    <w:rsid w:val="006A08D3"/>
    <w:rsid w:val="006A0A20"/>
    <w:rsid w:val="006A0DEC"/>
    <w:rsid w:val="006A1139"/>
    <w:rsid w:val="006A24EF"/>
    <w:rsid w:val="006A2ACD"/>
    <w:rsid w:val="006A3019"/>
    <w:rsid w:val="006A3028"/>
    <w:rsid w:val="006A37A1"/>
    <w:rsid w:val="006A3EEB"/>
    <w:rsid w:val="006A4195"/>
    <w:rsid w:val="006A4251"/>
    <w:rsid w:val="006A44F4"/>
    <w:rsid w:val="006A4F7E"/>
    <w:rsid w:val="006A4FF7"/>
    <w:rsid w:val="006A5B18"/>
    <w:rsid w:val="006A68B2"/>
    <w:rsid w:val="006A7063"/>
    <w:rsid w:val="006A73AF"/>
    <w:rsid w:val="006B1390"/>
    <w:rsid w:val="006B15DD"/>
    <w:rsid w:val="006B1E1F"/>
    <w:rsid w:val="006B3965"/>
    <w:rsid w:val="006B5402"/>
    <w:rsid w:val="006B5F6D"/>
    <w:rsid w:val="006B6169"/>
    <w:rsid w:val="006B61D5"/>
    <w:rsid w:val="006B6C6F"/>
    <w:rsid w:val="006B6F8F"/>
    <w:rsid w:val="006B70F3"/>
    <w:rsid w:val="006C04DE"/>
    <w:rsid w:val="006C0FD8"/>
    <w:rsid w:val="006C2703"/>
    <w:rsid w:val="006C2A97"/>
    <w:rsid w:val="006C2F0F"/>
    <w:rsid w:val="006C347A"/>
    <w:rsid w:val="006C3E9B"/>
    <w:rsid w:val="006C445F"/>
    <w:rsid w:val="006C46DC"/>
    <w:rsid w:val="006C499A"/>
    <w:rsid w:val="006C4E8C"/>
    <w:rsid w:val="006C5043"/>
    <w:rsid w:val="006C50A7"/>
    <w:rsid w:val="006C5A00"/>
    <w:rsid w:val="006C6FF7"/>
    <w:rsid w:val="006C705A"/>
    <w:rsid w:val="006C71BA"/>
    <w:rsid w:val="006D01E0"/>
    <w:rsid w:val="006D0A5B"/>
    <w:rsid w:val="006D0A63"/>
    <w:rsid w:val="006D0E51"/>
    <w:rsid w:val="006D230E"/>
    <w:rsid w:val="006D2D6A"/>
    <w:rsid w:val="006D46B7"/>
    <w:rsid w:val="006D49D5"/>
    <w:rsid w:val="006D513E"/>
    <w:rsid w:val="006D5B34"/>
    <w:rsid w:val="006D684D"/>
    <w:rsid w:val="006D6EFF"/>
    <w:rsid w:val="006D73BA"/>
    <w:rsid w:val="006D7A69"/>
    <w:rsid w:val="006E00D7"/>
    <w:rsid w:val="006E01DE"/>
    <w:rsid w:val="006E0DA6"/>
    <w:rsid w:val="006E5386"/>
    <w:rsid w:val="006E68C4"/>
    <w:rsid w:val="006F01D2"/>
    <w:rsid w:val="006F05CB"/>
    <w:rsid w:val="006F148A"/>
    <w:rsid w:val="006F1521"/>
    <w:rsid w:val="006F1CDC"/>
    <w:rsid w:val="006F2451"/>
    <w:rsid w:val="006F2D6E"/>
    <w:rsid w:val="006F2EF2"/>
    <w:rsid w:val="006F363A"/>
    <w:rsid w:val="006F42A8"/>
    <w:rsid w:val="006F45D7"/>
    <w:rsid w:val="006F4E12"/>
    <w:rsid w:val="006F5323"/>
    <w:rsid w:val="006F5AAA"/>
    <w:rsid w:val="006F5AB1"/>
    <w:rsid w:val="006F663C"/>
    <w:rsid w:val="006F6D2F"/>
    <w:rsid w:val="006F7829"/>
    <w:rsid w:val="0070182C"/>
    <w:rsid w:val="00701EEB"/>
    <w:rsid w:val="00702AA2"/>
    <w:rsid w:val="00702B9E"/>
    <w:rsid w:val="00705F21"/>
    <w:rsid w:val="007070D7"/>
    <w:rsid w:val="00707D33"/>
    <w:rsid w:val="007104B9"/>
    <w:rsid w:val="007108C2"/>
    <w:rsid w:val="00710C2B"/>
    <w:rsid w:val="00710E76"/>
    <w:rsid w:val="00711951"/>
    <w:rsid w:val="007127E8"/>
    <w:rsid w:val="00712A25"/>
    <w:rsid w:val="00713052"/>
    <w:rsid w:val="007134C4"/>
    <w:rsid w:val="00713FFD"/>
    <w:rsid w:val="00714103"/>
    <w:rsid w:val="0071430B"/>
    <w:rsid w:val="00714514"/>
    <w:rsid w:val="00714C29"/>
    <w:rsid w:val="00715584"/>
    <w:rsid w:val="00715589"/>
    <w:rsid w:val="00717EF8"/>
    <w:rsid w:val="007219DF"/>
    <w:rsid w:val="00722F09"/>
    <w:rsid w:val="00724388"/>
    <w:rsid w:val="007245FB"/>
    <w:rsid w:val="00724D78"/>
    <w:rsid w:val="00725D29"/>
    <w:rsid w:val="00726A3B"/>
    <w:rsid w:val="00727656"/>
    <w:rsid w:val="0073069F"/>
    <w:rsid w:val="00730AEB"/>
    <w:rsid w:val="00731453"/>
    <w:rsid w:val="007322FF"/>
    <w:rsid w:val="007331CF"/>
    <w:rsid w:val="0073382E"/>
    <w:rsid w:val="007340FC"/>
    <w:rsid w:val="00734595"/>
    <w:rsid w:val="00734919"/>
    <w:rsid w:val="00734B65"/>
    <w:rsid w:val="0073659B"/>
    <w:rsid w:val="00736AA4"/>
    <w:rsid w:val="00736EFE"/>
    <w:rsid w:val="00740A10"/>
    <w:rsid w:val="00740A99"/>
    <w:rsid w:val="00741610"/>
    <w:rsid w:val="0074183F"/>
    <w:rsid w:val="0074186D"/>
    <w:rsid w:val="007419D4"/>
    <w:rsid w:val="00741AA8"/>
    <w:rsid w:val="007420B7"/>
    <w:rsid w:val="0074228C"/>
    <w:rsid w:val="00742B47"/>
    <w:rsid w:val="007430F2"/>
    <w:rsid w:val="0074336E"/>
    <w:rsid w:val="00743595"/>
    <w:rsid w:val="00744548"/>
    <w:rsid w:val="00744A3D"/>
    <w:rsid w:val="00744DCE"/>
    <w:rsid w:val="00745651"/>
    <w:rsid w:val="00745B50"/>
    <w:rsid w:val="00746A95"/>
    <w:rsid w:val="00747534"/>
    <w:rsid w:val="00747659"/>
    <w:rsid w:val="0074778A"/>
    <w:rsid w:val="00747D7D"/>
    <w:rsid w:val="0075025B"/>
    <w:rsid w:val="00750625"/>
    <w:rsid w:val="00752397"/>
    <w:rsid w:val="007523B3"/>
    <w:rsid w:val="00752646"/>
    <w:rsid w:val="0075264E"/>
    <w:rsid w:val="00753B95"/>
    <w:rsid w:val="00753CF7"/>
    <w:rsid w:val="00753D6A"/>
    <w:rsid w:val="007542B6"/>
    <w:rsid w:val="0075545C"/>
    <w:rsid w:val="0075554A"/>
    <w:rsid w:val="0075618F"/>
    <w:rsid w:val="00756484"/>
    <w:rsid w:val="00756529"/>
    <w:rsid w:val="0075699A"/>
    <w:rsid w:val="007574B5"/>
    <w:rsid w:val="00757527"/>
    <w:rsid w:val="007579BB"/>
    <w:rsid w:val="00757A5B"/>
    <w:rsid w:val="00760FD8"/>
    <w:rsid w:val="00761120"/>
    <w:rsid w:val="00762F88"/>
    <w:rsid w:val="00766706"/>
    <w:rsid w:val="007674B0"/>
    <w:rsid w:val="0076750B"/>
    <w:rsid w:val="00767B53"/>
    <w:rsid w:val="00767CC0"/>
    <w:rsid w:val="00767E99"/>
    <w:rsid w:val="00767F10"/>
    <w:rsid w:val="007700EB"/>
    <w:rsid w:val="00770F01"/>
    <w:rsid w:val="00771563"/>
    <w:rsid w:val="007715C7"/>
    <w:rsid w:val="00771CB8"/>
    <w:rsid w:val="00771DE2"/>
    <w:rsid w:val="007721AB"/>
    <w:rsid w:val="00772327"/>
    <w:rsid w:val="00772547"/>
    <w:rsid w:val="00772B55"/>
    <w:rsid w:val="007743FF"/>
    <w:rsid w:val="0077445C"/>
    <w:rsid w:val="00774506"/>
    <w:rsid w:val="007758E5"/>
    <w:rsid w:val="00777913"/>
    <w:rsid w:val="00780083"/>
    <w:rsid w:val="00781A26"/>
    <w:rsid w:val="00781E53"/>
    <w:rsid w:val="007823EA"/>
    <w:rsid w:val="007826D4"/>
    <w:rsid w:val="00783871"/>
    <w:rsid w:val="0078436B"/>
    <w:rsid w:val="00784D22"/>
    <w:rsid w:val="00784E17"/>
    <w:rsid w:val="00785A8B"/>
    <w:rsid w:val="007864F3"/>
    <w:rsid w:val="00786E13"/>
    <w:rsid w:val="0078741F"/>
    <w:rsid w:val="0078746A"/>
    <w:rsid w:val="00790B5F"/>
    <w:rsid w:val="00790EC6"/>
    <w:rsid w:val="00791507"/>
    <w:rsid w:val="00791D47"/>
    <w:rsid w:val="00792BAD"/>
    <w:rsid w:val="0079303D"/>
    <w:rsid w:val="00793DA5"/>
    <w:rsid w:val="00794687"/>
    <w:rsid w:val="00795E89"/>
    <w:rsid w:val="00797574"/>
    <w:rsid w:val="007A067A"/>
    <w:rsid w:val="007A0F57"/>
    <w:rsid w:val="007A4285"/>
    <w:rsid w:val="007A4667"/>
    <w:rsid w:val="007A4D45"/>
    <w:rsid w:val="007A75E9"/>
    <w:rsid w:val="007A7C36"/>
    <w:rsid w:val="007B087D"/>
    <w:rsid w:val="007B0F35"/>
    <w:rsid w:val="007B23D2"/>
    <w:rsid w:val="007B26C7"/>
    <w:rsid w:val="007B3060"/>
    <w:rsid w:val="007B3148"/>
    <w:rsid w:val="007B36D4"/>
    <w:rsid w:val="007B56C3"/>
    <w:rsid w:val="007B57CF"/>
    <w:rsid w:val="007B607F"/>
    <w:rsid w:val="007B61A0"/>
    <w:rsid w:val="007B670E"/>
    <w:rsid w:val="007B70FB"/>
    <w:rsid w:val="007C0793"/>
    <w:rsid w:val="007C1103"/>
    <w:rsid w:val="007C1CD3"/>
    <w:rsid w:val="007C2661"/>
    <w:rsid w:val="007C286D"/>
    <w:rsid w:val="007C28CF"/>
    <w:rsid w:val="007C2E81"/>
    <w:rsid w:val="007C301A"/>
    <w:rsid w:val="007C3799"/>
    <w:rsid w:val="007C444F"/>
    <w:rsid w:val="007C4EF3"/>
    <w:rsid w:val="007C59A8"/>
    <w:rsid w:val="007C5B42"/>
    <w:rsid w:val="007D09C7"/>
    <w:rsid w:val="007D1186"/>
    <w:rsid w:val="007D2821"/>
    <w:rsid w:val="007D29A9"/>
    <w:rsid w:val="007D3494"/>
    <w:rsid w:val="007D42B6"/>
    <w:rsid w:val="007D44B0"/>
    <w:rsid w:val="007D728A"/>
    <w:rsid w:val="007D7876"/>
    <w:rsid w:val="007E1A5C"/>
    <w:rsid w:val="007E1F5D"/>
    <w:rsid w:val="007E25D5"/>
    <w:rsid w:val="007E2B72"/>
    <w:rsid w:val="007E3C05"/>
    <w:rsid w:val="007E50EB"/>
    <w:rsid w:val="007E639C"/>
    <w:rsid w:val="007E7328"/>
    <w:rsid w:val="007E749F"/>
    <w:rsid w:val="007F011B"/>
    <w:rsid w:val="007F14B7"/>
    <w:rsid w:val="007F2A04"/>
    <w:rsid w:val="007F2FD6"/>
    <w:rsid w:val="007F4383"/>
    <w:rsid w:val="007F47E3"/>
    <w:rsid w:val="007F6BE1"/>
    <w:rsid w:val="007F6D8D"/>
    <w:rsid w:val="007F70ED"/>
    <w:rsid w:val="007F7676"/>
    <w:rsid w:val="00800445"/>
    <w:rsid w:val="008023D0"/>
    <w:rsid w:val="008025A4"/>
    <w:rsid w:val="0080280F"/>
    <w:rsid w:val="00802B47"/>
    <w:rsid w:val="008033AA"/>
    <w:rsid w:val="008041AC"/>
    <w:rsid w:val="00804404"/>
    <w:rsid w:val="008058A2"/>
    <w:rsid w:val="0080649B"/>
    <w:rsid w:val="00806EBB"/>
    <w:rsid w:val="00807D02"/>
    <w:rsid w:val="00815248"/>
    <w:rsid w:val="0081560C"/>
    <w:rsid w:val="00815EC0"/>
    <w:rsid w:val="00816F2A"/>
    <w:rsid w:val="00817742"/>
    <w:rsid w:val="00817DF9"/>
    <w:rsid w:val="00817E91"/>
    <w:rsid w:val="0082290C"/>
    <w:rsid w:val="00822DD9"/>
    <w:rsid w:val="00823315"/>
    <w:rsid w:val="008241BF"/>
    <w:rsid w:val="008250A0"/>
    <w:rsid w:val="00825DDA"/>
    <w:rsid w:val="008278C0"/>
    <w:rsid w:val="00830450"/>
    <w:rsid w:val="00830F3D"/>
    <w:rsid w:val="00831B35"/>
    <w:rsid w:val="008320C5"/>
    <w:rsid w:val="008326E4"/>
    <w:rsid w:val="00833480"/>
    <w:rsid w:val="008338A1"/>
    <w:rsid w:val="008354A9"/>
    <w:rsid w:val="008355A4"/>
    <w:rsid w:val="008366B6"/>
    <w:rsid w:val="00836AB3"/>
    <w:rsid w:val="008373DC"/>
    <w:rsid w:val="008406E1"/>
    <w:rsid w:val="008412B8"/>
    <w:rsid w:val="0084188A"/>
    <w:rsid w:val="0084237B"/>
    <w:rsid w:val="0084332C"/>
    <w:rsid w:val="008434A5"/>
    <w:rsid w:val="008435A1"/>
    <w:rsid w:val="00845114"/>
    <w:rsid w:val="00845F6D"/>
    <w:rsid w:val="00845FBC"/>
    <w:rsid w:val="00846EE0"/>
    <w:rsid w:val="00846F3C"/>
    <w:rsid w:val="008500A8"/>
    <w:rsid w:val="00851CFC"/>
    <w:rsid w:val="00853BAE"/>
    <w:rsid w:val="008544EB"/>
    <w:rsid w:val="00854763"/>
    <w:rsid w:val="0085613A"/>
    <w:rsid w:val="00856250"/>
    <w:rsid w:val="008562CA"/>
    <w:rsid w:val="00856981"/>
    <w:rsid w:val="00856B90"/>
    <w:rsid w:val="00857BEC"/>
    <w:rsid w:val="00862250"/>
    <w:rsid w:val="0086412C"/>
    <w:rsid w:val="00864676"/>
    <w:rsid w:val="00864856"/>
    <w:rsid w:val="0086489A"/>
    <w:rsid w:val="00865105"/>
    <w:rsid w:val="008655F4"/>
    <w:rsid w:val="00865B70"/>
    <w:rsid w:val="008661CC"/>
    <w:rsid w:val="00866C5A"/>
    <w:rsid w:val="00866E83"/>
    <w:rsid w:val="008672C2"/>
    <w:rsid w:val="00867768"/>
    <w:rsid w:val="0087014B"/>
    <w:rsid w:val="00871311"/>
    <w:rsid w:val="008727CF"/>
    <w:rsid w:val="00873B25"/>
    <w:rsid w:val="00873FDA"/>
    <w:rsid w:val="0087407C"/>
    <w:rsid w:val="0087536C"/>
    <w:rsid w:val="00880460"/>
    <w:rsid w:val="00881777"/>
    <w:rsid w:val="00881C28"/>
    <w:rsid w:val="00881FA9"/>
    <w:rsid w:val="00882D85"/>
    <w:rsid w:val="008833D3"/>
    <w:rsid w:val="00883D50"/>
    <w:rsid w:val="008840E3"/>
    <w:rsid w:val="00884C29"/>
    <w:rsid w:val="008855F9"/>
    <w:rsid w:val="00885D56"/>
    <w:rsid w:val="00886D3C"/>
    <w:rsid w:val="00886E63"/>
    <w:rsid w:val="00887968"/>
    <w:rsid w:val="00887B95"/>
    <w:rsid w:val="00887D77"/>
    <w:rsid w:val="00890275"/>
    <w:rsid w:val="008902C7"/>
    <w:rsid w:val="0089208F"/>
    <w:rsid w:val="00892EA6"/>
    <w:rsid w:val="00893216"/>
    <w:rsid w:val="0089390A"/>
    <w:rsid w:val="00894E6F"/>
    <w:rsid w:val="008964B4"/>
    <w:rsid w:val="00896806"/>
    <w:rsid w:val="00896FD7"/>
    <w:rsid w:val="008A0842"/>
    <w:rsid w:val="008A236F"/>
    <w:rsid w:val="008A244F"/>
    <w:rsid w:val="008A2BC9"/>
    <w:rsid w:val="008A2CEF"/>
    <w:rsid w:val="008A32B9"/>
    <w:rsid w:val="008A3565"/>
    <w:rsid w:val="008A3FAD"/>
    <w:rsid w:val="008A4117"/>
    <w:rsid w:val="008A55E3"/>
    <w:rsid w:val="008A56AF"/>
    <w:rsid w:val="008A659E"/>
    <w:rsid w:val="008A6D3D"/>
    <w:rsid w:val="008A7307"/>
    <w:rsid w:val="008A73CB"/>
    <w:rsid w:val="008A76AC"/>
    <w:rsid w:val="008A7D52"/>
    <w:rsid w:val="008B0346"/>
    <w:rsid w:val="008B098B"/>
    <w:rsid w:val="008B0AAB"/>
    <w:rsid w:val="008B0BED"/>
    <w:rsid w:val="008B1854"/>
    <w:rsid w:val="008B23C4"/>
    <w:rsid w:val="008B2C15"/>
    <w:rsid w:val="008B2CF5"/>
    <w:rsid w:val="008B376D"/>
    <w:rsid w:val="008B3B08"/>
    <w:rsid w:val="008B3E17"/>
    <w:rsid w:val="008B3E64"/>
    <w:rsid w:val="008B4B22"/>
    <w:rsid w:val="008B57E9"/>
    <w:rsid w:val="008B71DC"/>
    <w:rsid w:val="008B7AA1"/>
    <w:rsid w:val="008C08DC"/>
    <w:rsid w:val="008C17C1"/>
    <w:rsid w:val="008C26CC"/>
    <w:rsid w:val="008C2DAB"/>
    <w:rsid w:val="008C2E47"/>
    <w:rsid w:val="008C399F"/>
    <w:rsid w:val="008C39C2"/>
    <w:rsid w:val="008C3AD1"/>
    <w:rsid w:val="008C45DE"/>
    <w:rsid w:val="008C57AA"/>
    <w:rsid w:val="008C65C9"/>
    <w:rsid w:val="008C6930"/>
    <w:rsid w:val="008C773F"/>
    <w:rsid w:val="008C7F75"/>
    <w:rsid w:val="008D08B4"/>
    <w:rsid w:val="008D0C3E"/>
    <w:rsid w:val="008D14A2"/>
    <w:rsid w:val="008D16A4"/>
    <w:rsid w:val="008D1E9B"/>
    <w:rsid w:val="008D1F65"/>
    <w:rsid w:val="008D1F7A"/>
    <w:rsid w:val="008D2582"/>
    <w:rsid w:val="008D47D7"/>
    <w:rsid w:val="008D4918"/>
    <w:rsid w:val="008D4D49"/>
    <w:rsid w:val="008D4F5A"/>
    <w:rsid w:val="008D5107"/>
    <w:rsid w:val="008D51FC"/>
    <w:rsid w:val="008D52EA"/>
    <w:rsid w:val="008D53DE"/>
    <w:rsid w:val="008D618E"/>
    <w:rsid w:val="008D6FC9"/>
    <w:rsid w:val="008D772E"/>
    <w:rsid w:val="008E1E58"/>
    <w:rsid w:val="008E21DF"/>
    <w:rsid w:val="008E4578"/>
    <w:rsid w:val="008E5745"/>
    <w:rsid w:val="008E6A6D"/>
    <w:rsid w:val="008E7EAF"/>
    <w:rsid w:val="008F078A"/>
    <w:rsid w:val="008F0806"/>
    <w:rsid w:val="008F0DEC"/>
    <w:rsid w:val="008F0F2D"/>
    <w:rsid w:val="008F11C0"/>
    <w:rsid w:val="008F136B"/>
    <w:rsid w:val="008F2499"/>
    <w:rsid w:val="008F2554"/>
    <w:rsid w:val="008F2B51"/>
    <w:rsid w:val="008F2E69"/>
    <w:rsid w:val="008F3572"/>
    <w:rsid w:val="008F3CB4"/>
    <w:rsid w:val="008F5049"/>
    <w:rsid w:val="008F547F"/>
    <w:rsid w:val="008F5B35"/>
    <w:rsid w:val="008F5BCF"/>
    <w:rsid w:val="008F707B"/>
    <w:rsid w:val="008F7F6C"/>
    <w:rsid w:val="009001F6"/>
    <w:rsid w:val="009004B7"/>
    <w:rsid w:val="00900CC2"/>
    <w:rsid w:val="00901324"/>
    <w:rsid w:val="00902366"/>
    <w:rsid w:val="009043AA"/>
    <w:rsid w:val="009043CE"/>
    <w:rsid w:val="00904482"/>
    <w:rsid w:val="00906EC9"/>
    <w:rsid w:val="0091043E"/>
    <w:rsid w:val="00910497"/>
    <w:rsid w:val="0091147D"/>
    <w:rsid w:val="00911A58"/>
    <w:rsid w:val="00912AAB"/>
    <w:rsid w:val="00912D3F"/>
    <w:rsid w:val="0091538E"/>
    <w:rsid w:val="009157A2"/>
    <w:rsid w:val="009164B1"/>
    <w:rsid w:val="00916D7B"/>
    <w:rsid w:val="00917B42"/>
    <w:rsid w:val="00920456"/>
    <w:rsid w:val="00920EA8"/>
    <w:rsid w:val="00921908"/>
    <w:rsid w:val="00921F61"/>
    <w:rsid w:val="00922244"/>
    <w:rsid w:val="0092326C"/>
    <w:rsid w:val="00925E3E"/>
    <w:rsid w:val="00925F6B"/>
    <w:rsid w:val="00930436"/>
    <w:rsid w:val="0093205D"/>
    <w:rsid w:val="009321EC"/>
    <w:rsid w:val="00932BF4"/>
    <w:rsid w:val="00932DC2"/>
    <w:rsid w:val="00933002"/>
    <w:rsid w:val="00934239"/>
    <w:rsid w:val="0093430C"/>
    <w:rsid w:val="0093508B"/>
    <w:rsid w:val="00935165"/>
    <w:rsid w:val="0093570F"/>
    <w:rsid w:val="00935EDF"/>
    <w:rsid w:val="00935FF1"/>
    <w:rsid w:val="009372B5"/>
    <w:rsid w:val="009379C3"/>
    <w:rsid w:val="00937A4C"/>
    <w:rsid w:val="0094157D"/>
    <w:rsid w:val="009421C9"/>
    <w:rsid w:val="00942822"/>
    <w:rsid w:val="00943C23"/>
    <w:rsid w:val="00943D75"/>
    <w:rsid w:val="009446B7"/>
    <w:rsid w:val="009456D9"/>
    <w:rsid w:val="00945792"/>
    <w:rsid w:val="00945CA2"/>
    <w:rsid w:val="0094641C"/>
    <w:rsid w:val="009465C6"/>
    <w:rsid w:val="0094660A"/>
    <w:rsid w:val="00946F9F"/>
    <w:rsid w:val="00947D4D"/>
    <w:rsid w:val="009509D5"/>
    <w:rsid w:val="0095192E"/>
    <w:rsid w:val="00951A14"/>
    <w:rsid w:val="00952215"/>
    <w:rsid w:val="00953471"/>
    <w:rsid w:val="009541C2"/>
    <w:rsid w:val="009554B2"/>
    <w:rsid w:val="009554FA"/>
    <w:rsid w:val="0095581C"/>
    <w:rsid w:val="00955D02"/>
    <w:rsid w:val="00955DA3"/>
    <w:rsid w:val="00956BA7"/>
    <w:rsid w:val="00957092"/>
    <w:rsid w:val="00957249"/>
    <w:rsid w:val="00957891"/>
    <w:rsid w:val="00960BE0"/>
    <w:rsid w:val="009617BB"/>
    <w:rsid w:val="00962019"/>
    <w:rsid w:val="009631CB"/>
    <w:rsid w:val="00963728"/>
    <w:rsid w:val="00963D53"/>
    <w:rsid w:val="009642E9"/>
    <w:rsid w:val="00964DE5"/>
    <w:rsid w:val="0096568A"/>
    <w:rsid w:val="009658A1"/>
    <w:rsid w:val="00965F6E"/>
    <w:rsid w:val="00966116"/>
    <w:rsid w:val="009677A6"/>
    <w:rsid w:val="0097001E"/>
    <w:rsid w:val="009705AF"/>
    <w:rsid w:val="00971CAD"/>
    <w:rsid w:val="00971FDA"/>
    <w:rsid w:val="00974E81"/>
    <w:rsid w:val="009764AF"/>
    <w:rsid w:val="00977A06"/>
    <w:rsid w:val="00981054"/>
    <w:rsid w:val="009816CA"/>
    <w:rsid w:val="00982683"/>
    <w:rsid w:val="009826D8"/>
    <w:rsid w:val="009863C4"/>
    <w:rsid w:val="00987281"/>
    <w:rsid w:val="009878AD"/>
    <w:rsid w:val="00990636"/>
    <w:rsid w:val="00990E21"/>
    <w:rsid w:val="00991B61"/>
    <w:rsid w:val="0099436F"/>
    <w:rsid w:val="00995588"/>
    <w:rsid w:val="009955F8"/>
    <w:rsid w:val="00995B9E"/>
    <w:rsid w:val="009967A7"/>
    <w:rsid w:val="0099685E"/>
    <w:rsid w:val="00996D9F"/>
    <w:rsid w:val="009A035C"/>
    <w:rsid w:val="009A0FBA"/>
    <w:rsid w:val="009A12B8"/>
    <w:rsid w:val="009A39A8"/>
    <w:rsid w:val="009A4735"/>
    <w:rsid w:val="009A484D"/>
    <w:rsid w:val="009A4995"/>
    <w:rsid w:val="009A5AE2"/>
    <w:rsid w:val="009A65D9"/>
    <w:rsid w:val="009A72C7"/>
    <w:rsid w:val="009B029B"/>
    <w:rsid w:val="009B1857"/>
    <w:rsid w:val="009B41CD"/>
    <w:rsid w:val="009B4460"/>
    <w:rsid w:val="009B4E27"/>
    <w:rsid w:val="009B54C0"/>
    <w:rsid w:val="009B590F"/>
    <w:rsid w:val="009B7E0E"/>
    <w:rsid w:val="009C0178"/>
    <w:rsid w:val="009C1A4B"/>
    <w:rsid w:val="009C1BA1"/>
    <w:rsid w:val="009C2A08"/>
    <w:rsid w:val="009C2A36"/>
    <w:rsid w:val="009C3062"/>
    <w:rsid w:val="009C4CD0"/>
    <w:rsid w:val="009C59CB"/>
    <w:rsid w:val="009C5D68"/>
    <w:rsid w:val="009C5FCA"/>
    <w:rsid w:val="009C642C"/>
    <w:rsid w:val="009C74AC"/>
    <w:rsid w:val="009C7B6F"/>
    <w:rsid w:val="009D097D"/>
    <w:rsid w:val="009D0A94"/>
    <w:rsid w:val="009D365E"/>
    <w:rsid w:val="009D3A31"/>
    <w:rsid w:val="009D48E9"/>
    <w:rsid w:val="009D4F2C"/>
    <w:rsid w:val="009D516F"/>
    <w:rsid w:val="009D54C7"/>
    <w:rsid w:val="009D5948"/>
    <w:rsid w:val="009D6CA7"/>
    <w:rsid w:val="009D7251"/>
    <w:rsid w:val="009E1D41"/>
    <w:rsid w:val="009E215D"/>
    <w:rsid w:val="009E28A7"/>
    <w:rsid w:val="009E3939"/>
    <w:rsid w:val="009E4106"/>
    <w:rsid w:val="009E636A"/>
    <w:rsid w:val="009E68EC"/>
    <w:rsid w:val="009E79D5"/>
    <w:rsid w:val="009E7E96"/>
    <w:rsid w:val="009F017F"/>
    <w:rsid w:val="009F044C"/>
    <w:rsid w:val="009F0C3B"/>
    <w:rsid w:val="009F15AF"/>
    <w:rsid w:val="009F2AA3"/>
    <w:rsid w:val="009F3481"/>
    <w:rsid w:val="009F4337"/>
    <w:rsid w:val="009F4C22"/>
    <w:rsid w:val="009F4D24"/>
    <w:rsid w:val="009F56EB"/>
    <w:rsid w:val="009F5985"/>
    <w:rsid w:val="009F5F0A"/>
    <w:rsid w:val="009F75B5"/>
    <w:rsid w:val="009F7EC9"/>
    <w:rsid w:val="00A015F6"/>
    <w:rsid w:val="00A0306D"/>
    <w:rsid w:val="00A03EAB"/>
    <w:rsid w:val="00A0412B"/>
    <w:rsid w:val="00A044ED"/>
    <w:rsid w:val="00A0510F"/>
    <w:rsid w:val="00A05FE4"/>
    <w:rsid w:val="00A0742F"/>
    <w:rsid w:val="00A108B0"/>
    <w:rsid w:val="00A108E7"/>
    <w:rsid w:val="00A11B97"/>
    <w:rsid w:val="00A129DA"/>
    <w:rsid w:val="00A12A82"/>
    <w:rsid w:val="00A13FB9"/>
    <w:rsid w:val="00A14961"/>
    <w:rsid w:val="00A14E7E"/>
    <w:rsid w:val="00A15C27"/>
    <w:rsid w:val="00A16307"/>
    <w:rsid w:val="00A16BF8"/>
    <w:rsid w:val="00A16CC5"/>
    <w:rsid w:val="00A20191"/>
    <w:rsid w:val="00A22574"/>
    <w:rsid w:val="00A23C0F"/>
    <w:rsid w:val="00A24038"/>
    <w:rsid w:val="00A24269"/>
    <w:rsid w:val="00A258F7"/>
    <w:rsid w:val="00A26198"/>
    <w:rsid w:val="00A26510"/>
    <w:rsid w:val="00A26B66"/>
    <w:rsid w:val="00A26E24"/>
    <w:rsid w:val="00A27747"/>
    <w:rsid w:val="00A27C59"/>
    <w:rsid w:val="00A3007A"/>
    <w:rsid w:val="00A3018D"/>
    <w:rsid w:val="00A318A6"/>
    <w:rsid w:val="00A31DFB"/>
    <w:rsid w:val="00A323AD"/>
    <w:rsid w:val="00A33F85"/>
    <w:rsid w:val="00A35401"/>
    <w:rsid w:val="00A35D3A"/>
    <w:rsid w:val="00A36051"/>
    <w:rsid w:val="00A36F5A"/>
    <w:rsid w:val="00A37CEA"/>
    <w:rsid w:val="00A37F4F"/>
    <w:rsid w:val="00A401CE"/>
    <w:rsid w:val="00A4092F"/>
    <w:rsid w:val="00A40E6B"/>
    <w:rsid w:val="00A42619"/>
    <w:rsid w:val="00A43070"/>
    <w:rsid w:val="00A43957"/>
    <w:rsid w:val="00A43D46"/>
    <w:rsid w:val="00A45433"/>
    <w:rsid w:val="00A457C8"/>
    <w:rsid w:val="00A4612C"/>
    <w:rsid w:val="00A47CDA"/>
    <w:rsid w:val="00A538B4"/>
    <w:rsid w:val="00A53C75"/>
    <w:rsid w:val="00A54575"/>
    <w:rsid w:val="00A54908"/>
    <w:rsid w:val="00A54CC1"/>
    <w:rsid w:val="00A552AC"/>
    <w:rsid w:val="00A55732"/>
    <w:rsid w:val="00A55936"/>
    <w:rsid w:val="00A55A02"/>
    <w:rsid w:val="00A56FDA"/>
    <w:rsid w:val="00A576F5"/>
    <w:rsid w:val="00A57880"/>
    <w:rsid w:val="00A57E94"/>
    <w:rsid w:val="00A610E6"/>
    <w:rsid w:val="00A61957"/>
    <w:rsid w:val="00A6217F"/>
    <w:rsid w:val="00A630F1"/>
    <w:rsid w:val="00A63202"/>
    <w:rsid w:val="00A63302"/>
    <w:rsid w:val="00A63711"/>
    <w:rsid w:val="00A63B3D"/>
    <w:rsid w:val="00A65AFA"/>
    <w:rsid w:val="00A65D42"/>
    <w:rsid w:val="00A6671D"/>
    <w:rsid w:val="00A67CD3"/>
    <w:rsid w:val="00A71137"/>
    <w:rsid w:val="00A712DC"/>
    <w:rsid w:val="00A71402"/>
    <w:rsid w:val="00A71743"/>
    <w:rsid w:val="00A7179D"/>
    <w:rsid w:val="00A71A36"/>
    <w:rsid w:val="00A720E9"/>
    <w:rsid w:val="00A725DE"/>
    <w:rsid w:val="00A72E92"/>
    <w:rsid w:val="00A72FEF"/>
    <w:rsid w:val="00A7343F"/>
    <w:rsid w:val="00A73B00"/>
    <w:rsid w:val="00A74C44"/>
    <w:rsid w:val="00A74CDF"/>
    <w:rsid w:val="00A74FC6"/>
    <w:rsid w:val="00A75405"/>
    <w:rsid w:val="00A76653"/>
    <w:rsid w:val="00A77A17"/>
    <w:rsid w:val="00A77ECB"/>
    <w:rsid w:val="00A80B59"/>
    <w:rsid w:val="00A81157"/>
    <w:rsid w:val="00A813E1"/>
    <w:rsid w:val="00A82031"/>
    <w:rsid w:val="00A824F8"/>
    <w:rsid w:val="00A82E33"/>
    <w:rsid w:val="00A833F6"/>
    <w:rsid w:val="00A83AA6"/>
    <w:rsid w:val="00A85614"/>
    <w:rsid w:val="00A85881"/>
    <w:rsid w:val="00A86C3F"/>
    <w:rsid w:val="00A86ECB"/>
    <w:rsid w:val="00A9070A"/>
    <w:rsid w:val="00A919F7"/>
    <w:rsid w:val="00A920EF"/>
    <w:rsid w:val="00A92514"/>
    <w:rsid w:val="00A9318B"/>
    <w:rsid w:val="00A93811"/>
    <w:rsid w:val="00A95C3F"/>
    <w:rsid w:val="00A961F1"/>
    <w:rsid w:val="00A968ED"/>
    <w:rsid w:val="00A96E7B"/>
    <w:rsid w:val="00A96EB2"/>
    <w:rsid w:val="00A97FA5"/>
    <w:rsid w:val="00AA07E4"/>
    <w:rsid w:val="00AA0ABF"/>
    <w:rsid w:val="00AA40FE"/>
    <w:rsid w:val="00AA4210"/>
    <w:rsid w:val="00AA4A2D"/>
    <w:rsid w:val="00AA4CD3"/>
    <w:rsid w:val="00AA5A82"/>
    <w:rsid w:val="00AA5AA0"/>
    <w:rsid w:val="00AA5F60"/>
    <w:rsid w:val="00AA60B0"/>
    <w:rsid w:val="00AA6618"/>
    <w:rsid w:val="00AA6F65"/>
    <w:rsid w:val="00AA7739"/>
    <w:rsid w:val="00AA7F49"/>
    <w:rsid w:val="00AB03F6"/>
    <w:rsid w:val="00AB07E1"/>
    <w:rsid w:val="00AB0805"/>
    <w:rsid w:val="00AB1899"/>
    <w:rsid w:val="00AB235D"/>
    <w:rsid w:val="00AB33CE"/>
    <w:rsid w:val="00AB38D8"/>
    <w:rsid w:val="00AB38EC"/>
    <w:rsid w:val="00AB3B89"/>
    <w:rsid w:val="00AB4531"/>
    <w:rsid w:val="00AB491C"/>
    <w:rsid w:val="00AB578A"/>
    <w:rsid w:val="00AB5950"/>
    <w:rsid w:val="00AB62A4"/>
    <w:rsid w:val="00AB6B02"/>
    <w:rsid w:val="00AB7B7E"/>
    <w:rsid w:val="00AC1B6C"/>
    <w:rsid w:val="00AC214C"/>
    <w:rsid w:val="00AC283F"/>
    <w:rsid w:val="00AC2E6F"/>
    <w:rsid w:val="00AC332E"/>
    <w:rsid w:val="00AC356F"/>
    <w:rsid w:val="00AC5259"/>
    <w:rsid w:val="00AC5DB5"/>
    <w:rsid w:val="00AC784E"/>
    <w:rsid w:val="00AD02BF"/>
    <w:rsid w:val="00AD0463"/>
    <w:rsid w:val="00AD06B1"/>
    <w:rsid w:val="00AD0C43"/>
    <w:rsid w:val="00AD1355"/>
    <w:rsid w:val="00AD2154"/>
    <w:rsid w:val="00AD2179"/>
    <w:rsid w:val="00AD286E"/>
    <w:rsid w:val="00AD3218"/>
    <w:rsid w:val="00AD5F61"/>
    <w:rsid w:val="00AD6C5E"/>
    <w:rsid w:val="00AD6C86"/>
    <w:rsid w:val="00AE058F"/>
    <w:rsid w:val="00AE0D5C"/>
    <w:rsid w:val="00AE0EA1"/>
    <w:rsid w:val="00AE12C3"/>
    <w:rsid w:val="00AE1DCE"/>
    <w:rsid w:val="00AE28F1"/>
    <w:rsid w:val="00AE2B15"/>
    <w:rsid w:val="00AE38DD"/>
    <w:rsid w:val="00AE3AA8"/>
    <w:rsid w:val="00AE4B2E"/>
    <w:rsid w:val="00AE634F"/>
    <w:rsid w:val="00AE6A04"/>
    <w:rsid w:val="00AE718A"/>
    <w:rsid w:val="00AE78E3"/>
    <w:rsid w:val="00AE7CCC"/>
    <w:rsid w:val="00AE7E1D"/>
    <w:rsid w:val="00AF00AA"/>
    <w:rsid w:val="00AF0A53"/>
    <w:rsid w:val="00AF0F6A"/>
    <w:rsid w:val="00AF150E"/>
    <w:rsid w:val="00AF1648"/>
    <w:rsid w:val="00AF2304"/>
    <w:rsid w:val="00AF30F4"/>
    <w:rsid w:val="00AF3772"/>
    <w:rsid w:val="00AF4364"/>
    <w:rsid w:val="00AF4DF1"/>
    <w:rsid w:val="00AF5D85"/>
    <w:rsid w:val="00AF5F0B"/>
    <w:rsid w:val="00AF6136"/>
    <w:rsid w:val="00AF63FA"/>
    <w:rsid w:val="00AF6938"/>
    <w:rsid w:val="00AF6D28"/>
    <w:rsid w:val="00AF7DF2"/>
    <w:rsid w:val="00B0057C"/>
    <w:rsid w:val="00B00679"/>
    <w:rsid w:val="00B01802"/>
    <w:rsid w:val="00B01B33"/>
    <w:rsid w:val="00B01E94"/>
    <w:rsid w:val="00B01FB9"/>
    <w:rsid w:val="00B02129"/>
    <w:rsid w:val="00B02261"/>
    <w:rsid w:val="00B02680"/>
    <w:rsid w:val="00B034D0"/>
    <w:rsid w:val="00B047A3"/>
    <w:rsid w:val="00B04B04"/>
    <w:rsid w:val="00B05A09"/>
    <w:rsid w:val="00B05BCA"/>
    <w:rsid w:val="00B0630E"/>
    <w:rsid w:val="00B069B2"/>
    <w:rsid w:val="00B07FD4"/>
    <w:rsid w:val="00B105E1"/>
    <w:rsid w:val="00B1078C"/>
    <w:rsid w:val="00B11B8E"/>
    <w:rsid w:val="00B12085"/>
    <w:rsid w:val="00B12225"/>
    <w:rsid w:val="00B127B7"/>
    <w:rsid w:val="00B13941"/>
    <w:rsid w:val="00B13D56"/>
    <w:rsid w:val="00B13EBC"/>
    <w:rsid w:val="00B14AE0"/>
    <w:rsid w:val="00B151B5"/>
    <w:rsid w:val="00B154FA"/>
    <w:rsid w:val="00B174EF"/>
    <w:rsid w:val="00B20820"/>
    <w:rsid w:val="00B21359"/>
    <w:rsid w:val="00B21BD2"/>
    <w:rsid w:val="00B224CA"/>
    <w:rsid w:val="00B2455E"/>
    <w:rsid w:val="00B2526E"/>
    <w:rsid w:val="00B261C4"/>
    <w:rsid w:val="00B26ED8"/>
    <w:rsid w:val="00B26F59"/>
    <w:rsid w:val="00B30225"/>
    <w:rsid w:val="00B312A8"/>
    <w:rsid w:val="00B319A5"/>
    <w:rsid w:val="00B33369"/>
    <w:rsid w:val="00B36097"/>
    <w:rsid w:val="00B37A79"/>
    <w:rsid w:val="00B404B1"/>
    <w:rsid w:val="00B40576"/>
    <w:rsid w:val="00B41518"/>
    <w:rsid w:val="00B4285F"/>
    <w:rsid w:val="00B43BF0"/>
    <w:rsid w:val="00B43C48"/>
    <w:rsid w:val="00B43CDC"/>
    <w:rsid w:val="00B45224"/>
    <w:rsid w:val="00B460FF"/>
    <w:rsid w:val="00B46DC7"/>
    <w:rsid w:val="00B5119E"/>
    <w:rsid w:val="00B532CD"/>
    <w:rsid w:val="00B54772"/>
    <w:rsid w:val="00B54B15"/>
    <w:rsid w:val="00B572E6"/>
    <w:rsid w:val="00B65C72"/>
    <w:rsid w:val="00B65CDE"/>
    <w:rsid w:val="00B671A3"/>
    <w:rsid w:val="00B679CB"/>
    <w:rsid w:val="00B70287"/>
    <w:rsid w:val="00B720A0"/>
    <w:rsid w:val="00B72501"/>
    <w:rsid w:val="00B73161"/>
    <w:rsid w:val="00B73320"/>
    <w:rsid w:val="00B735FD"/>
    <w:rsid w:val="00B7388C"/>
    <w:rsid w:val="00B74047"/>
    <w:rsid w:val="00B74714"/>
    <w:rsid w:val="00B76658"/>
    <w:rsid w:val="00B76875"/>
    <w:rsid w:val="00B76DBD"/>
    <w:rsid w:val="00B773DB"/>
    <w:rsid w:val="00B7778D"/>
    <w:rsid w:val="00B8163C"/>
    <w:rsid w:val="00B8178E"/>
    <w:rsid w:val="00B82855"/>
    <w:rsid w:val="00B82C66"/>
    <w:rsid w:val="00B83EB4"/>
    <w:rsid w:val="00B84916"/>
    <w:rsid w:val="00B84E98"/>
    <w:rsid w:val="00B852E6"/>
    <w:rsid w:val="00B85B3C"/>
    <w:rsid w:val="00B86A7E"/>
    <w:rsid w:val="00B871DB"/>
    <w:rsid w:val="00B87A04"/>
    <w:rsid w:val="00B87AD6"/>
    <w:rsid w:val="00B87E93"/>
    <w:rsid w:val="00B90826"/>
    <w:rsid w:val="00B90AAB"/>
    <w:rsid w:val="00B90AE8"/>
    <w:rsid w:val="00B910A0"/>
    <w:rsid w:val="00B91788"/>
    <w:rsid w:val="00B92176"/>
    <w:rsid w:val="00B92B28"/>
    <w:rsid w:val="00B92F35"/>
    <w:rsid w:val="00B92F65"/>
    <w:rsid w:val="00B93D5B"/>
    <w:rsid w:val="00B94C84"/>
    <w:rsid w:val="00B94D3D"/>
    <w:rsid w:val="00B9583A"/>
    <w:rsid w:val="00B958E2"/>
    <w:rsid w:val="00B959CF"/>
    <w:rsid w:val="00B9611A"/>
    <w:rsid w:val="00B968B1"/>
    <w:rsid w:val="00B9732B"/>
    <w:rsid w:val="00B97BA8"/>
    <w:rsid w:val="00BA0010"/>
    <w:rsid w:val="00BA1298"/>
    <w:rsid w:val="00BA2DD1"/>
    <w:rsid w:val="00BA360E"/>
    <w:rsid w:val="00BA3A31"/>
    <w:rsid w:val="00BA3DBA"/>
    <w:rsid w:val="00BA48CB"/>
    <w:rsid w:val="00BA48D3"/>
    <w:rsid w:val="00BA4F9C"/>
    <w:rsid w:val="00BA51D5"/>
    <w:rsid w:val="00BA5DFF"/>
    <w:rsid w:val="00BA69A6"/>
    <w:rsid w:val="00BA6AE9"/>
    <w:rsid w:val="00BA7CAE"/>
    <w:rsid w:val="00BB0CD3"/>
    <w:rsid w:val="00BB1E28"/>
    <w:rsid w:val="00BB2581"/>
    <w:rsid w:val="00BB289A"/>
    <w:rsid w:val="00BB39C8"/>
    <w:rsid w:val="00BB3BF3"/>
    <w:rsid w:val="00BB4B50"/>
    <w:rsid w:val="00BB57F4"/>
    <w:rsid w:val="00BC0CFB"/>
    <w:rsid w:val="00BC11CB"/>
    <w:rsid w:val="00BC14E8"/>
    <w:rsid w:val="00BC17D7"/>
    <w:rsid w:val="00BC1A58"/>
    <w:rsid w:val="00BC2957"/>
    <w:rsid w:val="00BC3F7C"/>
    <w:rsid w:val="00BC498B"/>
    <w:rsid w:val="00BC5AA2"/>
    <w:rsid w:val="00BC6A0E"/>
    <w:rsid w:val="00BC6D66"/>
    <w:rsid w:val="00BC728C"/>
    <w:rsid w:val="00BC784B"/>
    <w:rsid w:val="00BD0B5B"/>
    <w:rsid w:val="00BD212D"/>
    <w:rsid w:val="00BD2DA3"/>
    <w:rsid w:val="00BD46B5"/>
    <w:rsid w:val="00BD4A23"/>
    <w:rsid w:val="00BD6038"/>
    <w:rsid w:val="00BD7A78"/>
    <w:rsid w:val="00BE0F5C"/>
    <w:rsid w:val="00BE1E2E"/>
    <w:rsid w:val="00BE26F7"/>
    <w:rsid w:val="00BE3034"/>
    <w:rsid w:val="00BE65EF"/>
    <w:rsid w:val="00BE6BE6"/>
    <w:rsid w:val="00BE6DA6"/>
    <w:rsid w:val="00BE6FD9"/>
    <w:rsid w:val="00BE71EA"/>
    <w:rsid w:val="00BE768D"/>
    <w:rsid w:val="00BE7DBF"/>
    <w:rsid w:val="00BF081A"/>
    <w:rsid w:val="00BF123D"/>
    <w:rsid w:val="00BF1EF2"/>
    <w:rsid w:val="00BF24F9"/>
    <w:rsid w:val="00BF4672"/>
    <w:rsid w:val="00BF56EB"/>
    <w:rsid w:val="00BF6E0A"/>
    <w:rsid w:val="00C00239"/>
    <w:rsid w:val="00C00F0F"/>
    <w:rsid w:val="00C00F9A"/>
    <w:rsid w:val="00C01CC0"/>
    <w:rsid w:val="00C02474"/>
    <w:rsid w:val="00C03670"/>
    <w:rsid w:val="00C0549F"/>
    <w:rsid w:val="00C061FA"/>
    <w:rsid w:val="00C07E50"/>
    <w:rsid w:val="00C11776"/>
    <w:rsid w:val="00C12565"/>
    <w:rsid w:val="00C12713"/>
    <w:rsid w:val="00C12FDB"/>
    <w:rsid w:val="00C14DF5"/>
    <w:rsid w:val="00C15107"/>
    <w:rsid w:val="00C15C72"/>
    <w:rsid w:val="00C15CBD"/>
    <w:rsid w:val="00C16D08"/>
    <w:rsid w:val="00C172BA"/>
    <w:rsid w:val="00C178AB"/>
    <w:rsid w:val="00C20332"/>
    <w:rsid w:val="00C20B93"/>
    <w:rsid w:val="00C216D3"/>
    <w:rsid w:val="00C22EBE"/>
    <w:rsid w:val="00C2397B"/>
    <w:rsid w:val="00C23C9A"/>
    <w:rsid w:val="00C255C3"/>
    <w:rsid w:val="00C2781A"/>
    <w:rsid w:val="00C27FAA"/>
    <w:rsid w:val="00C30783"/>
    <w:rsid w:val="00C3094E"/>
    <w:rsid w:val="00C32AF1"/>
    <w:rsid w:val="00C3355E"/>
    <w:rsid w:val="00C335CF"/>
    <w:rsid w:val="00C33830"/>
    <w:rsid w:val="00C35A14"/>
    <w:rsid w:val="00C35AB8"/>
    <w:rsid w:val="00C35D71"/>
    <w:rsid w:val="00C35D7C"/>
    <w:rsid w:val="00C369E0"/>
    <w:rsid w:val="00C37E46"/>
    <w:rsid w:val="00C40C28"/>
    <w:rsid w:val="00C40FEB"/>
    <w:rsid w:val="00C4119D"/>
    <w:rsid w:val="00C41A17"/>
    <w:rsid w:val="00C41D6A"/>
    <w:rsid w:val="00C42CA7"/>
    <w:rsid w:val="00C43CBD"/>
    <w:rsid w:val="00C46211"/>
    <w:rsid w:val="00C4677B"/>
    <w:rsid w:val="00C46A41"/>
    <w:rsid w:val="00C47B18"/>
    <w:rsid w:val="00C50FD3"/>
    <w:rsid w:val="00C5130D"/>
    <w:rsid w:val="00C51656"/>
    <w:rsid w:val="00C51768"/>
    <w:rsid w:val="00C52FBE"/>
    <w:rsid w:val="00C549B1"/>
    <w:rsid w:val="00C54C65"/>
    <w:rsid w:val="00C550A6"/>
    <w:rsid w:val="00C55786"/>
    <w:rsid w:val="00C55ADA"/>
    <w:rsid w:val="00C55C17"/>
    <w:rsid w:val="00C56F1C"/>
    <w:rsid w:val="00C577DA"/>
    <w:rsid w:val="00C57CDF"/>
    <w:rsid w:val="00C60B45"/>
    <w:rsid w:val="00C611CE"/>
    <w:rsid w:val="00C62179"/>
    <w:rsid w:val="00C6223F"/>
    <w:rsid w:val="00C628A1"/>
    <w:rsid w:val="00C62CD3"/>
    <w:rsid w:val="00C6487D"/>
    <w:rsid w:val="00C64B30"/>
    <w:rsid w:val="00C6531A"/>
    <w:rsid w:val="00C65770"/>
    <w:rsid w:val="00C659DA"/>
    <w:rsid w:val="00C65ED6"/>
    <w:rsid w:val="00C67BA4"/>
    <w:rsid w:val="00C70626"/>
    <w:rsid w:val="00C70FF5"/>
    <w:rsid w:val="00C7134D"/>
    <w:rsid w:val="00C71614"/>
    <w:rsid w:val="00C71625"/>
    <w:rsid w:val="00C71752"/>
    <w:rsid w:val="00C71BA4"/>
    <w:rsid w:val="00C73E0C"/>
    <w:rsid w:val="00C777A4"/>
    <w:rsid w:val="00C77806"/>
    <w:rsid w:val="00C77C6F"/>
    <w:rsid w:val="00C80777"/>
    <w:rsid w:val="00C80EB7"/>
    <w:rsid w:val="00C82198"/>
    <w:rsid w:val="00C841CC"/>
    <w:rsid w:val="00C86721"/>
    <w:rsid w:val="00C86CB0"/>
    <w:rsid w:val="00C90111"/>
    <w:rsid w:val="00C907C7"/>
    <w:rsid w:val="00C90E8E"/>
    <w:rsid w:val="00C9141A"/>
    <w:rsid w:val="00C918F1"/>
    <w:rsid w:val="00C91A49"/>
    <w:rsid w:val="00C91E47"/>
    <w:rsid w:val="00C91F6D"/>
    <w:rsid w:val="00C92726"/>
    <w:rsid w:val="00C9394B"/>
    <w:rsid w:val="00C9441F"/>
    <w:rsid w:val="00C94DD8"/>
    <w:rsid w:val="00C95490"/>
    <w:rsid w:val="00C96172"/>
    <w:rsid w:val="00C9686A"/>
    <w:rsid w:val="00C970B1"/>
    <w:rsid w:val="00CA2A0A"/>
    <w:rsid w:val="00CA35BD"/>
    <w:rsid w:val="00CA37D2"/>
    <w:rsid w:val="00CA5030"/>
    <w:rsid w:val="00CA5313"/>
    <w:rsid w:val="00CA5B63"/>
    <w:rsid w:val="00CA6F94"/>
    <w:rsid w:val="00CA7878"/>
    <w:rsid w:val="00CB010B"/>
    <w:rsid w:val="00CB0FFD"/>
    <w:rsid w:val="00CB1818"/>
    <w:rsid w:val="00CB22D9"/>
    <w:rsid w:val="00CB2938"/>
    <w:rsid w:val="00CB377A"/>
    <w:rsid w:val="00CB3AEC"/>
    <w:rsid w:val="00CB441B"/>
    <w:rsid w:val="00CB4CAA"/>
    <w:rsid w:val="00CB4D71"/>
    <w:rsid w:val="00CB5F28"/>
    <w:rsid w:val="00CB6094"/>
    <w:rsid w:val="00CB6CCA"/>
    <w:rsid w:val="00CB70CF"/>
    <w:rsid w:val="00CC0956"/>
    <w:rsid w:val="00CC24B6"/>
    <w:rsid w:val="00CC4F6F"/>
    <w:rsid w:val="00CD0A97"/>
    <w:rsid w:val="00CD17FE"/>
    <w:rsid w:val="00CD180C"/>
    <w:rsid w:val="00CD1ED1"/>
    <w:rsid w:val="00CD295F"/>
    <w:rsid w:val="00CD29D4"/>
    <w:rsid w:val="00CD2B89"/>
    <w:rsid w:val="00CD3AB9"/>
    <w:rsid w:val="00CD4078"/>
    <w:rsid w:val="00CD4AC5"/>
    <w:rsid w:val="00CD4F5E"/>
    <w:rsid w:val="00CD50B3"/>
    <w:rsid w:val="00CD5836"/>
    <w:rsid w:val="00CD5D6B"/>
    <w:rsid w:val="00CE04FD"/>
    <w:rsid w:val="00CE124A"/>
    <w:rsid w:val="00CE20FD"/>
    <w:rsid w:val="00CE2907"/>
    <w:rsid w:val="00CE42BD"/>
    <w:rsid w:val="00CE4733"/>
    <w:rsid w:val="00CE5077"/>
    <w:rsid w:val="00CE5BD2"/>
    <w:rsid w:val="00CE6CF1"/>
    <w:rsid w:val="00CE7A23"/>
    <w:rsid w:val="00CF02C3"/>
    <w:rsid w:val="00CF20ED"/>
    <w:rsid w:val="00CF243E"/>
    <w:rsid w:val="00CF2D0E"/>
    <w:rsid w:val="00CF2D56"/>
    <w:rsid w:val="00CF2EA1"/>
    <w:rsid w:val="00CF376A"/>
    <w:rsid w:val="00CF43CB"/>
    <w:rsid w:val="00CF44B5"/>
    <w:rsid w:val="00CF44BE"/>
    <w:rsid w:val="00CF6F6B"/>
    <w:rsid w:val="00CF717B"/>
    <w:rsid w:val="00CF783D"/>
    <w:rsid w:val="00D008CB"/>
    <w:rsid w:val="00D01234"/>
    <w:rsid w:val="00D01C25"/>
    <w:rsid w:val="00D02352"/>
    <w:rsid w:val="00D047A1"/>
    <w:rsid w:val="00D04814"/>
    <w:rsid w:val="00D05175"/>
    <w:rsid w:val="00D053F4"/>
    <w:rsid w:val="00D071E0"/>
    <w:rsid w:val="00D07C53"/>
    <w:rsid w:val="00D07E33"/>
    <w:rsid w:val="00D106B3"/>
    <w:rsid w:val="00D107CA"/>
    <w:rsid w:val="00D1084D"/>
    <w:rsid w:val="00D10E76"/>
    <w:rsid w:val="00D1189E"/>
    <w:rsid w:val="00D11C5A"/>
    <w:rsid w:val="00D11EF2"/>
    <w:rsid w:val="00D12B71"/>
    <w:rsid w:val="00D12C33"/>
    <w:rsid w:val="00D130A3"/>
    <w:rsid w:val="00D145C5"/>
    <w:rsid w:val="00D14BAA"/>
    <w:rsid w:val="00D15DC0"/>
    <w:rsid w:val="00D15DF3"/>
    <w:rsid w:val="00D16498"/>
    <w:rsid w:val="00D165F0"/>
    <w:rsid w:val="00D1668C"/>
    <w:rsid w:val="00D1721B"/>
    <w:rsid w:val="00D175E0"/>
    <w:rsid w:val="00D17F69"/>
    <w:rsid w:val="00D2018E"/>
    <w:rsid w:val="00D2041D"/>
    <w:rsid w:val="00D22056"/>
    <w:rsid w:val="00D22FF8"/>
    <w:rsid w:val="00D23453"/>
    <w:rsid w:val="00D2359C"/>
    <w:rsid w:val="00D23C00"/>
    <w:rsid w:val="00D248C2"/>
    <w:rsid w:val="00D24D89"/>
    <w:rsid w:val="00D25FC8"/>
    <w:rsid w:val="00D2623B"/>
    <w:rsid w:val="00D262A6"/>
    <w:rsid w:val="00D26BB6"/>
    <w:rsid w:val="00D27119"/>
    <w:rsid w:val="00D274B1"/>
    <w:rsid w:val="00D27B18"/>
    <w:rsid w:val="00D317CA"/>
    <w:rsid w:val="00D3218C"/>
    <w:rsid w:val="00D32E95"/>
    <w:rsid w:val="00D33657"/>
    <w:rsid w:val="00D33B7D"/>
    <w:rsid w:val="00D33C95"/>
    <w:rsid w:val="00D34228"/>
    <w:rsid w:val="00D345E3"/>
    <w:rsid w:val="00D37415"/>
    <w:rsid w:val="00D37F0B"/>
    <w:rsid w:val="00D40296"/>
    <w:rsid w:val="00D41B3A"/>
    <w:rsid w:val="00D41C24"/>
    <w:rsid w:val="00D442ED"/>
    <w:rsid w:val="00D44D3E"/>
    <w:rsid w:val="00D44E34"/>
    <w:rsid w:val="00D45564"/>
    <w:rsid w:val="00D462C0"/>
    <w:rsid w:val="00D46321"/>
    <w:rsid w:val="00D46F07"/>
    <w:rsid w:val="00D46FF1"/>
    <w:rsid w:val="00D47867"/>
    <w:rsid w:val="00D4798A"/>
    <w:rsid w:val="00D47A82"/>
    <w:rsid w:val="00D501E9"/>
    <w:rsid w:val="00D50C3A"/>
    <w:rsid w:val="00D50D8E"/>
    <w:rsid w:val="00D51529"/>
    <w:rsid w:val="00D53774"/>
    <w:rsid w:val="00D53F41"/>
    <w:rsid w:val="00D5420E"/>
    <w:rsid w:val="00D549BC"/>
    <w:rsid w:val="00D5548D"/>
    <w:rsid w:val="00D5592B"/>
    <w:rsid w:val="00D560A4"/>
    <w:rsid w:val="00D562E7"/>
    <w:rsid w:val="00D57920"/>
    <w:rsid w:val="00D57D1A"/>
    <w:rsid w:val="00D60A29"/>
    <w:rsid w:val="00D60CB5"/>
    <w:rsid w:val="00D61338"/>
    <w:rsid w:val="00D6134F"/>
    <w:rsid w:val="00D61913"/>
    <w:rsid w:val="00D62439"/>
    <w:rsid w:val="00D630AE"/>
    <w:rsid w:val="00D63267"/>
    <w:rsid w:val="00D647A5"/>
    <w:rsid w:val="00D648CF"/>
    <w:rsid w:val="00D64A75"/>
    <w:rsid w:val="00D66166"/>
    <w:rsid w:val="00D664B2"/>
    <w:rsid w:val="00D66992"/>
    <w:rsid w:val="00D66D21"/>
    <w:rsid w:val="00D670DB"/>
    <w:rsid w:val="00D672BF"/>
    <w:rsid w:val="00D67307"/>
    <w:rsid w:val="00D6737E"/>
    <w:rsid w:val="00D67650"/>
    <w:rsid w:val="00D6780A"/>
    <w:rsid w:val="00D70291"/>
    <w:rsid w:val="00D707F4"/>
    <w:rsid w:val="00D70AC9"/>
    <w:rsid w:val="00D717D3"/>
    <w:rsid w:val="00D76E9E"/>
    <w:rsid w:val="00D8003A"/>
    <w:rsid w:val="00D80139"/>
    <w:rsid w:val="00D81FFD"/>
    <w:rsid w:val="00D82AAF"/>
    <w:rsid w:val="00D82DF4"/>
    <w:rsid w:val="00D83019"/>
    <w:rsid w:val="00D8318F"/>
    <w:rsid w:val="00D83573"/>
    <w:rsid w:val="00D84358"/>
    <w:rsid w:val="00D8795B"/>
    <w:rsid w:val="00D90E88"/>
    <w:rsid w:val="00D91D51"/>
    <w:rsid w:val="00D91F87"/>
    <w:rsid w:val="00D9281D"/>
    <w:rsid w:val="00D92D1E"/>
    <w:rsid w:val="00D93B70"/>
    <w:rsid w:val="00D93C93"/>
    <w:rsid w:val="00D95258"/>
    <w:rsid w:val="00D962ED"/>
    <w:rsid w:val="00D97322"/>
    <w:rsid w:val="00DA050A"/>
    <w:rsid w:val="00DA0E70"/>
    <w:rsid w:val="00DA1345"/>
    <w:rsid w:val="00DA2506"/>
    <w:rsid w:val="00DA284C"/>
    <w:rsid w:val="00DA4C9A"/>
    <w:rsid w:val="00DA5DE6"/>
    <w:rsid w:val="00DA5EDE"/>
    <w:rsid w:val="00DA62FD"/>
    <w:rsid w:val="00DA7E5A"/>
    <w:rsid w:val="00DB0868"/>
    <w:rsid w:val="00DB1156"/>
    <w:rsid w:val="00DB1187"/>
    <w:rsid w:val="00DB1325"/>
    <w:rsid w:val="00DB2756"/>
    <w:rsid w:val="00DB4242"/>
    <w:rsid w:val="00DB4F2B"/>
    <w:rsid w:val="00DB587A"/>
    <w:rsid w:val="00DB667E"/>
    <w:rsid w:val="00DB69C8"/>
    <w:rsid w:val="00DB6BEE"/>
    <w:rsid w:val="00DB6D2B"/>
    <w:rsid w:val="00DB709B"/>
    <w:rsid w:val="00DB74B1"/>
    <w:rsid w:val="00DB7950"/>
    <w:rsid w:val="00DC04AE"/>
    <w:rsid w:val="00DC0B27"/>
    <w:rsid w:val="00DC4B73"/>
    <w:rsid w:val="00DC5788"/>
    <w:rsid w:val="00DC5C96"/>
    <w:rsid w:val="00DC620C"/>
    <w:rsid w:val="00DC621C"/>
    <w:rsid w:val="00DC6263"/>
    <w:rsid w:val="00DC6687"/>
    <w:rsid w:val="00DC6697"/>
    <w:rsid w:val="00DC689B"/>
    <w:rsid w:val="00DC6F4F"/>
    <w:rsid w:val="00DC7269"/>
    <w:rsid w:val="00DC7AA0"/>
    <w:rsid w:val="00DD07FD"/>
    <w:rsid w:val="00DD18CD"/>
    <w:rsid w:val="00DD2076"/>
    <w:rsid w:val="00DD28D5"/>
    <w:rsid w:val="00DD4B93"/>
    <w:rsid w:val="00DD5839"/>
    <w:rsid w:val="00DD5A22"/>
    <w:rsid w:val="00DD6126"/>
    <w:rsid w:val="00DD7DBA"/>
    <w:rsid w:val="00DE0046"/>
    <w:rsid w:val="00DE021C"/>
    <w:rsid w:val="00DE034B"/>
    <w:rsid w:val="00DE0596"/>
    <w:rsid w:val="00DE0D21"/>
    <w:rsid w:val="00DE2196"/>
    <w:rsid w:val="00DE26C3"/>
    <w:rsid w:val="00DE3AAD"/>
    <w:rsid w:val="00DE49EB"/>
    <w:rsid w:val="00DE52F0"/>
    <w:rsid w:val="00DE5A79"/>
    <w:rsid w:val="00DE5AD4"/>
    <w:rsid w:val="00DF03B2"/>
    <w:rsid w:val="00DF0870"/>
    <w:rsid w:val="00DF1E55"/>
    <w:rsid w:val="00DF2BA5"/>
    <w:rsid w:val="00DF39F7"/>
    <w:rsid w:val="00DF44FE"/>
    <w:rsid w:val="00DF4800"/>
    <w:rsid w:val="00DF4E7C"/>
    <w:rsid w:val="00DF6112"/>
    <w:rsid w:val="00DF7764"/>
    <w:rsid w:val="00E01711"/>
    <w:rsid w:val="00E01B54"/>
    <w:rsid w:val="00E026BC"/>
    <w:rsid w:val="00E02E67"/>
    <w:rsid w:val="00E0412C"/>
    <w:rsid w:val="00E05FF0"/>
    <w:rsid w:val="00E07BC9"/>
    <w:rsid w:val="00E100E7"/>
    <w:rsid w:val="00E101DD"/>
    <w:rsid w:val="00E10A67"/>
    <w:rsid w:val="00E10FC3"/>
    <w:rsid w:val="00E123E6"/>
    <w:rsid w:val="00E123EE"/>
    <w:rsid w:val="00E1312D"/>
    <w:rsid w:val="00E14534"/>
    <w:rsid w:val="00E14F06"/>
    <w:rsid w:val="00E162B2"/>
    <w:rsid w:val="00E165DE"/>
    <w:rsid w:val="00E167B5"/>
    <w:rsid w:val="00E16DBA"/>
    <w:rsid w:val="00E16F05"/>
    <w:rsid w:val="00E20A96"/>
    <w:rsid w:val="00E214D3"/>
    <w:rsid w:val="00E21EB9"/>
    <w:rsid w:val="00E22A9F"/>
    <w:rsid w:val="00E23C7B"/>
    <w:rsid w:val="00E23F1B"/>
    <w:rsid w:val="00E24165"/>
    <w:rsid w:val="00E24453"/>
    <w:rsid w:val="00E25807"/>
    <w:rsid w:val="00E26432"/>
    <w:rsid w:val="00E27D09"/>
    <w:rsid w:val="00E31A4C"/>
    <w:rsid w:val="00E31E3D"/>
    <w:rsid w:val="00E32857"/>
    <w:rsid w:val="00E32B1E"/>
    <w:rsid w:val="00E3334F"/>
    <w:rsid w:val="00E335EE"/>
    <w:rsid w:val="00E340A8"/>
    <w:rsid w:val="00E350D2"/>
    <w:rsid w:val="00E35688"/>
    <w:rsid w:val="00E367CC"/>
    <w:rsid w:val="00E36DB1"/>
    <w:rsid w:val="00E412B5"/>
    <w:rsid w:val="00E449A5"/>
    <w:rsid w:val="00E44E5E"/>
    <w:rsid w:val="00E4537B"/>
    <w:rsid w:val="00E4556C"/>
    <w:rsid w:val="00E464A8"/>
    <w:rsid w:val="00E4683C"/>
    <w:rsid w:val="00E503E9"/>
    <w:rsid w:val="00E509B5"/>
    <w:rsid w:val="00E51A11"/>
    <w:rsid w:val="00E528D3"/>
    <w:rsid w:val="00E54DE4"/>
    <w:rsid w:val="00E54F79"/>
    <w:rsid w:val="00E55138"/>
    <w:rsid w:val="00E567DF"/>
    <w:rsid w:val="00E56C71"/>
    <w:rsid w:val="00E57559"/>
    <w:rsid w:val="00E60226"/>
    <w:rsid w:val="00E604D0"/>
    <w:rsid w:val="00E616B5"/>
    <w:rsid w:val="00E61B0E"/>
    <w:rsid w:val="00E61EDD"/>
    <w:rsid w:val="00E6263A"/>
    <w:rsid w:val="00E633F8"/>
    <w:rsid w:val="00E635AC"/>
    <w:rsid w:val="00E646E6"/>
    <w:rsid w:val="00E6495C"/>
    <w:rsid w:val="00E64A07"/>
    <w:rsid w:val="00E64CA2"/>
    <w:rsid w:val="00E656B1"/>
    <w:rsid w:val="00E65838"/>
    <w:rsid w:val="00E65FC4"/>
    <w:rsid w:val="00E661C2"/>
    <w:rsid w:val="00E6692C"/>
    <w:rsid w:val="00E67383"/>
    <w:rsid w:val="00E673B9"/>
    <w:rsid w:val="00E73068"/>
    <w:rsid w:val="00E735E0"/>
    <w:rsid w:val="00E73CE2"/>
    <w:rsid w:val="00E73DBD"/>
    <w:rsid w:val="00E7412C"/>
    <w:rsid w:val="00E75BDA"/>
    <w:rsid w:val="00E76FEB"/>
    <w:rsid w:val="00E77142"/>
    <w:rsid w:val="00E77800"/>
    <w:rsid w:val="00E807AC"/>
    <w:rsid w:val="00E81554"/>
    <w:rsid w:val="00E82F55"/>
    <w:rsid w:val="00E83698"/>
    <w:rsid w:val="00E83D69"/>
    <w:rsid w:val="00E8411A"/>
    <w:rsid w:val="00E8634C"/>
    <w:rsid w:val="00E86AAE"/>
    <w:rsid w:val="00E87B6C"/>
    <w:rsid w:val="00E87D4E"/>
    <w:rsid w:val="00E90C49"/>
    <w:rsid w:val="00E91106"/>
    <w:rsid w:val="00E91A96"/>
    <w:rsid w:val="00E91C1F"/>
    <w:rsid w:val="00E923AB"/>
    <w:rsid w:val="00E9242F"/>
    <w:rsid w:val="00E93F5F"/>
    <w:rsid w:val="00E95674"/>
    <w:rsid w:val="00E958BA"/>
    <w:rsid w:val="00E95AEA"/>
    <w:rsid w:val="00E96F2A"/>
    <w:rsid w:val="00E97380"/>
    <w:rsid w:val="00EA1EBE"/>
    <w:rsid w:val="00EA21B6"/>
    <w:rsid w:val="00EA2360"/>
    <w:rsid w:val="00EA2758"/>
    <w:rsid w:val="00EA2F29"/>
    <w:rsid w:val="00EA2FF5"/>
    <w:rsid w:val="00EA377E"/>
    <w:rsid w:val="00EA3AD4"/>
    <w:rsid w:val="00EA5EE3"/>
    <w:rsid w:val="00EA699C"/>
    <w:rsid w:val="00EA6C67"/>
    <w:rsid w:val="00EA703D"/>
    <w:rsid w:val="00EB2772"/>
    <w:rsid w:val="00EB2F21"/>
    <w:rsid w:val="00EB2F23"/>
    <w:rsid w:val="00EB37AB"/>
    <w:rsid w:val="00EB5615"/>
    <w:rsid w:val="00EB5DD1"/>
    <w:rsid w:val="00EB6B6E"/>
    <w:rsid w:val="00EB7D85"/>
    <w:rsid w:val="00EC081B"/>
    <w:rsid w:val="00EC1094"/>
    <w:rsid w:val="00EC127C"/>
    <w:rsid w:val="00EC210D"/>
    <w:rsid w:val="00EC221A"/>
    <w:rsid w:val="00EC2569"/>
    <w:rsid w:val="00EC2DC9"/>
    <w:rsid w:val="00EC2E5F"/>
    <w:rsid w:val="00EC4D70"/>
    <w:rsid w:val="00EC5564"/>
    <w:rsid w:val="00EC6589"/>
    <w:rsid w:val="00EC7306"/>
    <w:rsid w:val="00ED0317"/>
    <w:rsid w:val="00ED03D4"/>
    <w:rsid w:val="00ED0636"/>
    <w:rsid w:val="00ED073D"/>
    <w:rsid w:val="00ED14B9"/>
    <w:rsid w:val="00ED2B70"/>
    <w:rsid w:val="00ED3EA2"/>
    <w:rsid w:val="00ED4107"/>
    <w:rsid w:val="00ED4C5F"/>
    <w:rsid w:val="00ED4D9A"/>
    <w:rsid w:val="00ED5FA4"/>
    <w:rsid w:val="00ED628C"/>
    <w:rsid w:val="00ED6304"/>
    <w:rsid w:val="00ED7928"/>
    <w:rsid w:val="00EE1D10"/>
    <w:rsid w:val="00EE25BC"/>
    <w:rsid w:val="00EE2ACE"/>
    <w:rsid w:val="00EE34EF"/>
    <w:rsid w:val="00EE4571"/>
    <w:rsid w:val="00EE6640"/>
    <w:rsid w:val="00EE6802"/>
    <w:rsid w:val="00EE72C7"/>
    <w:rsid w:val="00EE76AF"/>
    <w:rsid w:val="00EF0657"/>
    <w:rsid w:val="00EF0D93"/>
    <w:rsid w:val="00EF0E98"/>
    <w:rsid w:val="00EF30C2"/>
    <w:rsid w:val="00EF3659"/>
    <w:rsid w:val="00EF5D7B"/>
    <w:rsid w:val="00EF5DF9"/>
    <w:rsid w:val="00EF657E"/>
    <w:rsid w:val="00EF742A"/>
    <w:rsid w:val="00F00B46"/>
    <w:rsid w:val="00F00EFB"/>
    <w:rsid w:val="00F00F24"/>
    <w:rsid w:val="00F02752"/>
    <w:rsid w:val="00F02863"/>
    <w:rsid w:val="00F031CF"/>
    <w:rsid w:val="00F0378F"/>
    <w:rsid w:val="00F039BF"/>
    <w:rsid w:val="00F03FBB"/>
    <w:rsid w:val="00F044F3"/>
    <w:rsid w:val="00F04A01"/>
    <w:rsid w:val="00F058C9"/>
    <w:rsid w:val="00F05EF1"/>
    <w:rsid w:val="00F060C3"/>
    <w:rsid w:val="00F065B7"/>
    <w:rsid w:val="00F06A92"/>
    <w:rsid w:val="00F073BF"/>
    <w:rsid w:val="00F07956"/>
    <w:rsid w:val="00F11066"/>
    <w:rsid w:val="00F118B8"/>
    <w:rsid w:val="00F119C7"/>
    <w:rsid w:val="00F12CDD"/>
    <w:rsid w:val="00F13316"/>
    <w:rsid w:val="00F13F63"/>
    <w:rsid w:val="00F14BE0"/>
    <w:rsid w:val="00F1514E"/>
    <w:rsid w:val="00F1545D"/>
    <w:rsid w:val="00F16528"/>
    <w:rsid w:val="00F165B2"/>
    <w:rsid w:val="00F16ACC"/>
    <w:rsid w:val="00F16F8C"/>
    <w:rsid w:val="00F17014"/>
    <w:rsid w:val="00F171D0"/>
    <w:rsid w:val="00F2038A"/>
    <w:rsid w:val="00F205DE"/>
    <w:rsid w:val="00F20A98"/>
    <w:rsid w:val="00F20AC4"/>
    <w:rsid w:val="00F20BA5"/>
    <w:rsid w:val="00F22439"/>
    <w:rsid w:val="00F229C9"/>
    <w:rsid w:val="00F22FCD"/>
    <w:rsid w:val="00F23570"/>
    <w:rsid w:val="00F2627C"/>
    <w:rsid w:val="00F2793C"/>
    <w:rsid w:val="00F30184"/>
    <w:rsid w:val="00F307AF"/>
    <w:rsid w:val="00F31E5A"/>
    <w:rsid w:val="00F325B7"/>
    <w:rsid w:val="00F32D89"/>
    <w:rsid w:val="00F35C5D"/>
    <w:rsid w:val="00F36D48"/>
    <w:rsid w:val="00F36F8C"/>
    <w:rsid w:val="00F375EF"/>
    <w:rsid w:val="00F3785E"/>
    <w:rsid w:val="00F37BB6"/>
    <w:rsid w:val="00F40533"/>
    <w:rsid w:val="00F40AE8"/>
    <w:rsid w:val="00F414B9"/>
    <w:rsid w:val="00F4183C"/>
    <w:rsid w:val="00F42026"/>
    <w:rsid w:val="00F43348"/>
    <w:rsid w:val="00F43878"/>
    <w:rsid w:val="00F43C33"/>
    <w:rsid w:val="00F43C47"/>
    <w:rsid w:val="00F4439F"/>
    <w:rsid w:val="00F45B70"/>
    <w:rsid w:val="00F46490"/>
    <w:rsid w:val="00F47A79"/>
    <w:rsid w:val="00F50ED7"/>
    <w:rsid w:val="00F524C4"/>
    <w:rsid w:val="00F52C04"/>
    <w:rsid w:val="00F535BB"/>
    <w:rsid w:val="00F54E31"/>
    <w:rsid w:val="00F55665"/>
    <w:rsid w:val="00F56B12"/>
    <w:rsid w:val="00F570BB"/>
    <w:rsid w:val="00F608BC"/>
    <w:rsid w:val="00F61B0A"/>
    <w:rsid w:val="00F61CA4"/>
    <w:rsid w:val="00F61F35"/>
    <w:rsid w:val="00F620B5"/>
    <w:rsid w:val="00F62265"/>
    <w:rsid w:val="00F62AAA"/>
    <w:rsid w:val="00F63025"/>
    <w:rsid w:val="00F634A6"/>
    <w:rsid w:val="00F634C1"/>
    <w:rsid w:val="00F64873"/>
    <w:rsid w:val="00F64CC6"/>
    <w:rsid w:val="00F6598D"/>
    <w:rsid w:val="00F66435"/>
    <w:rsid w:val="00F66C9E"/>
    <w:rsid w:val="00F7095B"/>
    <w:rsid w:val="00F71952"/>
    <w:rsid w:val="00F71D69"/>
    <w:rsid w:val="00F72E57"/>
    <w:rsid w:val="00F73B95"/>
    <w:rsid w:val="00F73F27"/>
    <w:rsid w:val="00F7410F"/>
    <w:rsid w:val="00F74A61"/>
    <w:rsid w:val="00F75DFB"/>
    <w:rsid w:val="00F76F87"/>
    <w:rsid w:val="00F772C4"/>
    <w:rsid w:val="00F77CCC"/>
    <w:rsid w:val="00F809DF"/>
    <w:rsid w:val="00F81157"/>
    <w:rsid w:val="00F81241"/>
    <w:rsid w:val="00F81319"/>
    <w:rsid w:val="00F8176F"/>
    <w:rsid w:val="00F81D1F"/>
    <w:rsid w:val="00F82625"/>
    <w:rsid w:val="00F82A1F"/>
    <w:rsid w:val="00F82E1C"/>
    <w:rsid w:val="00F82FAA"/>
    <w:rsid w:val="00F84106"/>
    <w:rsid w:val="00F8470E"/>
    <w:rsid w:val="00F85C6C"/>
    <w:rsid w:val="00F8688A"/>
    <w:rsid w:val="00F86B10"/>
    <w:rsid w:val="00F90856"/>
    <w:rsid w:val="00F90D6A"/>
    <w:rsid w:val="00F916CA"/>
    <w:rsid w:val="00F933DC"/>
    <w:rsid w:val="00F93875"/>
    <w:rsid w:val="00F94830"/>
    <w:rsid w:val="00F948B4"/>
    <w:rsid w:val="00F94B7A"/>
    <w:rsid w:val="00F965E3"/>
    <w:rsid w:val="00F96B29"/>
    <w:rsid w:val="00F97503"/>
    <w:rsid w:val="00F976C7"/>
    <w:rsid w:val="00FA0261"/>
    <w:rsid w:val="00FA09F4"/>
    <w:rsid w:val="00FA1986"/>
    <w:rsid w:val="00FA23A9"/>
    <w:rsid w:val="00FA2481"/>
    <w:rsid w:val="00FA4ABB"/>
    <w:rsid w:val="00FA5261"/>
    <w:rsid w:val="00FA5693"/>
    <w:rsid w:val="00FA5B72"/>
    <w:rsid w:val="00FA6444"/>
    <w:rsid w:val="00FA6A14"/>
    <w:rsid w:val="00FB1602"/>
    <w:rsid w:val="00FB25E8"/>
    <w:rsid w:val="00FB2CE6"/>
    <w:rsid w:val="00FB3D3F"/>
    <w:rsid w:val="00FB4707"/>
    <w:rsid w:val="00FB4AE8"/>
    <w:rsid w:val="00FB5334"/>
    <w:rsid w:val="00FB5C71"/>
    <w:rsid w:val="00FB5DB0"/>
    <w:rsid w:val="00FB6055"/>
    <w:rsid w:val="00FB6AA7"/>
    <w:rsid w:val="00FB71D9"/>
    <w:rsid w:val="00FB74D2"/>
    <w:rsid w:val="00FB7CCC"/>
    <w:rsid w:val="00FC1300"/>
    <w:rsid w:val="00FC2496"/>
    <w:rsid w:val="00FC24BA"/>
    <w:rsid w:val="00FC2AA5"/>
    <w:rsid w:val="00FC3620"/>
    <w:rsid w:val="00FC38FC"/>
    <w:rsid w:val="00FC566F"/>
    <w:rsid w:val="00FC64E1"/>
    <w:rsid w:val="00FC6B92"/>
    <w:rsid w:val="00FC6FB7"/>
    <w:rsid w:val="00FC7B47"/>
    <w:rsid w:val="00FC7BF3"/>
    <w:rsid w:val="00FD095D"/>
    <w:rsid w:val="00FD1336"/>
    <w:rsid w:val="00FD13AB"/>
    <w:rsid w:val="00FD14D8"/>
    <w:rsid w:val="00FD1CCE"/>
    <w:rsid w:val="00FD2C6B"/>
    <w:rsid w:val="00FD3BA0"/>
    <w:rsid w:val="00FD4D6B"/>
    <w:rsid w:val="00FD4EBD"/>
    <w:rsid w:val="00FD5454"/>
    <w:rsid w:val="00FD5D13"/>
    <w:rsid w:val="00FD5DFE"/>
    <w:rsid w:val="00FD5F22"/>
    <w:rsid w:val="00FD5FCF"/>
    <w:rsid w:val="00FD767E"/>
    <w:rsid w:val="00FD78CE"/>
    <w:rsid w:val="00FE2FB5"/>
    <w:rsid w:val="00FE3649"/>
    <w:rsid w:val="00FE3A58"/>
    <w:rsid w:val="00FE3E4F"/>
    <w:rsid w:val="00FE3F0F"/>
    <w:rsid w:val="00FE5AEF"/>
    <w:rsid w:val="00FF09E3"/>
    <w:rsid w:val="00FF33EE"/>
    <w:rsid w:val="00FF3EC4"/>
    <w:rsid w:val="00FF41CC"/>
    <w:rsid w:val="00FF5686"/>
    <w:rsid w:val="00FF5805"/>
    <w:rsid w:val="00FF7292"/>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0671A"/>
    <w:pPr>
      <w:spacing w:line="360" w:lineRule="auto"/>
      <w:ind w:firstLine="709"/>
      <w:jc w:val="both"/>
    </w:pPr>
    <w:rPr>
      <w:lang w:eastAsia="en-US"/>
    </w:rPr>
  </w:style>
  <w:style w:type="paragraph" w:styleId="Heading1">
    <w:name w:val="heading 1"/>
    <w:basedOn w:val="Normal"/>
    <w:next w:val="Normal"/>
    <w:link w:val="Heading1Char"/>
    <w:uiPriority w:val="99"/>
    <w:qFormat/>
    <w:rsid w:val="00AF1648"/>
    <w:pPr>
      <w:keepNext/>
      <w:keepLines/>
      <w:spacing w:before="240"/>
      <w:outlineLvl w:val="0"/>
    </w:pPr>
    <w:rPr>
      <w:rFonts w:ascii="Calibri Light" w:eastAsia="MS Gothic" w:hAnsi="Calibri Light"/>
      <w:color w:val="2E74B5"/>
      <w:sz w:val="32"/>
      <w:szCs w:val="32"/>
    </w:rPr>
  </w:style>
  <w:style w:type="paragraph" w:styleId="Heading2">
    <w:name w:val="heading 2"/>
    <w:basedOn w:val="Normal"/>
    <w:next w:val="Normal"/>
    <w:link w:val="Heading2Char"/>
    <w:uiPriority w:val="99"/>
    <w:qFormat/>
    <w:rsid w:val="00281683"/>
    <w:pPr>
      <w:keepNext/>
      <w:keepLines/>
      <w:spacing w:before="40"/>
      <w:outlineLvl w:val="1"/>
    </w:pPr>
    <w:rPr>
      <w:rFonts w:ascii="Calibri Light" w:eastAsia="MS Gothic" w:hAnsi="Calibri Light"/>
      <w:color w:val="2E74B5"/>
      <w:sz w:val="26"/>
      <w:szCs w:val="26"/>
    </w:rPr>
  </w:style>
  <w:style w:type="paragraph" w:styleId="Heading4">
    <w:name w:val="heading 4"/>
    <w:basedOn w:val="Normal"/>
    <w:next w:val="Normal"/>
    <w:link w:val="Heading4Char"/>
    <w:uiPriority w:val="99"/>
    <w:qFormat/>
    <w:rsid w:val="002D431D"/>
    <w:pPr>
      <w:keepNext/>
      <w:keepLines/>
      <w:spacing w:before="40"/>
      <w:outlineLvl w:val="3"/>
    </w:pPr>
    <w:rPr>
      <w:rFonts w:ascii="Calibri Light" w:eastAsia="MS Gothic" w:hAnsi="Calibri Light"/>
      <w:i/>
      <w:iCs/>
      <w:color w:val="2E74B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648"/>
    <w:rPr>
      <w:rFonts w:ascii="Calibri Light" w:eastAsia="MS Gothic"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281683"/>
    <w:rPr>
      <w:rFonts w:ascii="Calibri Light" w:eastAsia="MS Gothic" w:hAnsi="Calibri Light" w:cs="Times New Roman"/>
      <w:color w:val="2E74B5"/>
      <w:sz w:val="26"/>
      <w:szCs w:val="26"/>
    </w:rPr>
  </w:style>
  <w:style w:type="character" w:customStyle="1" w:styleId="Heading4Char">
    <w:name w:val="Heading 4 Char"/>
    <w:basedOn w:val="DefaultParagraphFont"/>
    <w:link w:val="Heading4"/>
    <w:uiPriority w:val="99"/>
    <w:semiHidden/>
    <w:locked/>
    <w:rsid w:val="002D431D"/>
    <w:rPr>
      <w:rFonts w:ascii="Calibri Light" w:eastAsia="MS Gothic" w:hAnsi="Calibri Light" w:cs="Times New Roman"/>
      <w:i/>
      <w:iCs/>
      <w:color w:val="2E74B5"/>
    </w:rPr>
  </w:style>
  <w:style w:type="paragraph" w:styleId="ListParagraph">
    <w:name w:val="List Paragraph"/>
    <w:basedOn w:val="Normal"/>
    <w:uiPriority w:val="99"/>
    <w:qFormat/>
    <w:rsid w:val="00EF742A"/>
    <w:pPr>
      <w:ind w:left="720"/>
      <w:contextualSpacing/>
    </w:pPr>
  </w:style>
  <w:style w:type="paragraph" w:styleId="NormalWeb">
    <w:name w:val="Normal (Web)"/>
    <w:basedOn w:val="Normal"/>
    <w:uiPriority w:val="99"/>
    <w:semiHidden/>
    <w:rsid w:val="00CD4F5E"/>
    <w:pPr>
      <w:spacing w:before="100" w:beforeAutospacing="1" w:after="100" w:afterAutospacing="1" w:line="240" w:lineRule="auto"/>
    </w:pPr>
    <w:rPr>
      <w:rFonts w:ascii="Times New Roman" w:eastAsia="Times New Roman" w:hAnsi="Times New Roman"/>
      <w:sz w:val="24"/>
      <w:szCs w:val="24"/>
      <w:lang w:eastAsia="pt-BR"/>
    </w:rPr>
  </w:style>
  <w:style w:type="paragraph" w:styleId="FootnoteText">
    <w:name w:val="footnote text"/>
    <w:basedOn w:val="Normal"/>
    <w:link w:val="FootnoteTextChar"/>
    <w:uiPriority w:val="99"/>
    <w:rsid w:val="00CD4F5E"/>
    <w:pPr>
      <w:spacing w:line="240" w:lineRule="auto"/>
    </w:pPr>
    <w:rPr>
      <w:sz w:val="20"/>
      <w:szCs w:val="20"/>
    </w:rPr>
  </w:style>
  <w:style w:type="character" w:customStyle="1" w:styleId="FootnoteTextChar">
    <w:name w:val="Footnote Text Char"/>
    <w:basedOn w:val="DefaultParagraphFont"/>
    <w:link w:val="FootnoteText"/>
    <w:uiPriority w:val="99"/>
    <w:locked/>
    <w:rsid w:val="00CD4F5E"/>
    <w:rPr>
      <w:rFonts w:cs="Times New Roman"/>
      <w:sz w:val="20"/>
      <w:szCs w:val="20"/>
    </w:rPr>
  </w:style>
  <w:style w:type="character" w:styleId="FootnoteReference">
    <w:name w:val="footnote reference"/>
    <w:basedOn w:val="DefaultParagraphFont"/>
    <w:uiPriority w:val="99"/>
    <w:semiHidden/>
    <w:rsid w:val="00CD4F5E"/>
    <w:rPr>
      <w:rFonts w:cs="Times New Roman"/>
      <w:vertAlign w:val="superscript"/>
    </w:rPr>
  </w:style>
  <w:style w:type="character" w:styleId="Hyperlink">
    <w:name w:val="Hyperlink"/>
    <w:basedOn w:val="DefaultParagraphFont"/>
    <w:uiPriority w:val="99"/>
    <w:rsid w:val="00280798"/>
    <w:rPr>
      <w:rFonts w:cs="Times New Roman"/>
      <w:color w:val="0563C1"/>
      <w:u w:val="single"/>
    </w:rPr>
  </w:style>
  <w:style w:type="character" w:styleId="FollowedHyperlink">
    <w:name w:val="FollowedHyperlink"/>
    <w:basedOn w:val="DefaultParagraphFont"/>
    <w:uiPriority w:val="99"/>
    <w:semiHidden/>
    <w:rsid w:val="00280798"/>
    <w:rPr>
      <w:rFonts w:cs="Times New Roman"/>
      <w:color w:val="954F72"/>
      <w:u w:val="single"/>
    </w:rPr>
  </w:style>
  <w:style w:type="character" w:customStyle="1" w:styleId="apple-converted-space">
    <w:name w:val="apple-converted-space"/>
    <w:basedOn w:val="DefaultParagraphFont"/>
    <w:uiPriority w:val="99"/>
    <w:rsid w:val="004E695E"/>
    <w:rPr>
      <w:rFonts w:cs="Times New Roman"/>
    </w:rPr>
  </w:style>
  <w:style w:type="paragraph" w:styleId="Header">
    <w:name w:val="header"/>
    <w:basedOn w:val="Normal"/>
    <w:link w:val="HeaderChar"/>
    <w:uiPriority w:val="99"/>
    <w:rsid w:val="00DD4B93"/>
    <w:pPr>
      <w:tabs>
        <w:tab w:val="center" w:pos="4252"/>
        <w:tab w:val="right" w:pos="8504"/>
      </w:tabs>
      <w:spacing w:line="240" w:lineRule="auto"/>
    </w:pPr>
  </w:style>
  <w:style w:type="character" w:customStyle="1" w:styleId="HeaderChar">
    <w:name w:val="Header Char"/>
    <w:basedOn w:val="DefaultParagraphFont"/>
    <w:link w:val="Header"/>
    <w:uiPriority w:val="99"/>
    <w:locked/>
    <w:rsid w:val="00DD4B93"/>
    <w:rPr>
      <w:rFonts w:cs="Times New Roman"/>
    </w:rPr>
  </w:style>
  <w:style w:type="paragraph" w:styleId="Footer">
    <w:name w:val="footer"/>
    <w:basedOn w:val="Normal"/>
    <w:link w:val="FooterChar"/>
    <w:uiPriority w:val="99"/>
    <w:rsid w:val="00DD4B93"/>
    <w:pPr>
      <w:tabs>
        <w:tab w:val="center" w:pos="4252"/>
        <w:tab w:val="right" w:pos="8504"/>
      </w:tabs>
      <w:spacing w:line="240" w:lineRule="auto"/>
    </w:pPr>
  </w:style>
  <w:style w:type="character" w:customStyle="1" w:styleId="FooterChar">
    <w:name w:val="Footer Char"/>
    <w:basedOn w:val="DefaultParagraphFont"/>
    <w:link w:val="Footer"/>
    <w:uiPriority w:val="99"/>
    <w:locked/>
    <w:rsid w:val="00DD4B93"/>
    <w:rPr>
      <w:rFonts w:cs="Times New Roman"/>
    </w:rPr>
  </w:style>
  <w:style w:type="paragraph" w:styleId="Bibliography">
    <w:name w:val="Bibliography"/>
    <w:basedOn w:val="Normal"/>
    <w:next w:val="Normal"/>
    <w:uiPriority w:val="99"/>
    <w:rsid w:val="00C0549F"/>
  </w:style>
  <w:style w:type="character" w:styleId="PlaceholderText">
    <w:name w:val="Placeholder Text"/>
    <w:basedOn w:val="DefaultParagraphFont"/>
    <w:uiPriority w:val="99"/>
    <w:semiHidden/>
    <w:rsid w:val="00963D53"/>
    <w:rPr>
      <w:rFonts w:cs="Times New Roman"/>
      <w:color w:val="808080"/>
    </w:rPr>
  </w:style>
  <w:style w:type="paragraph" w:styleId="BalloonText">
    <w:name w:val="Balloon Text"/>
    <w:basedOn w:val="Normal"/>
    <w:link w:val="BalloonTextChar"/>
    <w:uiPriority w:val="99"/>
    <w:semiHidden/>
    <w:rsid w:val="00F044F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044F3"/>
    <w:rPr>
      <w:rFonts w:ascii="Segoe UI" w:hAnsi="Segoe UI" w:cs="Segoe UI"/>
      <w:sz w:val="18"/>
      <w:szCs w:val="18"/>
    </w:rPr>
  </w:style>
  <w:style w:type="paragraph" w:styleId="TOCHeading">
    <w:name w:val="TOC Heading"/>
    <w:basedOn w:val="Heading1"/>
    <w:next w:val="Normal"/>
    <w:uiPriority w:val="99"/>
    <w:qFormat/>
    <w:rsid w:val="00AF1648"/>
    <w:pPr>
      <w:spacing w:line="259" w:lineRule="auto"/>
      <w:ind w:firstLine="0"/>
      <w:jc w:val="left"/>
      <w:outlineLvl w:val="9"/>
    </w:pPr>
    <w:rPr>
      <w:lang w:eastAsia="pt-BR"/>
    </w:rPr>
  </w:style>
  <w:style w:type="paragraph" w:styleId="TOC2">
    <w:name w:val="toc 2"/>
    <w:basedOn w:val="Normal"/>
    <w:next w:val="Normal"/>
    <w:autoRedefine/>
    <w:uiPriority w:val="99"/>
    <w:rsid w:val="00336989"/>
    <w:pPr>
      <w:numPr>
        <w:numId w:val="10"/>
      </w:numPr>
      <w:spacing w:after="100" w:line="259" w:lineRule="auto"/>
    </w:pPr>
    <w:rPr>
      <w:rFonts w:ascii="Times New Roman" w:eastAsia="MS Mincho" w:hAnsi="Times New Roman"/>
      <w:b/>
      <w:sz w:val="24"/>
      <w:szCs w:val="24"/>
      <w:lang w:eastAsia="pt-BR"/>
    </w:rPr>
  </w:style>
  <w:style w:type="paragraph" w:styleId="TOC1">
    <w:name w:val="toc 1"/>
    <w:basedOn w:val="Normal"/>
    <w:next w:val="Normal"/>
    <w:autoRedefine/>
    <w:uiPriority w:val="99"/>
    <w:rsid w:val="00AB235D"/>
    <w:pPr>
      <w:spacing w:after="100" w:line="259" w:lineRule="auto"/>
      <w:ind w:firstLine="0"/>
      <w:jc w:val="left"/>
    </w:pPr>
    <w:rPr>
      <w:rFonts w:eastAsia="MS Mincho"/>
      <w:lang w:eastAsia="pt-BR"/>
    </w:rPr>
  </w:style>
  <w:style w:type="paragraph" w:styleId="TOC3">
    <w:name w:val="toc 3"/>
    <w:basedOn w:val="Normal"/>
    <w:next w:val="Normal"/>
    <w:autoRedefine/>
    <w:uiPriority w:val="99"/>
    <w:rsid w:val="00646E35"/>
    <w:pPr>
      <w:numPr>
        <w:ilvl w:val="1"/>
        <w:numId w:val="10"/>
      </w:numPr>
      <w:spacing w:after="100" w:line="259" w:lineRule="auto"/>
    </w:pPr>
    <w:rPr>
      <w:rFonts w:ascii="Times New Roman" w:eastAsia="MS Mincho" w:hAnsi="Times New Roman"/>
      <w:sz w:val="24"/>
      <w:szCs w:val="24"/>
      <w:lang w:eastAsia="pt-BR"/>
    </w:rPr>
  </w:style>
  <w:style w:type="paragraph" w:styleId="Revision">
    <w:name w:val="Revision"/>
    <w:hidden/>
    <w:uiPriority w:val="99"/>
    <w:semiHidden/>
    <w:rsid w:val="000B325E"/>
    <w:rPr>
      <w:lang w:eastAsia="en-US"/>
    </w:rPr>
  </w:style>
  <w:style w:type="paragraph" w:customStyle="1" w:styleId="Default">
    <w:name w:val="Default"/>
    <w:uiPriority w:val="99"/>
    <w:rsid w:val="00AA6F65"/>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99"/>
    <w:rsid w:val="00007E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854763"/>
    <w:rPr>
      <w:rFonts w:cs="Times New Roman"/>
      <w:sz w:val="16"/>
      <w:szCs w:val="16"/>
    </w:rPr>
  </w:style>
  <w:style w:type="paragraph" w:styleId="CommentText">
    <w:name w:val="annotation text"/>
    <w:basedOn w:val="Normal"/>
    <w:link w:val="CommentTextChar"/>
    <w:uiPriority w:val="99"/>
    <w:semiHidden/>
    <w:rsid w:val="0085476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54763"/>
    <w:rPr>
      <w:rFonts w:cs="Times New Roman"/>
      <w:sz w:val="20"/>
      <w:szCs w:val="20"/>
    </w:rPr>
  </w:style>
  <w:style w:type="paragraph" w:styleId="CommentSubject">
    <w:name w:val="annotation subject"/>
    <w:basedOn w:val="CommentText"/>
    <w:next w:val="CommentText"/>
    <w:link w:val="CommentSubjectChar"/>
    <w:uiPriority w:val="99"/>
    <w:semiHidden/>
    <w:rsid w:val="00854763"/>
    <w:rPr>
      <w:b/>
      <w:bCs/>
    </w:rPr>
  </w:style>
  <w:style w:type="character" w:customStyle="1" w:styleId="CommentSubjectChar">
    <w:name w:val="Comment Subject Char"/>
    <w:basedOn w:val="CommentTextChar"/>
    <w:link w:val="CommentSubject"/>
    <w:uiPriority w:val="99"/>
    <w:semiHidden/>
    <w:locked/>
    <w:rsid w:val="00854763"/>
    <w:rPr>
      <w:b/>
      <w:bCs/>
    </w:rPr>
  </w:style>
</w:styles>
</file>

<file path=word/webSettings.xml><?xml version="1.0" encoding="utf-8"?>
<w:webSettings xmlns:r="http://schemas.openxmlformats.org/officeDocument/2006/relationships" xmlns:w="http://schemas.openxmlformats.org/wordprocessingml/2006/main">
  <w:divs>
    <w:div w:id="40520033">
      <w:marLeft w:val="0"/>
      <w:marRight w:val="0"/>
      <w:marTop w:val="0"/>
      <w:marBottom w:val="0"/>
      <w:divBdr>
        <w:top w:val="none" w:sz="0" w:space="0" w:color="auto"/>
        <w:left w:val="none" w:sz="0" w:space="0" w:color="auto"/>
        <w:bottom w:val="none" w:sz="0" w:space="0" w:color="auto"/>
        <w:right w:val="none" w:sz="0" w:space="0" w:color="auto"/>
      </w:divBdr>
    </w:div>
    <w:div w:id="40520034">
      <w:marLeft w:val="0"/>
      <w:marRight w:val="0"/>
      <w:marTop w:val="0"/>
      <w:marBottom w:val="0"/>
      <w:divBdr>
        <w:top w:val="none" w:sz="0" w:space="0" w:color="auto"/>
        <w:left w:val="none" w:sz="0" w:space="0" w:color="auto"/>
        <w:bottom w:val="none" w:sz="0" w:space="0" w:color="auto"/>
        <w:right w:val="none" w:sz="0" w:space="0" w:color="auto"/>
      </w:divBdr>
    </w:div>
    <w:div w:id="40520035">
      <w:marLeft w:val="0"/>
      <w:marRight w:val="0"/>
      <w:marTop w:val="0"/>
      <w:marBottom w:val="0"/>
      <w:divBdr>
        <w:top w:val="none" w:sz="0" w:space="0" w:color="auto"/>
        <w:left w:val="none" w:sz="0" w:space="0" w:color="auto"/>
        <w:bottom w:val="none" w:sz="0" w:space="0" w:color="auto"/>
        <w:right w:val="none" w:sz="0" w:space="0" w:color="auto"/>
      </w:divBdr>
    </w:div>
    <w:div w:id="40520036">
      <w:marLeft w:val="0"/>
      <w:marRight w:val="0"/>
      <w:marTop w:val="0"/>
      <w:marBottom w:val="0"/>
      <w:divBdr>
        <w:top w:val="none" w:sz="0" w:space="0" w:color="auto"/>
        <w:left w:val="none" w:sz="0" w:space="0" w:color="auto"/>
        <w:bottom w:val="none" w:sz="0" w:space="0" w:color="auto"/>
        <w:right w:val="none" w:sz="0" w:space="0" w:color="auto"/>
      </w:divBdr>
    </w:div>
    <w:div w:id="40520037">
      <w:marLeft w:val="0"/>
      <w:marRight w:val="0"/>
      <w:marTop w:val="0"/>
      <w:marBottom w:val="0"/>
      <w:divBdr>
        <w:top w:val="none" w:sz="0" w:space="0" w:color="auto"/>
        <w:left w:val="none" w:sz="0" w:space="0" w:color="auto"/>
        <w:bottom w:val="none" w:sz="0" w:space="0" w:color="auto"/>
        <w:right w:val="none" w:sz="0" w:space="0" w:color="auto"/>
      </w:divBdr>
    </w:div>
    <w:div w:id="40520038">
      <w:marLeft w:val="0"/>
      <w:marRight w:val="0"/>
      <w:marTop w:val="0"/>
      <w:marBottom w:val="0"/>
      <w:divBdr>
        <w:top w:val="none" w:sz="0" w:space="0" w:color="auto"/>
        <w:left w:val="none" w:sz="0" w:space="0" w:color="auto"/>
        <w:bottom w:val="none" w:sz="0" w:space="0" w:color="auto"/>
        <w:right w:val="none" w:sz="0" w:space="0" w:color="auto"/>
      </w:divBdr>
    </w:div>
    <w:div w:id="40520039">
      <w:marLeft w:val="0"/>
      <w:marRight w:val="0"/>
      <w:marTop w:val="0"/>
      <w:marBottom w:val="0"/>
      <w:divBdr>
        <w:top w:val="none" w:sz="0" w:space="0" w:color="auto"/>
        <w:left w:val="none" w:sz="0" w:space="0" w:color="auto"/>
        <w:bottom w:val="none" w:sz="0" w:space="0" w:color="auto"/>
        <w:right w:val="none" w:sz="0" w:space="0" w:color="auto"/>
      </w:divBdr>
    </w:div>
    <w:div w:id="40520040">
      <w:marLeft w:val="0"/>
      <w:marRight w:val="0"/>
      <w:marTop w:val="0"/>
      <w:marBottom w:val="0"/>
      <w:divBdr>
        <w:top w:val="none" w:sz="0" w:space="0" w:color="auto"/>
        <w:left w:val="none" w:sz="0" w:space="0" w:color="auto"/>
        <w:bottom w:val="none" w:sz="0" w:space="0" w:color="auto"/>
        <w:right w:val="none" w:sz="0" w:space="0" w:color="auto"/>
      </w:divBdr>
      <w:divsChild>
        <w:div w:id="40520055">
          <w:marLeft w:val="720"/>
          <w:marRight w:val="720"/>
          <w:marTop w:val="100"/>
          <w:marBottom w:val="100"/>
          <w:divBdr>
            <w:top w:val="none" w:sz="0" w:space="0" w:color="auto"/>
            <w:left w:val="none" w:sz="0" w:space="0" w:color="auto"/>
            <w:bottom w:val="none" w:sz="0" w:space="0" w:color="auto"/>
            <w:right w:val="none" w:sz="0" w:space="0" w:color="auto"/>
          </w:divBdr>
          <w:divsChild>
            <w:div w:id="4052005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20041">
      <w:marLeft w:val="0"/>
      <w:marRight w:val="0"/>
      <w:marTop w:val="0"/>
      <w:marBottom w:val="0"/>
      <w:divBdr>
        <w:top w:val="none" w:sz="0" w:space="0" w:color="auto"/>
        <w:left w:val="none" w:sz="0" w:space="0" w:color="auto"/>
        <w:bottom w:val="none" w:sz="0" w:space="0" w:color="auto"/>
        <w:right w:val="none" w:sz="0" w:space="0" w:color="auto"/>
      </w:divBdr>
    </w:div>
    <w:div w:id="40520042">
      <w:marLeft w:val="0"/>
      <w:marRight w:val="0"/>
      <w:marTop w:val="0"/>
      <w:marBottom w:val="0"/>
      <w:divBdr>
        <w:top w:val="none" w:sz="0" w:space="0" w:color="auto"/>
        <w:left w:val="none" w:sz="0" w:space="0" w:color="auto"/>
        <w:bottom w:val="none" w:sz="0" w:space="0" w:color="auto"/>
        <w:right w:val="none" w:sz="0" w:space="0" w:color="auto"/>
      </w:divBdr>
      <w:divsChild>
        <w:div w:id="40520059">
          <w:marLeft w:val="720"/>
          <w:marRight w:val="720"/>
          <w:marTop w:val="100"/>
          <w:marBottom w:val="100"/>
          <w:divBdr>
            <w:top w:val="none" w:sz="0" w:space="0" w:color="auto"/>
            <w:left w:val="none" w:sz="0" w:space="0" w:color="auto"/>
            <w:bottom w:val="none" w:sz="0" w:space="0" w:color="auto"/>
            <w:right w:val="none" w:sz="0" w:space="0" w:color="auto"/>
          </w:divBdr>
          <w:divsChild>
            <w:div w:id="405200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20043">
      <w:marLeft w:val="0"/>
      <w:marRight w:val="0"/>
      <w:marTop w:val="0"/>
      <w:marBottom w:val="0"/>
      <w:divBdr>
        <w:top w:val="none" w:sz="0" w:space="0" w:color="auto"/>
        <w:left w:val="none" w:sz="0" w:space="0" w:color="auto"/>
        <w:bottom w:val="none" w:sz="0" w:space="0" w:color="auto"/>
        <w:right w:val="none" w:sz="0" w:space="0" w:color="auto"/>
      </w:divBdr>
    </w:div>
    <w:div w:id="40520044">
      <w:marLeft w:val="0"/>
      <w:marRight w:val="0"/>
      <w:marTop w:val="0"/>
      <w:marBottom w:val="0"/>
      <w:divBdr>
        <w:top w:val="none" w:sz="0" w:space="0" w:color="auto"/>
        <w:left w:val="none" w:sz="0" w:space="0" w:color="auto"/>
        <w:bottom w:val="none" w:sz="0" w:space="0" w:color="auto"/>
        <w:right w:val="none" w:sz="0" w:space="0" w:color="auto"/>
      </w:divBdr>
    </w:div>
    <w:div w:id="40520045">
      <w:marLeft w:val="0"/>
      <w:marRight w:val="0"/>
      <w:marTop w:val="0"/>
      <w:marBottom w:val="0"/>
      <w:divBdr>
        <w:top w:val="none" w:sz="0" w:space="0" w:color="auto"/>
        <w:left w:val="none" w:sz="0" w:space="0" w:color="auto"/>
        <w:bottom w:val="none" w:sz="0" w:space="0" w:color="auto"/>
        <w:right w:val="none" w:sz="0" w:space="0" w:color="auto"/>
      </w:divBdr>
      <w:divsChild>
        <w:div w:id="40520088">
          <w:marLeft w:val="720"/>
          <w:marRight w:val="720"/>
          <w:marTop w:val="100"/>
          <w:marBottom w:val="100"/>
          <w:divBdr>
            <w:top w:val="none" w:sz="0" w:space="0" w:color="auto"/>
            <w:left w:val="none" w:sz="0" w:space="0" w:color="auto"/>
            <w:bottom w:val="none" w:sz="0" w:space="0" w:color="auto"/>
            <w:right w:val="none" w:sz="0" w:space="0" w:color="auto"/>
          </w:divBdr>
        </w:div>
        <w:div w:id="40520142">
          <w:marLeft w:val="720"/>
          <w:marRight w:val="720"/>
          <w:marTop w:val="100"/>
          <w:marBottom w:val="100"/>
          <w:divBdr>
            <w:top w:val="none" w:sz="0" w:space="0" w:color="auto"/>
            <w:left w:val="none" w:sz="0" w:space="0" w:color="auto"/>
            <w:bottom w:val="none" w:sz="0" w:space="0" w:color="auto"/>
            <w:right w:val="none" w:sz="0" w:space="0" w:color="auto"/>
          </w:divBdr>
        </w:div>
      </w:divsChild>
    </w:div>
    <w:div w:id="40520046">
      <w:marLeft w:val="0"/>
      <w:marRight w:val="0"/>
      <w:marTop w:val="0"/>
      <w:marBottom w:val="0"/>
      <w:divBdr>
        <w:top w:val="none" w:sz="0" w:space="0" w:color="auto"/>
        <w:left w:val="none" w:sz="0" w:space="0" w:color="auto"/>
        <w:bottom w:val="none" w:sz="0" w:space="0" w:color="auto"/>
        <w:right w:val="none" w:sz="0" w:space="0" w:color="auto"/>
      </w:divBdr>
    </w:div>
    <w:div w:id="40520047">
      <w:marLeft w:val="0"/>
      <w:marRight w:val="0"/>
      <w:marTop w:val="0"/>
      <w:marBottom w:val="0"/>
      <w:divBdr>
        <w:top w:val="none" w:sz="0" w:space="0" w:color="auto"/>
        <w:left w:val="none" w:sz="0" w:space="0" w:color="auto"/>
        <w:bottom w:val="none" w:sz="0" w:space="0" w:color="auto"/>
        <w:right w:val="none" w:sz="0" w:space="0" w:color="auto"/>
      </w:divBdr>
    </w:div>
    <w:div w:id="40520048">
      <w:marLeft w:val="0"/>
      <w:marRight w:val="0"/>
      <w:marTop w:val="0"/>
      <w:marBottom w:val="0"/>
      <w:divBdr>
        <w:top w:val="none" w:sz="0" w:space="0" w:color="auto"/>
        <w:left w:val="none" w:sz="0" w:space="0" w:color="auto"/>
        <w:bottom w:val="none" w:sz="0" w:space="0" w:color="auto"/>
        <w:right w:val="none" w:sz="0" w:space="0" w:color="auto"/>
      </w:divBdr>
    </w:div>
    <w:div w:id="40520049">
      <w:marLeft w:val="0"/>
      <w:marRight w:val="0"/>
      <w:marTop w:val="0"/>
      <w:marBottom w:val="0"/>
      <w:divBdr>
        <w:top w:val="none" w:sz="0" w:space="0" w:color="auto"/>
        <w:left w:val="none" w:sz="0" w:space="0" w:color="auto"/>
        <w:bottom w:val="none" w:sz="0" w:space="0" w:color="auto"/>
        <w:right w:val="none" w:sz="0" w:space="0" w:color="auto"/>
      </w:divBdr>
      <w:divsChild>
        <w:div w:id="40520129">
          <w:marLeft w:val="720"/>
          <w:marRight w:val="720"/>
          <w:marTop w:val="100"/>
          <w:marBottom w:val="100"/>
          <w:divBdr>
            <w:top w:val="none" w:sz="0" w:space="0" w:color="auto"/>
            <w:left w:val="none" w:sz="0" w:space="0" w:color="auto"/>
            <w:bottom w:val="none" w:sz="0" w:space="0" w:color="auto"/>
            <w:right w:val="none" w:sz="0" w:space="0" w:color="auto"/>
          </w:divBdr>
          <w:divsChild>
            <w:div w:id="405201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20050">
      <w:marLeft w:val="0"/>
      <w:marRight w:val="0"/>
      <w:marTop w:val="0"/>
      <w:marBottom w:val="0"/>
      <w:divBdr>
        <w:top w:val="none" w:sz="0" w:space="0" w:color="auto"/>
        <w:left w:val="none" w:sz="0" w:space="0" w:color="auto"/>
        <w:bottom w:val="none" w:sz="0" w:space="0" w:color="auto"/>
        <w:right w:val="none" w:sz="0" w:space="0" w:color="auto"/>
      </w:divBdr>
    </w:div>
    <w:div w:id="40520051">
      <w:marLeft w:val="0"/>
      <w:marRight w:val="0"/>
      <w:marTop w:val="0"/>
      <w:marBottom w:val="0"/>
      <w:divBdr>
        <w:top w:val="none" w:sz="0" w:space="0" w:color="auto"/>
        <w:left w:val="none" w:sz="0" w:space="0" w:color="auto"/>
        <w:bottom w:val="none" w:sz="0" w:space="0" w:color="auto"/>
        <w:right w:val="none" w:sz="0" w:space="0" w:color="auto"/>
      </w:divBdr>
    </w:div>
    <w:div w:id="40520052">
      <w:marLeft w:val="0"/>
      <w:marRight w:val="0"/>
      <w:marTop w:val="0"/>
      <w:marBottom w:val="0"/>
      <w:divBdr>
        <w:top w:val="none" w:sz="0" w:space="0" w:color="auto"/>
        <w:left w:val="none" w:sz="0" w:space="0" w:color="auto"/>
        <w:bottom w:val="none" w:sz="0" w:space="0" w:color="auto"/>
        <w:right w:val="none" w:sz="0" w:space="0" w:color="auto"/>
      </w:divBdr>
    </w:div>
    <w:div w:id="40520053">
      <w:marLeft w:val="0"/>
      <w:marRight w:val="0"/>
      <w:marTop w:val="0"/>
      <w:marBottom w:val="0"/>
      <w:divBdr>
        <w:top w:val="none" w:sz="0" w:space="0" w:color="auto"/>
        <w:left w:val="none" w:sz="0" w:space="0" w:color="auto"/>
        <w:bottom w:val="none" w:sz="0" w:space="0" w:color="auto"/>
        <w:right w:val="none" w:sz="0" w:space="0" w:color="auto"/>
      </w:divBdr>
    </w:div>
    <w:div w:id="40520058">
      <w:marLeft w:val="0"/>
      <w:marRight w:val="0"/>
      <w:marTop w:val="0"/>
      <w:marBottom w:val="0"/>
      <w:divBdr>
        <w:top w:val="none" w:sz="0" w:space="0" w:color="auto"/>
        <w:left w:val="none" w:sz="0" w:space="0" w:color="auto"/>
        <w:bottom w:val="none" w:sz="0" w:space="0" w:color="auto"/>
        <w:right w:val="none" w:sz="0" w:space="0" w:color="auto"/>
      </w:divBdr>
    </w:div>
    <w:div w:id="40520060">
      <w:marLeft w:val="0"/>
      <w:marRight w:val="0"/>
      <w:marTop w:val="0"/>
      <w:marBottom w:val="0"/>
      <w:divBdr>
        <w:top w:val="none" w:sz="0" w:space="0" w:color="auto"/>
        <w:left w:val="none" w:sz="0" w:space="0" w:color="auto"/>
        <w:bottom w:val="none" w:sz="0" w:space="0" w:color="auto"/>
        <w:right w:val="none" w:sz="0" w:space="0" w:color="auto"/>
      </w:divBdr>
    </w:div>
    <w:div w:id="40520062">
      <w:marLeft w:val="0"/>
      <w:marRight w:val="0"/>
      <w:marTop w:val="0"/>
      <w:marBottom w:val="0"/>
      <w:divBdr>
        <w:top w:val="none" w:sz="0" w:space="0" w:color="auto"/>
        <w:left w:val="none" w:sz="0" w:space="0" w:color="auto"/>
        <w:bottom w:val="none" w:sz="0" w:space="0" w:color="auto"/>
        <w:right w:val="none" w:sz="0" w:space="0" w:color="auto"/>
      </w:divBdr>
    </w:div>
    <w:div w:id="40520063">
      <w:marLeft w:val="0"/>
      <w:marRight w:val="0"/>
      <w:marTop w:val="0"/>
      <w:marBottom w:val="0"/>
      <w:divBdr>
        <w:top w:val="none" w:sz="0" w:space="0" w:color="auto"/>
        <w:left w:val="none" w:sz="0" w:space="0" w:color="auto"/>
        <w:bottom w:val="none" w:sz="0" w:space="0" w:color="auto"/>
        <w:right w:val="none" w:sz="0" w:space="0" w:color="auto"/>
      </w:divBdr>
    </w:div>
    <w:div w:id="40520064">
      <w:marLeft w:val="0"/>
      <w:marRight w:val="0"/>
      <w:marTop w:val="0"/>
      <w:marBottom w:val="0"/>
      <w:divBdr>
        <w:top w:val="none" w:sz="0" w:space="0" w:color="auto"/>
        <w:left w:val="none" w:sz="0" w:space="0" w:color="auto"/>
        <w:bottom w:val="none" w:sz="0" w:space="0" w:color="auto"/>
        <w:right w:val="none" w:sz="0" w:space="0" w:color="auto"/>
      </w:divBdr>
    </w:div>
    <w:div w:id="40520065">
      <w:marLeft w:val="0"/>
      <w:marRight w:val="0"/>
      <w:marTop w:val="0"/>
      <w:marBottom w:val="0"/>
      <w:divBdr>
        <w:top w:val="none" w:sz="0" w:space="0" w:color="auto"/>
        <w:left w:val="none" w:sz="0" w:space="0" w:color="auto"/>
        <w:bottom w:val="none" w:sz="0" w:space="0" w:color="auto"/>
        <w:right w:val="none" w:sz="0" w:space="0" w:color="auto"/>
      </w:divBdr>
    </w:div>
    <w:div w:id="40520066">
      <w:marLeft w:val="0"/>
      <w:marRight w:val="0"/>
      <w:marTop w:val="0"/>
      <w:marBottom w:val="0"/>
      <w:divBdr>
        <w:top w:val="none" w:sz="0" w:space="0" w:color="auto"/>
        <w:left w:val="none" w:sz="0" w:space="0" w:color="auto"/>
        <w:bottom w:val="none" w:sz="0" w:space="0" w:color="auto"/>
        <w:right w:val="none" w:sz="0" w:space="0" w:color="auto"/>
      </w:divBdr>
    </w:div>
    <w:div w:id="40520067">
      <w:marLeft w:val="0"/>
      <w:marRight w:val="0"/>
      <w:marTop w:val="0"/>
      <w:marBottom w:val="0"/>
      <w:divBdr>
        <w:top w:val="none" w:sz="0" w:space="0" w:color="auto"/>
        <w:left w:val="none" w:sz="0" w:space="0" w:color="auto"/>
        <w:bottom w:val="none" w:sz="0" w:space="0" w:color="auto"/>
        <w:right w:val="none" w:sz="0" w:space="0" w:color="auto"/>
      </w:divBdr>
    </w:div>
    <w:div w:id="40520068">
      <w:marLeft w:val="0"/>
      <w:marRight w:val="0"/>
      <w:marTop w:val="0"/>
      <w:marBottom w:val="0"/>
      <w:divBdr>
        <w:top w:val="none" w:sz="0" w:space="0" w:color="auto"/>
        <w:left w:val="none" w:sz="0" w:space="0" w:color="auto"/>
        <w:bottom w:val="none" w:sz="0" w:space="0" w:color="auto"/>
        <w:right w:val="none" w:sz="0" w:space="0" w:color="auto"/>
      </w:divBdr>
    </w:div>
    <w:div w:id="40520069">
      <w:marLeft w:val="0"/>
      <w:marRight w:val="0"/>
      <w:marTop w:val="0"/>
      <w:marBottom w:val="0"/>
      <w:divBdr>
        <w:top w:val="none" w:sz="0" w:space="0" w:color="auto"/>
        <w:left w:val="none" w:sz="0" w:space="0" w:color="auto"/>
        <w:bottom w:val="none" w:sz="0" w:space="0" w:color="auto"/>
        <w:right w:val="none" w:sz="0" w:space="0" w:color="auto"/>
      </w:divBdr>
    </w:div>
    <w:div w:id="40520071">
      <w:marLeft w:val="0"/>
      <w:marRight w:val="0"/>
      <w:marTop w:val="0"/>
      <w:marBottom w:val="0"/>
      <w:divBdr>
        <w:top w:val="none" w:sz="0" w:space="0" w:color="auto"/>
        <w:left w:val="none" w:sz="0" w:space="0" w:color="auto"/>
        <w:bottom w:val="none" w:sz="0" w:space="0" w:color="auto"/>
        <w:right w:val="none" w:sz="0" w:space="0" w:color="auto"/>
      </w:divBdr>
    </w:div>
    <w:div w:id="40520072">
      <w:marLeft w:val="0"/>
      <w:marRight w:val="0"/>
      <w:marTop w:val="0"/>
      <w:marBottom w:val="0"/>
      <w:divBdr>
        <w:top w:val="none" w:sz="0" w:space="0" w:color="auto"/>
        <w:left w:val="none" w:sz="0" w:space="0" w:color="auto"/>
        <w:bottom w:val="none" w:sz="0" w:space="0" w:color="auto"/>
        <w:right w:val="none" w:sz="0" w:space="0" w:color="auto"/>
      </w:divBdr>
      <w:divsChild>
        <w:div w:id="40520079">
          <w:marLeft w:val="720"/>
          <w:marRight w:val="720"/>
          <w:marTop w:val="100"/>
          <w:marBottom w:val="100"/>
          <w:divBdr>
            <w:top w:val="none" w:sz="0" w:space="0" w:color="auto"/>
            <w:left w:val="none" w:sz="0" w:space="0" w:color="auto"/>
            <w:bottom w:val="none" w:sz="0" w:space="0" w:color="auto"/>
            <w:right w:val="none" w:sz="0" w:space="0" w:color="auto"/>
          </w:divBdr>
          <w:divsChild>
            <w:div w:id="405201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20073">
      <w:marLeft w:val="0"/>
      <w:marRight w:val="0"/>
      <w:marTop w:val="0"/>
      <w:marBottom w:val="0"/>
      <w:divBdr>
        <w:top w:val="none" w:sz="0" w:space="0" w:color="auto"/>
        <w:left w:val="none" w:sz="0" w:space="0" w:color="auto"/>
        <w:bottom w:val="none" w:sz="0" w:space="0" w:color="auto"/>
        <w:right w:val="none" w:sz="0" w:space="0" w:color="auto"/>
      </w:divBdr>
    </w:div>
    <w:div w:id="40520074">
      <w:marLeft w:val="0"/>
      <w:marRight w:val="0"/>
      <w:marTop w:val="0"/>
      <w:marBottom w:val="0"/>
      <w:divBdr>
        <w:top w:val="none" w:sz="0" w:space="0" w:color="auto"/>
        <w:left w:val="none" w:sz="0" w:space="0" w:color="auto"/>
        <w:bottom w:val="none" w:sz="0" w:space="0" w:color="auto"/>
        <w:right w:val="none" w:sz="0" w:space="0" w:color="auto"/>
      </w:divBdr>
    </w:div>
    <w:div w:id="40520076">
      <w:marLeft w:val="0"/>
      <w:marRight w:val="0"/>
      <w:marTop w:val="0"/>
      <w:marBottom w:val="0"/>
      <w:divBdr>
        <w:top w:val="none" w:sz="0" w:space="0" w:color="auto"/>
        <w:left w:val="none" w:sz="0" w:space="0" w:color="auto"/>
        <w:bottom w:val="none" w:sz="0" w:space="0" w:color="auto"/>
        <w:right w:val="none" w:sz="0" w:space="0" w:color="auto"/>
      </w:divBdr>
    </w:div>
    <w:div w:id="40520077">
      <w:marLeft w:val="0"/>
      <w:marRight w:val="0"/>
      <w:marTop w:val="0"/>
      <w:marBottom w:val="0"/>
      <w:divBdr>
        <w:top w:val="none" w:sz="0" w:space="0" w:color="auto"/>
        <w:left w:val="none" w:sz="0" w:space="0" w:color="auto"/>
        <w:bottom w:val="none" w:sz="0" w:space="0" w:color="auto"/>
        <w:right w:val="none" w:sz="0" w:space="0" w:color="auto"/>
      </w:divBdr>
    </w:div>
    <w:div w:id="40520078">
      <w:marLeft w:val="0"/>
      <w:marRight w:val="0"/>
      <w:marTop w:val="0"/>
      <w:marBottom w:val="0"/>
      <w:divBdr>
        <w:top w:val="none" w:sz="0" w:space="0" w:color="auto"/>
        <w:left w:val="none" w:sz="0" w:space="0" w:color="auto"/>
        <w:bottom w:val="none" w:sz="0" w:space="0" w:color="auto"/>
        <w:right w:val="none" w:sz="0" w:space="0" w:color="auto"/>
      </w:divBdr>
      <w:divsChild>
        <w:div w:id="40520056">
          <w:marLeft w:val="720"/>
          <w:marRight w:val="720"/>
          <w:marTop w:val="100"/>
          <w:marBottom w:val="100"/>
          <w:divBdr>
            <w:top w:val="none" w:sz="0" w:space="0" w:color="auto"/>
            <w:left w:val="none" w:sz="0" w:space="0" w:color="auto"/>
            <w:bottom w:val="none" w:sz="0" w:space="0" w:color="auto"/>
            <w:right w:val="none" w:sz="0" w:space="0" w:color="auto"/>
          </w:divBdr>
          <w:divsChild>
            <w:div w:id="405201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20080">
      <w:marLeft w:val="0"/>
      <w:marRight w:val="0"/>
      <w:marTop w:val="0"/>
      <w:marBottom w:val="0"/>
      <w:divBdr>
        <w:top w:val="none" w:sz="0" w:space="0" w:color="auto"/>
        <w:left w:val="none" w:sz="0" w:space="0" w:color="auto"/>
        <w:bottom w:val="none" w:sz="0" w:space="0" w:color="auto"/>
        <w:right w:val="none" w:sz="0" w:space="0" w:color="auto"/>
      </w:divBdr>
    </w:div>
    <w:div w:id="40520081">
      <w:marLeft w:val="0"/>
      <w:marRight w:val="0"/>
      <w:marTop w:val="0"/>
      <w:marBottom w:val="0"/>
      <w:divBdr>
        <w:top w:val="none" w:sz="0" w:space="0" w:color="auto"/>
        <w:left w:val="none" w:sz="0" w:space="0" w:color="auto"/>
        <w:bottom w:val="none" w:sz="0" w:space="0" w:color="auto"/>
        <w:right w:val="none" w:sz="0" w:space="0" w:color="auto"/>
      </w:divBdr>
    </w:div>
    <w:div w:id="40520082">
      <w:marLeft w:val="0"/>
      <w:marRight w:val="0"/>
      <w:marTop w:val="0"/>
      <w:marBottom w:val="0"/>
      <w:divBdr>
        <w:top w:val="none" w:sz="0" w:space="0" w:color="auto"/>
        <w:left w:val="none" w:sz="0" w:space="0" w:color="auto"/>
        <w:bottom w:val="none" w:sz="0" w:space="0" w:color="auto"/>
        <w:right w:val="none" w:sz="0" w:space="0" w:color="auto"/>
      </w:divBdr>
    </w:div>
    <w:div w:id="40520083">
      <w:marLeft w:val="0"/>
      <w:marRight w:val="0"/>
      <w:marTop w:val="0"/>
      <w:marBottom w:val="0"/>
      <w:divBdr>
        <w:top w:val="none" w:sz="0" w:space="0" w:color="auto"/>
        <w:left w:val="none" w:sz="0" w:space="0" w:color="auto"/>
        <w:bottom w:val="none" w:sz="0" w:space="0" w:color="auto"/>
        <w:right w:val="none" w:sz="0" w:space="0" w:color="auto"/>
      </w:divBdr>
      <w:divsChild>
        <w:div w:id="40520032">
          <w:marLeft w:val="720"/>
          <w:marRight w:val="720"/>
          <w:marTop w:val="100"/>
          <w:marBottom w:val="100"/>
          <w:divBdr>
            <w:top w:val="none" w:sz="0" w:space="0" w:color="auto"/>
            <w:left w:val="none" w:sz="0" w:space="0" w:color="auto"/>
            <w:bottom w:val="none" w:sz="0" w:space="0" w:color="auto"/>
            <w:right w:val="none" w:sz="0" w:space="0" w:color="auto"/>
          </w:divBdr>
          <w:divsChild>
            <w:div w:id="405200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20084">
      <w:marLeft w:val="0"/>
      <w:marRight w:val="0"/>
      <w:marTop w:val="0"/>
      <w:marBottom w:val="0"/>
      <w:divBdr>
        <w:top w:val="none" w:sz="0" w:space="0" w:color="auto"/>
        <w:left w:val="none" w:sz="0" w:space="0" w:color="auto"/>
        <w:bottom w:val="none" w:sz="0" w:space="0" w:color="auto"/>
        <w:right w:val="none" w:sz="0" w:space="0" w:color="auto"/>
      </w:divBdr>
    </w:div>
    <w:div w:id="40520085">
      <w:marLeft w:val="0"/>
      <w:marRight w:val="0"/>
      <w:marTop w:val="0"/>
      <w:marBottom w:val="0"/>
      <w:divBdr>
        <w:top w:val="none" w:sz="0" w:space="0" w:color="auto"/>
        <w:left w:val="none" w:sz="0" w:space="0" w:color="auto"/>
        <w:bottom w:val="none" w:sz="0" w:space="0" w:color="auto"/>
        <w:right w:val="none" w:sz="0" w:space="0" w:color="auto"/>
      </w:divBdr>
    </w:div>
    <w:div w:id="40520086">
      <w:marLeft w:val="0"/>
      <w:marRight w:val="0"/>
      <w:marTop w:val="0"/>
      <w:marBottom w:val="0"/>
      <w:divBdr>
        <w:top w:val="none" w:sz="0" w:space="0" w:color="auto"/>
        <w:left w:val="none" w:sz="0" w:space="0" w:color="auto"/>
        <w:bottom w:val="none" w:sz="0" w:space="0" w:color="auto"/>
        <w:right w:val="none" w:sz="0" w:space="0" w:color="auto"/>
      </w:divBdr>
    </w:div>
    <w:div w:id="40520087">
      <w:marLeft w:val="0"/>
      <w:marRight w:val="0"/>
      <w:marTop w:val="0"/>
      <w:marBottom w:val="0"/>
      <w:divBdr>
        <w:top w:val="none" w:sz="0" w:space="0" w:color="auto"/>
        <w:left w:val="none" w:sz="0" w:space="0" w:color="auto"/>
        <w:bottom w:val="none" w:sz="0" w:space="0" w:color="auto"/>
        <w:right w:val="none" w:sz="0" w:space="0" w:color="auto"/>
      </w:divBdr>
    </w:div>
    <w:div w:id="40520089">
      <w:marLeft w:val="0"/>
      <w:marRight w:val="0"/>
      <w:marTop w:val="0"/>
      <w:marBottom w:val="0"/>
      <w:divBdr>
        <w:top w:val="none" w:sz="0" w:space="0" w:color="auto"/>
        <w:left w:val="none" w:sz="0" w:space="0" w:color="auto"/>
        <w:bottom w:val="none" w:sz="0" w:space="0" w:color="auto"/>
        <w:right w:val="none" w:sz="0" w:space="0" w:color="auto"/>
      </w:divBdr>
    </w:div>
    <w:div w:id="40520090">
      <w:marLeft w:val="0"/>
      <w:marRight w:val="0"/>
      <w:marTop w:val="0"/>
      <w:marBottom w:val="0"/>
      <w:divBdr>
        <w:top w:val="none" w:sz="0" w:space="0" w:color="auto"/>
        <w:left w:val="none" w:sz="0" w:space="0" w:color="auto"/>
        <w:bottom w:val="none" w:sz="0" w:space="0" w:color="auto"/>
        <w:right w:val="none" w:sz="0" w:space="0" w:color="auto"/>
      </w:divBdr>
    </w:div>
    <w:div w:id="40520091">
      <w:marLeft w:val="0"/>
      <w:marRight w:val="0"/>
      <w:marTop w:val="0"/>
      <w:marBottom w:val="0"/>
      <w:divBdr>
        <w:top w:val="none" w:sz="0" w:space="0" w:color="auto"/>
        <w:left w:val="none" w:sz="0" w:space="0" w:color="auto"/>
        <w:bottom w:val="none" w:sz="0" w:space="0" w:color="auto"/>
        <w:right w:val="none" w:sz="0" w:space="0" w:color="auto"/>
      </w:divBdr>
    </w:div>
    <w:div w:id="40520092">
      <w:marLeft w:val="0"/>
      <w:marRight w:val="0"/>
      <w:marTop w:val="0"/>
      <w:marBottom w:val="0"/>
      <w:divBdr>
        <w:top w:val="none" w:sz="0" w:space="0" w:color="auto"/>
        <w:left w:val="none" w:sz="0" w:space="0" w:color="auto"/>
        <w:bottom w:val="none" w:sz="0" w:space="0" w:color="auto"/>
        <w:right w:val="none" w:sz="0" w:space="0" w:color="auto"/>
      </w:divBdr>
    </w:div>
    <w:div w:id="40520094">
      <w:marLeft w:val="0"/>
      <w:marRight w:val="0"/>
      <w:marTop w:val="0"/>
      <w:marBottom w:val="0"/>
      <w:divBdr>
        <w:top w:val="none" w:sz="0" w:space="0" w:color="auto"/>
        <w:left w:val="none" w:sz="0" w:space="0" w:color="auto"/>
        <w:bottom w:val="none" w:sz="0" w:space="0" w:color="auto"/>
        <w:right w:val="none" w:sz="0" w:space="0" w:color="auto"/>
      </w:divBdr>
      <w:divsChild>
        <w:div w:id="40520093">
          <w:marLeft w:val="720"/>
          <w:marRight w:val="720"/>
          <w:marTop w:val="100"/>
          <w:marBottom w:val="100"/>
          <w:divBdr>
            <w:top w:val="none" w:sz="0" w:space="0" w:color="auto"/>
            <w:left w:val="none" w:sz="0" w:space="0" w:color="auto"/>
            <w:bottom w:val="none" w:sz="0" w:space="0" w:color="auto"/>
            <w:right w:val="none" w:sz="0" w:space="0" w:color="auto"/>
          </w:divBdr>
          <w:divsChild>
            <w:div w:id="4052014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20095">
      <w:marLeft w:val="0"/>
      <w:marRight w:val="0"/>
      <w:marTop w:val="0"/>
      <w:marBottom w:val="0"/>
      <w:divBdr>
        <w:top w:val="none" w:sz="0" w:space="0" w:color="auto"/>
        <w:left w:val="none" w:sz="0" w:space="0" w:color="auto"/>
        <w:bottom w:val="none" w:sz="0" w:space="0" w:color="auto"/>
        <w:right w:val="none" w:sz="0" w:space="0" w:color="auto"/>
      </w:divBdr>
    </w:div>
    <w:div w:id="40520096">
      <w:marLeft w:val="0"/>
      <w:marRight w:val="0"/>
      <w:marTop w:val="0"/>
      <w:marBottom w:val="0"/>
      <w:divBdr>
        <w:top w:val="none" w:sz="0" w:space="0" w:color="auto"/>
        <w:left w:val="none" w:sz="0" w:space="0" w:color="auto"/>
        <w:bottom w:val="none" w:sz="0" w:space="0" w:color="auto"/>
        <w:right w:val="none" w:sz="0" w:space="0" w:color="auto"/>
      </w:divBdr>
    </w:div>
    <w:div w:id="40520098">
      <w:marLeft w:val="0"/>
      <w:marRight w:val="0"/>
      <w:marTop w:val="0"/>
      <w:marBottom w:val="0"/>
      <w:divBdr>
        <w:top w:val="none" w:sz="0" w:space="0" w:color="auto"/>
        <w:left w:val="none" w:sz="0" w:space="0" w:color="auto"/>
        <w:bottom w:val="none" w:sz="0" w:space="0" w:color="auto"/>
        <w:right w:val="none" w:sz="0" w:space="0" w:color="auto"/>
      </w:divBdr>
    </w:div>
    <w:div w:id="40520099">
      <w:marLeft w:val="0"/>
      <w:marRight w:val="0"/>
      <w:marTop w:val="0"/>
      <w:marBottom w:val="0"/>
      <w:divBdr>
        <w:top w:val="none" w:sz="0" w:space="0" w:color="auto"/>
        <w:left w:val="none" w:sz="0" w:space="0" w:color="auto"/>
        <w:bottom w:val="none" w:sz="0" w:space="0" w:color="auto"/>
        <w:right w:val="none" w:sz="0" w:space="0" w:color="auto"/>
      </w:divBdr>
    </w:div>
    <w:div w:id="40520100">
      <w:marLeft w:val="0"/>
      <w:marRight w:val="0"/>
      <w:marTop w:val="0"/>
      <w:marBottom w:val="0"/>
      <w:divBdr>
        <w:top w:val="none" w:sz="0" w:space="0" w:color="auto"/>
        <w:left w:val="none" w:sz="0" w:space="0" w:color="auto"/>
        <w:bottom w:val="none" w:sz="0" w:space="0" w:color="auto"/>
        <w:right w:val="none" w:sz="0" w:space="0" w:color="auto"/>
      </w:divBdr>
    </w:div>
    <w:div w:id="40520101">
      <w:marLeft w:val="0"/>
      <w:marRight w:val="0"/>
      <w:marTop w:val="0"/>
      <w:marBottom w:val="0"/>
      <w:divBdr>
        <w:top w:val="none" w:sz="0" w:space="0" w:color="auto"/>
        <w:left w:val="none" w:sz="0" w:space="0" w:color="auto"/>
        <w:bottom w:val="none" w:sz="0" w:space="0" w:color="auto"/>
        <w:right w:val="none" w:sz="0" w:space="0" w:color="auto"/>
      </w:divBdr>
    </w:div>
    <w:div w:id="40520102">
      <w:marLeft w:val="0"/>
      <w:marRight w:val="0"/>
      <w:marTop w:val="0"/>
      <w:marBottom w:val="0"/>
      <w:divBdr>
        <w:top w:val="none" w:sz="0" w:space="0" w:color="auto"/>
        <w:left w:val="none" w:sz="0" w:space="0" w:color="auto"/>
        <w:bottom w:val="none" w:sz="0" w:space="0" w:color="auto"/>
        <w:right w:val="none" w:sz="0" w:space="0" w:color="auto"/>
      </w:divBdr>
      <w:divsChild>
        <w:div w:id="40520031">
          <w:marLeft w:val="0"/>
          <w:marRight w:val="0"/>
          <w:marTop w:val="0"/>
          <w:marBottom w:val="0"/>
          <w:divBdr>
            <w:top w:val="none" w:sz="0" w:space="0" w:color="auto"/>
            <w:left w:val="none" w:sz="0" w:space="0" w:color="auto"/>
            <w:bottom w:val="none" w:sz="0" w:space="0" w:color="auto"/>
            <w:right w:val="none" w:sz="0" w:space="0" w:color="auto"/>
          </w:divBdr>
        </w:div>
        <w:div w:id="40520061">
          <w:marLeft w:val="0"/>
          <w:marRight w:val="0"/>
          <w:marTop w:val="0"/>
          <w:marBottom w:val="0"/>
          <w:divBdr>
            <w:top w:val="none" w:sz="0" w:space="0" w:color="auto"/>
            <w:left w:val="none" w:sz="0" w:space="0" w:color="auto"/>
            <w:bottom w:val="none" w:sz="0" w:space="0" w:color="auto"/>
            <w:right w:val="none" w:sz="0" w:space="0" w:color="auto"/>
          </w:divBdr>
        </w:div>
        <w:div w:id="40520070">
          <w:marLeft w:val="0"/>
          <w:marRight w:val="0"/>
          <w:marTop w:val="0"/>
          <w:marBottom w:val="0"/>
          <w:divBdr>
            <w:top w:val="none" w:sz="0" w:space="0" w:color="auto"/>
            <w:left w:val="none" w:sz="0" w:space="0" w:color="auto"/>
            <w:bottom w:val="none" w:sz="0" w:space="0" w:color="auto"/>
            <w:right w:val="none" w:sz="0" w:space="0" w:color="auto"/>
          </w:divBdr>
        </w:div>
      </w:divsChild>
    </w:div>
    <w:div w:id="40520103">
      <w:marLeft w:val="0"/>
      <w:marRight w:val="0"/>
      <w:marTop w:val="0"/>
      <w:marBottom w:val="0"/>
      <w:divBdr>
        <w:top w:val="none" w:sz="0" w:space="0" w:color="auto"/>
        <w:left w:val="none" w:sz="0" w:space="0" w:color="auto"/>
        <w:bottom w:val="none" w:sz="0" w:space="0" w:color="auto"/>
        <w:right w:val="none" w:sz="0" w:space="0" w:color="auto"/>
      </w:divBdr>
    </w:div>
    <w:div w:id="40520104">
      <w:marLeft w:val="0"/>
      <w:marRight w:val="0"/>
      <w:marTop w:val="0"/>
      <w:marBottom w:val="0"/>
      <w:divBdr>
        <w:top w:val="none" w:sz="0" w:space="0" w:color="auto"/>
        <w:left w:val="none" w:sz="0" w:space="0" w:color="auto"/>
        <w:bottom w:val="none" w:sz="0" w:space="0" w:color="auto"/>
        <w:right w:val="none" w:sz="0" w:space="0" w:color="auto"/>
      </w:divBdr>
    </w:div>
    <w:div w:id="40520105">
      <w:marLeft w:val="0"/>
      <w:marRight w:val="0"/>
      <w:marTop w:val="0"/>
      <w:marBottom w:val="0"/>
      <w:divBdr>
        <w:top w:val="none" w:sz="0" w:space="0" w:color="auto"/>
        <w:left w:val="none" w:sz="0" w:space="0" w:color="auto"/>
        <w:bottom w:val="none" w:sz="0" w:space="0" w:color="auto"/>
        <w:right w:val="none" w:sz="0" w:space="0" w:color="auto"/>
      </w:divBdr>
    </w:div>
    <w:div w:id="40520106">
      <w:marLeft w:val="0"/>
      <w:marRight w:val="0"/>
      <w:marTop w:val="0"/>
      <w:marBottom w:val="0"/>
      <w:divBdr>
        <w:top w:val="none" w:sz="0" w:space="0" w:color="auto"/>
        <w:left w:val="none" w:sz="0" w:space="0" w:color="auto"/>
        <w:bottom w:val="none" w:sz="0" w:space="0" w:color="auto"/>
        <w:right w:val="none" w:sz="0" w:space="0" w:color="auto"/>
      </w:divBdr>
    </w:div>
    <w:div w:id="40520107">
      <w:marLeft w:val="0"/>
      <w:marRight w:val="0"/>
      <w:marTop w:val="0"/>
      <w:marBottom w:val="0"/>
      <w:divBdr>
        <w:top w:val="none" w:sz="0" w:space="0" w:color="auto"/>
        <w:left w:val="none" w:sz="0" w:space="0" w:color="auto"/>
        <w:bottom w:val="none" w:sz="0" w:space="0" w:color="auto"/>
        <w:right w:val="none" w:sz="0" w:space="0" w:color="auto"/>
      </w:divBdr>
    </w:div>
    <w:div w:id="40520108">
      <w:marLeft w:val="0"/>
      <w:marRight w:val="0"/>
      <w:marTop w:val="0"/>
      <w:marBottom w:val="0"/>
      <w:divBdr>
        <w:top w:val="none" w:sz="0" w:space="0" w:color="auto"/>
        <w:left w:val="none" w:sz="0" w:space="0" w:color="auto"/>
        <w:bottom w:val="none" w:sz="0" w:space="0" w:color="auto"/>
        <w:right w:val="none" w:sz="0" w:space="0" w:color="auto"/>
      </w:divBdr>
    </w:div>
    <w:div w:id="40520109">
      <w:marLeft w:val="0"/>
      <w:marRight w:val="0"/>
      <w:marTop w:val="0"/>
      <w:marBottom w:val="0"/>
      <w:divBdr>
        <w:top w:val="none" w:sz="0" w:space="0" w:color="auto"/>
        <w:left w:val="none" w:sz="0" w:space="0" w:color="auto"/>
        <w:bottom w:val="none" w:sz="0" w:space="0" w:color="auto"/>
        <w:right w:val="none" w:sz="0" w:space="0" w:color="auto"/>
      </w:divBdr>
    </w:div>
    <w:div w:id="40520110">
      <w:marLeft w:val="0"/>
      <w:marRight w:val="0"/>
      <w:marTop w:val="0"/>
      <w:marBottom w:val="0"/>
      <w:divBdr>
        <w:top w:val="none" w:sz="0" w:space="0" w:color="auto"/>
        <w:left w:val="none" w:sz="0" w:space="0" w:color="auto"/>
        <w:bottom w:val="none" w:sz="0" w:space="0" w:color="auto"/>
        <w:right w:val="none" w:sz="0" w:space="0" w:color="auto"/>
      </w:divBdr>
    </w:div>
    <w:div w:id="40520111">
      <w:marLeft w:val="0"/>
      <w:marRight w:val="0"/>
      <w:marTop w:val="0"/>
      <w:marBottom w:val="0"/>
      <w:divBdr>
        <w:top w:val="none" w:sz="0" w:space="0" w:color="auto"/>
        <w:left w:val="none" w:sz="0" w:space="0" w:color="auto"/>
        <w:bottom w:val="none" w:sz="0" w:space="0" w:color="auto"/>
        <w:right w:val="none" w:sz="0" w:space="0" w:color="auto"/>
      </w:divBdr>
      <w:divsChild>
        <w:div w:id="40520075">
          <w:marLeft w:val="720"/>
          <w:marRight w:val="720"/>
          <w:marTop w:val="100"/>
          <w:marBottom w:val="100"/>
          <w:divBdr>
            <w:top w:val="none" w:sz="0" w:space="0" w:color="auto"/>
            <w:left w:val="none" w:sz="0" w:space="0" w:color="auto"/>
            <w:bottom w:val="none" w:sz="0" w:space="0" w:color="auto"/>
            <w:right w:val="none" w:sz="0" w:space="0" w:color="auto"/>
          </w:divBdr>
          <w:divsChild>
            <w:div w:id="405201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20112">
      <w:marLeft w:val="0"/>
      <w:marRight w:val="0"/>
      <w:marTop w:val="0"/>
      <w:marBottom w:val="0"/>
      <w:divBdr>
        <w:top w:val="none" w:sz="0" w:space="0" w:color="auto"/>
        <w:left w:val="none" w:sz="0" w:space="0" w:color="auto"/>
        <w:bottom w:val="none" w:sz="0" w:space="0" w:color="auto"/>
        <w:right w:val="none" w:sz="0" w:space="0" w:color="auto"/>
      </w:divBdr>
    </w:div>
    <w:div w:id="40520113">
      <w:marLeft w:val="0"/>
      <w:marRight w:val="0"/>
      <w:marTop w:val="0"/>
      <w:marBottom w:val="0"/>
      <w:divBdr>
        <w:top w:val="none" w:sz="0" w:space="0" w:color="auto"/>
        <w:left w:val="none" w:sz="0" w:space="0" w:color="auto"/>
        <w:bottom w:val="none" w:sz="0" w:space="0" w:color="auto"/>
        <w:right w:val="none" w:sz="0" w:space="0" w:color="auto"/>
      </w:divBdr>
    </w:div>
    <w:div w:id="40520114">
      <w:marLeft w:val="0"/>
      <w:marRight w:val="0"/>
      <w:marTop w:val="0"/>
      <w:marBottom w:val="0"/>
      <w:divBdr>
        <w:top w:val="none" w:sz="0" w:space="0" w:color="auto"/>
        <w:left w:val="none" w:sz="0" w:space="0" w:color="auto"/>
        <w:bottom w:val="none" w:sz="0" w:space="0" w:color="auto"/>
        <w:right w:val="none" w:sz="0" w:space="0" w:color="auto"/>
      </w:divBdr>
    </w:div>
    <w:div w:id="40520115">
      <w:marLeft w:val="0"/>
      <w:marRight w:val="0"/>
      <w:marTop w:val="0"/>
      <w:marBottom w:val="0"/>
      <w:divBdr>
        <w:top w:val="none" w:sz="0" w:space="0" w:color="auto"/>
        <w:left w:val="none" w:sz="0" w:space="0" w:color="auto"/>
        <w:bottom w:val="none" w:sz="0" w:space="0" w:color="auto"/>
        <w:right w:val="none" w:sz="0" w:space="0" w:color="auto"/>
      </w:divBdr>
    </w:div>
    <w:div w:id="40520117">
      <w:marLeft w:val="0"/>
      <w:marRight w:val="0"/>
      <w:marTop w:val="0"/>
      <w:marBottom w:val="0"/>
      <w:divBdr>
        <w:top w:val="none" w:sz="0" w:space="0" w:color="auto"/>
        <w:left w:val="none" w:sz="0" w:space="0" w:color="auto"/>
        <w:bottom w:val="none" w:sz="0" w:space="0" w:color="auto"/>
        <w:right w:val="none" w:sz="0" w:space="0" w:color="auto"/>
      </w:divBdr>
    </w:div>
    <w:div w:id="40520118">
      <w:marLeft w:val="0"/>
      <w:marRight w:val="0"/>
      <w:marTop w:val="0"/>
      <w:marBottom w:val="0"/>
      <w:divBdr>
        <w:top w:val="none" w:sz="0" w:space="0" w:color="auto"/>
        <w:left w:val="none" w:sz="0" w:space="0" w:color="auto"/>
        <w:bottom w:val="none" w:sz="0" w:space="0" w:color="auto"/>
        <w:right w:val="none" w:sz="0" w:space="0" w:color="auto"/>
      </w:divBdr>
    </w:div>
    <w:div w:id="40520121">
      <w:marLeft w:val="0"/>
      <w:marRight w:val="0"/>
      <w:marTop w:val="0"/>
      <w:marBottom w:val="0"/>
      <w:divBdr>
        <w:top w:val="none" w:sz="0" w:space="0" w:color="auto"/>
        <w:left w:val="none" w:sz="0" w:space="0" w:color="auto"/>
        <w:bottom w:val="none" w:sz="0" w:space="0" w:color="auto"/>
        <w:right w:val="none" w:sz="0" w:space="0" w:color="auto"/>
      </w:divBdr>
    </w:div>
    <w:div w:id="40520122">
      <w:marLeft w:val="0"/>
      <w:marRight w:val="0"/>
      <w:marTop w:val="0"/>
      <w:marBottom w:val="0"/>
      <w:divBdr>
        <w:top w:val="none" w:sz="0" w:space="0" w:color="auto"/>
        <w:left w:val="none" w:sz="0" w:space="0" w:color="auto"/>
        <w:bottom w:val="none" w:sz="0" w:space="0" w:color="auto"/>
        <w:right w:val="none" w:sz="0" w:space="0" w:color="auto"/>
      </w:divBdr>
    </w:div>
    <w:div w:id="40520123">
      <w:marLeft w:val="0"/>
      <w:marRight w:val="0"/>
      <w:marTop w:val="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0125">
      <w:marLeft w:val="0"/>
      <w:marRight w:val="0"/>
      <w:marTop w:val="0"/>
      <w:marBottom w:val="0"/>
      <w:divBdr>
        <w:top w:val="none" w:sz="0" w:space="0" w:color="auto"/>
        <w:left w:val="none" w:sz="0" w:space="0" w:color="auto"/>
        <w:bottom w:val="none" w:sz="0" w:space="0" w:color="auto"/>
        <w:right w:val="none" w:sz="0" w:space="0" w:color="auto"/>
      </w:divBdr>
    </w:div>
    <w:div w:id="40520126">
      <w:marLeft w:val="0"/>
      <w:marRight w:val="0"/>
      <w:marTop w:val="0"/>
      <w:marBottom w:val="0"/>
      <w:divBdr>
        <w:top w:val="none" w:sz="0" w:space="0" w:color="auto"/>
        <w:left w:val="none" w:sz="0" w:space="0" w:color="auto"/>
        <w:bottom w:val="none" w:sz="0" w:space="0" w:color="auto"/>
        <w:right w:val="none" w:sz="0" w:space="0" w:color="auto"/>
      </w:divBdr>
    </w:div>
    <w:div w:id="40520127">
      <w:marLeft w:val="0"/>
      <w:marRight w:val="0"/>
      <w:marTop w:val="0"/>
      <w:marBottom w:val="0"/>
      <w:divBdr>
        <w:top w:val="none" w:sz="0" w:space="0" w:color="auto"/>
        <w:left w:val="none" w:sz="0" w:space="0" w:color="auto"/>
        <w:bottom w:val="none" w:sz="0" w:space="0" w:color="auto"/>
        <w:right w:val="none" w:sz="0" w:space="0" w:color="auto"/>
      </w:divBdr>
    </w:div>
    <w:div w:id="40520128">
      <w:marLeft w:val="0"/>
      <w:marRight w:val="0"/>
      <w:marTop w:val="0"/>
      <w:marBottom w:val="0"/>
      <w:divBdr>
        <w:top w:val="none" w:sz="0" w:space="0" w:color="auto"/>
        <w:left w:val="none" w:sz="0" w:space="0" w:color="auto"/>
        <w:bottom w:val="none" w:sz="0" w:space="0" w:color="auto"/>
        <w:right w:val="none" w:sz="0" w:space="0" w:color="auto"/>
      </w:divBdr>
    </w:div>
    <w:div w:id="40520130">
      <w:marLeft w:val="0"/>
      <w:marRight w:val="0"/>
      <w:marTop w:val="0"/>
      <w:marBottom w:val="0"/>
      <w:divBdr>
        <w:top w:val="none" w:sz="0" w:space="0" w:color="auto"/>
        <w:left w:val="none" w:sz="0" w:space="0" w:color="auto"/>
        <w:bottom w:val="none" w:sz="0" w:space="0" w:color="auto"/>
        <w:right w:val="none" w:sz="0" w:space="0" w:color="auto"/>
      </w:divBdr>
    </w:div>
    <w:div w:id="40520131">
      <w:marLeft w:val="0"/>
      <w:marRight w:val="0"/>
      <w:marTop w:val="0"/>
      <w:marBottom w:val="0"/>
      <w:divBdr>
        <w:top w:val="none" w:sz="0" w:space="0" w:color="auto"/>
        <w:left w:val="none" w:sz="0" w:space="0" w:color="auto"/>
        <w:bottom w:val="none" w:sz="0" w:space="0" w:color="auto"/>
        <w:right w:val="none" w:sz="0" w:space="0" w:color="auto"/>
      </w:divBdr>
    </w:div>
    <w:div w:id="40520133">
      <w:marLeft w:val="0"/>
      <w:marRight w:val="0"/>
      <w:marTop w:val="0"/>
      <w:marBottom w:val="0"/>
      <w:divBdr>
        <w:top w:val="none" w:sz="0" w:space="0" w:color="auto"/>
        <w:left w:val="none" w:sz="0" w:space="0" w:color="auto"/>
        <w:bottom w:val="none" w:sz="0" w:space="0" w:color="auto"/>
        <w:right w:val="none" w:sz="0" w:space="0" w:color="auto"/>
      </w:divBdr>
    </w:div>
    <w:div w:id="40520134">
      <w:marLeft w:val="0"/>
      <w:marRight w:val="0"/>
      <w:marTop w:val="0"/>
      <w:marBottom w:val="0"/>
      <w:divBdr>
        <w:top w:val="none" w:sz="0" w:space="0" w:color="auto"/>
        <w:left w:val="none" w:sz="0" w:space="0" w:color="auto"/>
        <w:bottom w:val="none" w:sz="0" w:space="0" w:color="auto"/>
        <w:right w:val="none" w:sz="0" w:space="0" w:color="auto"/>
      </w:divBdr>
    </w:div>
    <w:div w:id="40520135">
      <w:marLeft w:val="0"/>
      <w:marRight w:val="0"/>
      <w:marTop w:val="0"/>
      <w:marBottom w:val="0"/>
      <w:divBdr>
        <w:top w:val="none" w:sz="0" w:space="0" w:color="auto"/>
        <w:left w:val="none" w:sz="0" w:space="0" w:color="auto"/>
        <w:bottom w:val="none" w:sz="0" w:space="0" w:color="auto"/>
        <w:right w:val="none" w:sz="0" w:space="0" w:color="auto"/>
      </w:divBdr>
    </w:div>
    <w:div w:id="40520136">
      <w:marLeft w:val="0"/>
      <w:marRight w:val="0"/>
      <w:marTop w:val="0"/>
      <w:marBottom w:val="0"/>
      <w:divBdr>
        <w:top w:val="none" w:sz="0" w:space="0" w:color="auto"/>
        <w:left w:val="none" w:sz="0" w:space="0" w:color="auto"/>
        <w:bottom w:val="none" w:sz="0" w:space="0" w:color="auto"/>
        <w:right w:val="none" w:sz="0" w:space="0" w:color="auto"/>
      </w:divBdr>
    </w:div>
    <w:div w:id="40520137">
      <w:marLeft w:val="0"/>
      <w:marRight w:val="0"/>
      <w:marTop w:val="0"/>
      <w:marBottom w:val="0"/>
      <w:divBdr>
        <w:top w:val="none" w:sz="0" w:space="0" w:color="auto"/>
        <w:left w:val="none" w:sz="0" w:space="0" w:color="auto"/>
        <w:bottom w:val="none" w:sz="0" w:space="0" w:color="auto"/>
        <w:right w:val="none" w:sz="0" w:space="0" w:color="auto"/>
      </w:divBdr>
    </w:div>
    <w:div w:id="40520138">
      <w:marLeft w:val="0"/>
      <w:marRight w:val="0"/>
      <w:marTop w:val="0"/>
      <w:marBottom w:val="0"/>
      <w:divBdr>
        <w:top w:val="none" w:sz="0" w:space="0" w:color="auto"/>
        <w:left w:val="none" w:sz="0" w:space="0" w:color="auto"/>
        <w:bottom w:val="none" w:sz="0" w:space="0" w:color="auto"/>
        <w:right w:val="none" w:sz="0" w:space="0" w:color="auto"/>
      </w:divBdr>
    </w:div>
    <w:div w:id="40520139">
      <w:marLeft w:val="0"/>
      <w:marRight w:val="0"/>
      <w:marTop w:val="0"/>
      <w:marBottom w:val="0"/>
      <w:divBdr>
        <w:top w:val="none" w:sz="0" w:space="0" w:color="auto"/>
        <w:left w:val="none" w:sz="0" w:space="0" w:color="auto"/>
        <w:bottom w:val="none" w:sz="0" w:space="0" w:color="auto"/>
        <w:right w:val="none" w:sz="0" w:space="0" w:color="auto"/>
      </w:divBdr>
    </w:div>
    <w:div w:id="40520140">
      <w:marLeft w:val="0"/>
      <w:marRight w:val="0"/>
      <w:marTop w:val="0"/>
      <w:marBottom w:val="0"/>
      <w:divBdr>
        <w:top w:val="none" w:sz="0" w:space="0" w:color="auto"/>
        <w:left w:val="none" w:sz="0" w:space="0" w:color="auto"/>
        <w:bottom w:val="none" w:sz="0" w:space="0" w:color="auto"/>
        <w:right w:val="none" w:sz="0" w:space="0" w:color="auto"/>
      </w:divBdr>
    </w:div>
    <w:div w:id="40520141">
      <w:marLeft w:val="0"/>
      <w:marRight w:val="0"/>
      <w:marTop w:val="0"/>
      <w:marBottom w:val="0"/>
      <w:divBdr>
        <w:top w:val="none" w:sz="0" w:space="0" w:color="auto"/>
        <w:left w:val="none" w:sz="0" w:space="0" w:color="auto"/>
        <w:bottom w:val="none" w:sz="0" w:space="0" w:color="auto"/>
        <w:right w:val="none" w:sz="0" w:space="0" w:color="auto"/>
      </w:divBdr>
    </w:div>
    <w:div w:id="405201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José Luís Tavares</dc:creator>
  <cp:keywords/>
  <dc:description/>
  <cp:lastModifiedBy>direito</cp:lastModifiedBy>
  <cp:revision>2</cp:revision>
  <cp:lastPrinted>2015-08-03T23:28:00Z</cp:lastPrinted>
  <dcterms:created xsi:type="dcterms:W3CDTF">2015-08-12T15:38:00Z</dcterms:created>
  <dcterms:modified xsi:type="dcterms:W3CDTF">2015-08-12T15:38:00Z</dcterms:modified>
</cp:coreProperties>
</file>