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25" w:rsidRDefault="002E0C25" w:rsidP="002E0C25">
      <w:pPr>
        <w:spacing w:line="360" w:lineRule="auto"/>
        <w:ind w:firstLine="709"/>
        <w:rPr>
          <w:rFonts w:ascii="Calibri" w:hAnsi="Calibri" w:cs="Calibri"/>
          <w:lang w:val="pt-PT"/>
        </w:rPr>
      </w:pPr>
      <w:r>
        <w:rPr>
          <w:rFonts w:ascii="Calibri" w:hAnsi="Calibri" w:cs="Calibri"/>
          <w:lang w:val="pt-PT"/>
        </w:rPr>
        <w:t>Ementa: Documentos internacionais de Proteção. Estrutura da OEA. Estrutura da Comissão. Processo: sistema de petições e casos individuais. Etapas de Admissibilidade. Produção de Provas. Reparações no sistema Interamericano. Grupos vulneráveis. Comparação entre Sistema Europeu e Sistema Interamericano. Parâmetros Interamericanos: direito a liberdade, acesso à informação, migração, direitos humanos e povos indígenas. Controle de Convencionalidade</w:t>
      </w:r>
    </w:p>
    <w:p w:rsidR="002E0C25" w:rsidRDefault="002E0C25" w:rsidP="002E0C25">
      <w:pPr>
        <w:spacing w:line="360" w:lineRule="auto"/>
        <w:ind w:firstLine="709"/>
        <w:rPr>
          <w:rFonts w:ascii="Calibri" w:hAnsi="Calibri" w:cs="Calibri"/>
          <w:lang w:val="pt-PT"/>
        </w:rPr>
      </w:pPr>
    </w:p>
    <w:p w:rsidR="002E0C25" w:rsidRDefault="002E0C25" w:rsidP="002E0C25">
      <w:pPr>
        <w:spacing w:line="360" w:lineRule="auto"/>
        <w:ind w:firstLine="709"/>
        <w:rPr>
          <w:rFonts w:ascii="Calibri" w:hAnsi="Calibri" w:cs="Calibri"/>
          <w:lang w:val="pt-PT"/>
        </w:rPr>
      </w:pPr>
      <w:r>
        <w:rPr>
          <w:rFonts w:ascii="Calibri" w:hAnsi="Calibri" w:cs="Calibri"/>
          <w:lang w:val="pt-PT"/>
        </w:rPr>
        <w:t>Bibliografia</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PIOVESAN, Flavia, Direitos humanos e justiça internacional: um estudo </w:t>
      </w:r>
      <w:proofErr w:type="gramStart"/>
      <w:r>
        <w:rPr>
          <w:rFonts w:ascii="ArialMT" w:hAnsi="ArialMT" w:cs="ArialMT"/>
          <w:noProof w:val="0"/>
          <w:color w:val="000000"/>
          <w:kern w:val="0"/>
          <w:lang w:eastAsia="pt-BR"/>
        </w:rPr>
        <w:t>comparativo</w:t>
      </w:r>
      <w:proofErr w:type="gramEnd"/>
    </w:p>
    <w:p w:rsidR="002E0C25" w:rsidRDefault="002E0C25" w:rsidP="002E0C25">
      <w:pPr>
        <w:suppressAutoHyphens w:val="0"/>
        <w:autoSpaceDE w:val="0"/>
        <w:autoSpaceDN w:val="0"/>
        <w:adjustRightInd w:val="0"/>
        <w:rPr>
          <w:rFonts w:ascii="ArialMT" w:hAnsi="ArialMT" w:cs="ArialMT"/>
          <w:noProof w:val="0"/>
          <w:color w:val="000000"/>
          <w:kern w:val="0"/>
          <w:lang w:eastAsia="pt-BR"/>
        </w:rPr>
      </w:pPr>
      <w:proofErr w:type="gramStart"/>
      <w:r>
        <w:rPr>
          <w:rFonts w:ascii="ArialMT" w:hAnsi="ArialMT" w:cs="ArialMT"/>
          <w:noProof w:val="0"/>
          <w:color w:val="000000"/>
          <w:kern w:val="0"/>
          <w:lang w:eastAsia="pt-BR"/>
        </w:rPr>
        <w:t>dos</w:t>
      </w:r>
      <w:proofErr w:type="gramEnd"/>
      <w:r>
        <w:rPr>
          <w:rFonts w:ascii="ArialMT" w:hAnsi="ArialMT" w:cs="ArialMT"/>
          <w:noProof w:val="0"/>
          <w:color w:val="000000"/>
          <w:kern w:val="0"/>
          <w:lang w:eastAsia="pt-BR"/>
        </w:rPr>
        <w:t xml:space="preserve"> sistemas regionais europeu, interamericano e africano. </w:t>
      </w:r>
      <w:proofErr w:type="gramStart"/>
      <w:r>
        <w:rPr>
          <w:rFonts w:ascii="ArialMT" w:hAnsi="ArialMT" w:cs="ArialMT"/>
          <w:noProof w:val="0"/>
          <w:color w:val="000000"/>
          <w:kern w:val="0"/>
          <w:lang w:eastAsia="pt-BR"/>
        </w:rPr>
        <w:t>6</w:t>
      </w:r>
      <w:proofErr w:type="gramEnd"/>
      <w:r>
        <w:rPr>
          <w:rFonts w:ascii="ArialMT" w:hAnsi="ArialMT" w:cs="ArialMT"/>
          <w:noProof w:val="0"/>
          <w:color w:val="000000"/>
          <w:kern w:val="0"/>
          <w:lang w:eastAsia="pt-BR"/>
        </w:rPr>
        <w:t xml:space="preserve"> ed. rev., </w:t>
      </w:r>
      <w:proofErr w:type="spellStart"/>
      <w:r>
        <w:rPr>
          <w:rFonts w:ascii="ArialMT" w:hAnsi="ArialMT" w:cs="ArialMT"/>
          <w:noProof w:val="0"/>
          <w:color w:val="000000"/>
          <w:kern w:val="0"/>
          <w:lang w:eastAsia="pt-BR"/>
        </w:rPr>
        <w:t>ampl</w:t>
      </w:r>
      <w:proofErr w:type="spellEnd"/>
      <w:r>
        <w:rPr>
          <w:rFonts w:ascii="ArialMT" w:hAnsi="ArialMT" w:cs="ArialMT"/>
          <w:noProof w:val="0"/>
          <w:color w:val="000000"/>
          <w:kern w:val="0"/>
          <w:lang w:eastAsia="pt-BR"/>
        </w:rPr>
        <w:t xml:space="preserve">. </w:t>
      </w:r>
      <w:proofErr w:type="gramStart"/>
      <w:r>
        <w:rPr>
          <w:rFonts w:ascii="ArialMT" w:hAnsi="ArialMT" w:cs="ArialMT"/>
          <w:noProof w:val="0"/>
          <w:color w:val="000000"/>
          <w:kern w:val="0"/>
          <w:lang w:eastAsia="pt-BR"/>
        </w:rPr>
        <w:t>e</w:t>
      </w:r>
      <w:proofErr w:type="gramEnd"/>
      <w:r>
        <w:rPr>
          <w:rFonts w:ascii="ArialMT" w:hAnsi="ArialMT" w:cs="ArialMT"/>
          <w:noProof w:val="0"/>
          <w:color w:val="000000"/>
          <w:kern w:val="0"/>
          <w:lang w:eastAsia="pt-BR"/>
        </w:rPr>
        <w:t xml:space="preserve"> atual. -</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São Paulo: </w:t>
      </w:r>
      <w:proofErr w:type="gramStart"/>
      <w:r>
        <w:rPr>
          <w:rFonts w:ascii="ArialMT" w:hAnsi="ArialMT" w:cs="ArialMT"/>
          <w:noProof w:val="0"/>
          <w:color w:val="000000"/>
          <w:kern w:val="0"/>
          <w:lang w:eastAsia="pt-BR"/>
        </w:rPr>
        <w:t>Saraiva ,</w:t>
      </w:r>
      <w:proofErr w:type="gramEnd"/>
      <w:r>
        <w:rPr>
          <w:rFonts w:ascii="ArialMT" w:hAnsi="ArialMT" w:cs="ArialMT"/>
          <w:noProof w:val="0"/>
          <w:color w:val="000000"/>
          <w:kern w:val="0"/>
          <w:lang w:eastAsia="pt-BR"/>
        </w:rPr>
        <w:t xml:space="preserve"> 2015.</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MAZZUOLI, Valério de Oliveira; O Sistema Regional Europeu de Proteção </w:t>
      </w:r>
      <w:proofErr w:type="gramStart"/>
      <w:r>
        <w:rPr>
          <w:rFonts w:ascii="ArialMT" w:hAnsi="ArialMT" w:cs="ArialMT"/>
          <w:noProof w:val="0"/>
          <w:color w:val="000000"/>
          <w:kern w:val="0"/>
          <w:lang w:eastAsia="pt-BR"/>
        </w:rPr>
        <w:t>aos</w:t>
      </w:r>
      <w:proofErr w:type="gramEnd"/>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Direitos Humanos, In, Cadernos da Escola de Direito e Relações Internacionais,</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Curitiba, </w:t>
      </w:r>
      <w:proofErr w:type="gramStart"/>
      <w:r>
        <w:rPr>
          <w:rFonts w:ascii="ArialMT" w:hAnsi="ArialMT" w:cs="ArialMT"/>
          <w:noProof w:val="0"/>
          <w:color w:val="000000"/>
          <w:kern w:val="0"/>
          <w:lang w:eastAsia="pt-BR"/>
        </w:rPr>
        <w:t>13:32</w:t>
      </w:r>
      <w:proofErr w:type="gramEnd"/>
      <w:r>
        <w:rPr>
          <w:rFonts w:ascii="ArialMT" w:hAnsi="ArialMT" w:cs="ArialMT"/>
          <w:noProof w:val="0"/>
          <w:color w:val="000000"/>
          <w:kern w:val="0"/>
          <w:lang w:eastAsia="pt-BR"/>
        </w:rPr>
        <w:t>-58 vol. 1., p.</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TIBIRIÇA, Sérgio; Farah, Giovana Eva Matos - Sistemas </w:t>
      </w:r>
      <w:proofErr w:type="spellStart"/>
      <w:r>
        <w:rPr>
          <w:rFonts w:ascii="ArialMT" w:hAnsi="ArialMT" w:cs="ArialMT"/>
          <w:noProof w:val="0"/>
          <w:color w:val="000000"/>
          <w:kern w:val="0"/>
          <w:lang w:eastAsia="pt-BR"/>
        </w:rPr>
        <w:t>regoionais</w:t>
      </w:r>
      <w:proofErr w:type="spellEnd"/>
      <w:r>
        <w:rPr>
          <w:rFonts w:ascii="ArialMT" w:hAnsi="ArialMT" w:cs="ArialMT"/>
          <w:noProof w:val="0"/>
          <w:color w:val="000000"/>
          <w:kern w:val="0"/>
          <w:lang w:eastAsia="pt-BR"/>
        </w:rPr>
        <w:t xml:space="preserve"> de proteção </w:t>
      </w:r>
      <w:proofErr w:type="gramStart"/>
      <w:r>
        <w:rPr>
          <w:rFonts w:ascii="ArialMT" w:hAnsi="ArialMT" w:cs="ArialMT"/>
          <w:noProof w:val="0"/>
          <w:color w:val="000000"/>
          <w:kern w:val="0"/>
          <w:lang w:eastAsia="pt-BR"/>
        </w:rPr>
        <w:t>aos</w:t>
      </w:r>
      <w:proofErr w:type="gramEnd"/>
    </w:p>
    <w:p w:rsidR="002E0C25" w:rsidRDefault="002E0C25" w:rsidP="002E0C25">
      <w:pPr>
        <w:suppressAutoHyphens w:val="0"/>
        <w:autoSpaceDE w:val="0"/>
        <w:autoSpaceDN w:val="0"/>
        <w:adjustRightInd w:val="0"/>
        <w:rPr>
          <w:rFonts w:ascii="ArialMT" w:hAnsi="ArialMT" w:cs="ArialMT"/>
          <w:noProof w:val="0"/>
          <w:color w:val="000000"/>
          <w:kern w:val="0"/>
          <w:lang w:eastAsia="pt-BR"/>
        </w:rPr>
      </w:pPr>
      <w:proofErr w:type="gramStart"/>
      <w:r>
        <w:rPr>
          <w:rFonts w:ascii="ArialMT" w:hAnsi="ArialMT" w:cs="ArialMT"/>
          <w:noProof w:val="0"/>
          <w:color w:val="000000"/>
          <w:kern w:val="0"/>
          <w:lang w:eastAsia="pt-BR"/>
        </w:rPr>
        <w:t>direitos</w:t>
      </w:r>
      <w:proofErr w:type="gramEnd"/>
      <w:r>
        <w:rPr>
          <w:rFonts w:ascii="ArialMT" w:hAnsi="ArialMT" w:cs="ArialMT"/>
          <w:noProof w:val="0"/>
          <w:color w:val="000000"/>
          <w:kern w:val="0"/>
          <w:lang w:eastAsia="pt-BR"/>
        </w:rPr>
        <w:t xml:space="preserve"> humanos: aspectos fundamentais. In Revista do Direito Público, Londrina,</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proofErr w:type="gramStart"/>
      <w:r>
        <w:rPr>
          <w:rFonts w:ascii="ArialMT" w:hAnsi="ArialMT" w:cs="ArialMT"/>
          <w:noProof w:val="0"/>
          <w:color w:val="000000"/>
          <w:kern w:val="0"/>
          <w:lang w:eastAsia="pt-BR"/>
        </w:rPr>
        <w:t>v.</w:t>
      </w:r>
      <w:proofErr w:type="gramEnd"/>
      <w:r>
        <w:rPr>
          <w:rFonts w:ascii="ArialMT" w:hAnsi="ArialMT" w:cs="ArialMT"/>
          <w:noProof w:val="0"/>
          <w:color w:val="000000"/>
          <w:kern w:val="0"/>
          <w:lang w:eastAsia="pt-BR"/>
        </w:rPr>
        <w:t>9, n2, p. 25-39, mai./ago.2014</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proofErr w:type="gramStart"/>
      <w:r>
        <w:rPr>
          <w:rFonts w:ascii="ArialMT" w:hAnsi="ArialMT" w:cs="ArialMT"/>
          <w:noProof w:val="0"/>
          <w:color w:val="000000"/>
          <w:kern w:val="0"/>
          <w:lang w:eastAsia="pt-BR"/>
        </w:rPr>
        <w:t>BRITO,</w:t>
      </w:r>
      <w:proofErr w:type="gramEnd"/>
      <w:r>
        <w:rPr>
          <w:rFonts w:ascii="ArialMT" w:hAnsi="ArialMT" w:cs="ArialMT"/>
          <w:noProof w:val="0"/>
          <w:color w:val="000000"/>
          <w:kern w:val="0"/>
          <w:lang w:eastAsia="pt-BR"/>
        </w:rPr>
        <w:t xml:space="preserve"> Sérgio Ramos de Matos. Corte Interamericana de Direitos Humanos e Corte</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Europeia de Direitos Humanos: o crime de desaparecimento forçado de pessoas</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proofErr w:type="gramStart"/>
      <w:r>
        <w:rPr>
          <w:rFonts w:ascii="ArialMT" w:hAnsi="ArialMT" w:cs="ArialMT"/>
          <w:noProof w:val="0"/>
          <w:color w:val="000000"/>
          <w:kern w:val="0"/>
          <w:lang w:eastAsia="pt-BR"/>
        </w:rPr>
        <w:t>perante</w:t>
      </w:r>
      <w:proofErr w:type="gramEnd"/>
      <w:r>
        <w:rPr>
          <w:rFonts w:ascii="ArialMT" w:hAnsi="ArialMT" w:cs="ArialMT"/>
          <w:noProof w:val="0"/>
          <w:color w:val="000000"/>
          <w:kern w:val="0"/>
          <w:lang w:eastAsia="pt-BR"/>
        </w:rPr>
        <w:t xml:space="preserve"> os mecanismos protetivos da Organização dos Estados Americanos e do</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Conselho da Europa. Dissertação </w:t>
      </w:r>
      <w:proofErr w:type="gramStart"/>
      <w:r>
        <w:rPr>
          <w:rFonts w:ascii="ArialMT" w:hAnsi="ArialMT" w:cs="ArialMT"/>
          <w:noProof w:val="0"/>
          <w:color w:val="000000"/>
          <w:kern w:val="0"/>
          <w:lang w:eastAsia="pt-BR"/>
        </w:rPr>
        <w:t xml:space="preserve">( </w:t>
      </w:r>
      <w:proofErr w:type="gramEnd"/>
      <w:r>
        <w:rPr>
          <w:rFonts w:ascii="ArialMT" w:hAnsi="ArialMT" w:cs="ArialMT"/>
          <w:noProof w:val="0"/>
          <w:color w:val="000000"/>
          <w:kern w:val="0"/>
          <w:lang w:eastAsia="pt-BR"/>
        </w:rPr>
        <w:t>Mestrado) – Centro Universitário de Brasília.</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Programa de Mestrado em Direito, Brasília, 2012.</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Comissão Interamericana de Direitos Humanos – Sítio na Internet -</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http://www.oas.org/pt/cidh/</w:t>
      </w:r>
    </w:p>
    <w:p w:rsidR="002E0C25" w:rsidRDefault="002E0C25" w:rsidP="002E0C25">
      <w:pPr>
        <w:suppressAutoHyphens w:val="0"/>
        <w:autoSpaceDE w:val="0"/>
        <w:autoSpaceDN w:val="0"/>
        <w:adjustRightInd w:val="0"/>
        <w:rPr>
          <w:rFonts w:ascii="TimesNewRomanPSMT" w:hAnsi="TimesNewRomanPSMT" w:cs="TimesNewRomanPSMT"/>
          <w:noProof w:val="0"/>
          <w:color w:val="000000"/>
          <w:kern w:val="0"/>
          <w:sz w:val="20"/>
          <w:szCs w:val="20"/>
          <w:lang w:eastAsia="pt-BR"/>
        </w:rPr>
      </w:pPr>
      <w:r>
        <w:rPr>
          <w:rFonts w:ascii="TimesNewRomanPSMT" w:hAnsi="TimesNewRomanPSMT" w:cs="TimesNewRomanPSMT"/>
          <w:noProof w:val="0"/>
          <w:color w:val="000000"/>
          <w:kern w:val="0"/>
          <w:sz w:val="20"/>
          <w:szCs w:val="20"/>
          <w:lang w:eastAsia="pt-BR"/>
        </w:rPr>
        <w:t>§</w:t>
      </w:r>
    </w:p>
    <w:p w:rsidR="002E0C25" w:rsidRDefault="002E0C25" w:rsidP="002E0C25">
      <w:pPr>
        <w:suppressAutoHyphens w:val="0"/>
        <w:autoSpaceDE w:val="0"/>
        <w:autoSpaceDN w:val="0"/>
        <w:adjustRightInd w:val="0"/>
        <w:rPr>
          <w:rFonts w:ascii="ArialMT" w:hAnsi="ArialMT" w:cs="ArialMT"/>
          <w:noProof w:val="0"/>
          <w:color w:val="000081"/>
          <w:kern w:val="0"/>
          <w:lang w:eastAsia="pt-BR"/>
        </w:rPr>
      </w:pPr>
      <w:r>
        <w:rPr>
          <w:rFonts w:ascii="ArialMT" w:hAnsi="ArialMT" w:cs="ArialMT"/>
          <w:noProof w:val="0"/>
          <w:color w:val="000000"/>
          <w:kern w:val="0"/>
          <w:lang w:eastAsia="pt-BR"/>
        </w:rPr>
        <w:t xml:space="preserve">Corte Interamericana de Direitos Humanos - Sítio na </w:t>
      </w:r>
      <w:proofErr w:type="spellStart"/>
      <w:r>
        <w:rPr>
          <w:rFonts w:ascii="ArialMT" w:hAnsi="ArialMT" w:cs="ArialMT"/>
          <w:noProof w:val="0"/>
          <w:color w:val="000000"/>
          <w:kern w:val="0"/>
          <w:lang w:eastAsia="pt-BR"/>
        </w:rPr>
        <w:t>Internet</w:t>
      </w:r>
      <w:r>
        <w:rPr>
          <w:rFonts w:ascii="ArialMT" w:hAnsi="ArialMT" w:cs="ArialMT"/>
          <w:noProof w:val="0"/>
          <w:color w:val="000081"/>
          <w:kern w:val="0"/>
          <w:lang w:eastAsia="pt-BR"/>
        </w:rPr>
        <w:t>http</w:t>
      </w:r>
      <w:proofErr w:type="spellEnd"/>
      <w:r>
        <w:rPr>
          <w:rFonts w:ascii="ArialMT" w:hAnsi="ArialMT" w:cs="ArialMT"/>
          <w:noProof w:val="0"/>
          <w:color w:val="000081"/>
          <w:kern w:val="0"/>
          <w:lang w:eastAsia="pt-BR"/>
        </w:rPr>
        <w:t>://</w:t>
      </w:r>
    </w:p>
    <w:p w:rsidR="002E0C25" w:rsidRDefault="002E0C25" w:rsidP="002E0C25">
      <w:pPr>
        <w:suppressAutoHyphens w:val="0"/>
        <w:autoSpaceDE w:val="0"/>
        <w:autoSpaceDN w:val="0"/>
        <w:adjustRightInd w:val="0"/>
        <w:rPr>
          <w:rFonts w:ascii="ArialMT" w:hAnsi="ArialMT" w:cs="ArialMT"/>
          <w:noProof w:val="0"/>
          <w:color w:val="000081"/>
          <w:kern w:val="0"/>
          <w:lang w:eastAsia="pt-BR"/>
        </w:rPr>
      </w:pPr>
      <w:proofErr w:type="gramStart"/>
      <w:r>
        <w:rPr>
          <w:rFonts w:ascii="ArialMT" w:hAnsi="ArialMT" w:cs="ArialMT"/>
          <w:noProof w:val="0"/>
          <w:color w:val="000081"/>
          <w:kern w:val="0"/>
          <w:lang w:eastAsia="pt-BR"/>
        </w:rPr>
        <w:t>www.corteidh.or.cr/index.</w:t>
      </w:r>
      <w:proofErr w:type="gramEnd"/>
      <w:r>
        <w:rPr>
          <w:rFonts w:ascii="ArialMT" w:hAnsi="ArialMT" w:cs="ArialMT"/>
          <w:noProof w:val="0"/>
          <w:color w:val="000081"/>
          <w:kern w:val="0"/>
          <w:lang w:eastAsia="pt-BR"/>
        </w:rPr>
        <w:t>php/en</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r>
        <w:rPr>
          <w:rFonts w:ascii="ArialMT" w:hAnsi="ArialMT" w:cs="ArialMT"/>
          <w:noProof w:val="0"/>
          <w:color w:val="000000"/>
          <w:kern w:val="0"/>
          <w:lang w:eastAsia="pt-BR"/>
        </w:rPr>
        <w:t xml:space="preserve">Corte Europeia de Direitos Humanos – Sítio na </w:t>
      </w:r>
      <w:proofErr w:type="spellStart"/>
      <w:r>
        <w:rPr>
          <w:rFonts w:ascii="ArialMT" w:hAnsi="ArialMT" w:cs="ArialMT"/>
          <w:noProof w:val="0"/>
          <w:color w:val="000000"/>
          <w:kern w:val="0"/>
          <w:lang w:eastAsia="pt-BR"/>
        </w:rPr>
        <w:t>Internethttp</w:t>
      </w:r>
      <w:proofErr w:type="spellEnd"/>
      <w:r>
        <w:rPr>
          <w:rFonts w:ascii="ArialMT" w:hAnsi="ArialMT" w:cs="ArialMT"/>
          <w:noProof w:val="0"/>
          <w:color w:val="000000"/>
          <w:kern w:val="0"/>
          <w:lang w:eastAsia="pt-BR"/>
        </w:rPr>
        <w:t>://</w:t>
      </w:r>
    </w:p>
    <w:p w:rsidR="002E0C25" w:rsidRDefault="002E0C25" w:rsidP="002E0C25">
      <w:pPr>
        <w:suppressAutoHyphens w:val="0"/>
        <w:autoSpaceDE w:val="0"/>
        <w:autoSpaceDN w:val="0"/>
        <w:adjustRightInd w:val="0"/>
        <w:rPr>
          <w:rFonts w:ascii="ArialMT" w:hAnsi="ArialMT" w:cs="ArialMT"/>
          <w:noProof w:val="0"/>
          <w:color w:val="000000"/>
          <w:kern w:val="0"/>
          <w:lang w:eastAsia="pt-BR"/>
        </w:rPr>
      </w:pPr>
      <w:hyperlink r:id="rId5" w:history="1">
        <w:r w:rsidRPr="00A13E73">
          <w:rPr>
            <w:rStyle w:val="Hyperlink"/>
            <w:rFonts w:ascii="ArialMT" w:hAnsi="ArialMT" w:cs="ArialMT"/>
            <w:noProof w:val="0"/>
            <w:kern w:val="0"/>
            <w:lang w:eastAsia="pt-BR"/>
          </w:rPr>
          <w:t>www.echr.coe.int/Pages/home.aspx?p=home</w:t>
        </w:r>
      </w:hyperlink>
    </w:p>
    <w:p w:rsidR="002E0C25" w:rsidRPr="001D5551" w:rsidRDefault="002E0C25" w:rsidP="002E0C25">
      <w:pPr>
        <w:ind w:left="-426" w:right="-307"/>
        <w:jc w:val="both"/>
      </w:pPr>
      <w:r w:rsidRPr="001D5551">
        <w:t>ANAYA, S. James. Os direitos humanos dos povos indígenas. Tradução Bias Arrudão. In: ARAÚJO, Ana Valéria; et al. Povos Indígenas e a Lei dos “Brancos”: o direito à diferença. Coleção Educação para Todos, 14. Ministério da Educação, Secretaria de Educação Continuada, Alfabetização e Diversidade; LACED/Museu Nacional, 2006. p. 169</w:t>
      </w:r>
    </w:p>
    <w:p w:rsidR="002E0C25" w:rsidRPr="001D5551" w:rsidRDefault="002E0C25" w:rsidP="002E0C25">
      <w:pPr>
        <w:ind w:left="-426" w:right="-307"/>
        <w:jc w:val="both"/>
      </w:pPr>
    </w:p>
    <w:p w:rsidR="002E0C25" w:rsidRPr="008B3EE8" w:rsidRDefault="002E0C25" w:rsidP="002E0C25">
      <w:pPr>
        <w:ind w:left="-426" w:right="-307"/>
        <w:jc w:val="both"/>
        <w:rPr>
          <w:lang w:val="en-US"/>
        </w:rPr>
      </w:pPr>
      <w:r w:rsidRPr="008B3EE8">
        <w:rPr>
          <w:lang w:val="en-US"/>
        </w:rPr>
        <w:t xml:space="preserve">ANKERSEN, Thomas T.; RUPPERT, Thomas K. Defending the polygon: the emerging human right to comunal property. </w:t>
      </w:r>
      <w:r w:rsidRPr="008B3EE8">
        <w:rPr>
          <w:b/>
          <w:lang w:val="en-US"/>
        </w:rPr>
        <w:t xml:space="preserve">Oklahoma Law Review. </w:t>
      </w:r>
      <w:r w:rsidRPr="008B3EE8">
        <w:rPr>
          <w:lang w:val="en-US"/>
        </w:rPr>
        <w:t>Norman: University of Oklahoma College of Law, nº 4, v. 59, winter, 2006.</w:t>
      </w:r>
    </w:p>
    <w:p w:rsidR="002E0C25" w:rsidRPr="008B3EE8" w:rsidRDefault="002E0C25" w:rsidP="002E0C25">
      <w:pPr>
        <w:ind w:left="-426" w:right="-307"/>
        <w:jc w:val="both"/>
        <w:rPr>
          <w:lang w:val="en-US"/>
        </w:rPr>
      </w:pPr>
    </w:p>
    <w:p w:rsidR="002E0C25" w:rsidRPr="008B3EE8" w:rsidRDefault="002E0C25" w:rsidP="002E0C25">
      <w:pPr>
        <w:ind w:left="-426" w:right="-307"/>
        <w:jc w:val="both"/>
        <w:rPr>
          <w:lang w:val="es-AR"/>
        </w:rPr>
      </w:pPr>
      <w:r w:rsidRPr="001D5551">
        <w:t xml:space="preserve">ARAÚJO, Ana Valéria. Povos indígenas e a Lei dos “brancos”: o direito à diferença. </w:t>
      </w:r>
      <w:r w:rsidRPr="008B3EE8">
        <w:rPr>
          <w:lang w:val="es-AR"/>
        </w:rPr>
        <w:t>Brasília: Edições MEC/UNESCO, 2006.</w:t>
      </w:r>
    </w:p>
    <w:p w:rsidR="002E0C25" w:rsidRPr="008B3EE8" w:rsidRDefault="002E0C25" w:rsidP="002E0C25">
      <w:pPr>
        <w:ind w:left="-426" w:right="-307"/>
        <w:jc w:val="both"/>
        <w:rPr>
          <w:lang w:val="es-AR"/>
        </w:rPr>
      </w:pPr>
    </w:p>
    <w:p w:rsidR="002E0C25" w:rsidRPr="001D5551" w:rsidRDefault="002E0C25" w:rsidP="002E0C25">
      <w:pPr>
        <w:ind w:left="-426" w:right="-307"/>
        <w:jc w:val="both"/>
      </w:pPr>
      <w:r w:rsidRPr="008B3EE8">
        <w:rPr>
          <w:lang w:val="es-AR"/>
        </w:rPr>
        <w:t xml:space="preserve">ASOCIACIÓN INTERAMERICANA PARA LA DEFENSA DEL AMBIENTE (AIDA). </w:t>
      </w:r>
      <w:r w:rsidRPr="001D5551">
        <w:rPr>
          <w:b/>
        </w:rPr>
        <w:t>Guia de defesa ambiental</w:t>
      </w:r>
      <w:r w:rsidRPr="001D5551">
        <w:t>: construindo a estratégia para o litígio de casos diante do sistema interamericano de direitos humanos. Bogodá: Editorial Gente Nueva, 2010.</w:t>
      </w:r>
    </w:p>
    <w:p w:rsidR="002E0C25" w:rsidRPr="001D5551" w:rsidRDefault="002E0C25" w:rsidP="002E0C25">
      <w:pPr>
        <w:ind w:left="-426" w:right="-307"/>
        <w:jc w:val="both"/>
      </w:pPr>
    </w:p>
    <w:p w:rsidR="002E0C25" w:rsidRPr="008B3EE8" w:rsidRDefault="002E0C25" w:rsidP="002E0C25">
      <w:pPr>
        <w:pStyle w:val="Textodenotaderodap"/>
        <w:ind w:left="-426" w:right="-307"/>
        <w:jc w:val="both"/>
        <w:rPr>
          <w:lang w:val="en-US"/>
        </w:rPr>
      </w:pPr>
      <w:r w:rsidRPr="001D5551">
        <w:lastRenderedPageBreak/>
        <w:t xml:space="preserve">SANTOS, Boaventura de Sousa. </w:t>
      </w:r>
      <w:r w:rsidRPr="001D5551">
        <w:rPr>
          <w:b/>
        </w:rPr>
        <w:t xml:space="preserve">A crítica da razão indolente: </w:t>
      </w:r>
      <w:r w:rsidRPr="001D5551">
        <w:t xml:space="preserve">contra o desperdício da experiência. </w:t>
      </w:r>
      <w:r w:rsidRPr="008B3EE8">
        <w:rPr>
          <w:lang w:val="en-US"/>
        </w:rPr>
        <w:t>São Paulo: Cortez, 2000.</w:t>
      </w:r>
    </w:p>
    <w:p w:rsidR="002E0C25" w:rsidRPr="008B3EE8" w:rsidRDefault="002E0C25" w:rsidP="002E0C25">
      <w:pPr>
        <w:ind w:left="-426" w:right="-307"/>
        <w:jc w:val="both"/>
        <w:rPr>
          <w:lang w:val="en-US"/>
        </w:rPr>
      </w:pPr>
    </w:p>
    <w:p w:rsidR="002E0C25" w:rsidRPr="001D5551" w:rsidRDefault="002E0C25" w:rsidP="002E0C25">
      <w:pPr>
        <w:ind w:left="-426" w:right="-307"/>
        <w:jc w:val="both"/>
      </w:pPr>
      <w:r w:rsidRPr="008B3EE8">
        <w:rPr>
          <w:lang w:val="en-US"/>
        </w:rPr>
        <w:t xml:space="preserve">BOYLE, Alan. </w:t>
      </w:r>
      <w:r w:rsidRPr="008B3EE8">
        <w:rPr>
          <w:b/>
          <w:lang w:val="en-US"/>
        </w:rPr>
        <w:t>Human rights and the environment</w:t>
      </w:r>
      <w:r w:rsidRPr="008B3EE8">
        <w:rPr>
          <w:lang w:val="en-US"/>
        </w:rPr>
        <w:t xml:space="preserve">: a reassessment. UNEP Human Rights and Environment. </w:t>
      </w:r>
      <w:r w:rsidRPr="001D5551">
        <w:t>UNEP, 2010.</w:t>
      </w:r>
    </w:p>
    <w:p w:rsidR="002E0C25" w:rsidRPr="001D5551" w:rsidRDefault="002E0C25" w:rsidP="002E0C25">
      <w:pPr>
        <w:ind w:left="-426" w:right="-307"/>
        <w:jc w:val="both"/>
      </w:pPr>
    </w:p>
    <w:p w:rsidR="002E0C25" w:rsidRPr="008B3EE8" w:rsidRDefault="002E0C25" w:rsidP="002E0C25">
      <w:pPr>
        <w:ind w:left="-426" w:right="-307"/>
        <w:jc w:val="both"/>
        <w:rPr>
          <w:lang w:val="en-US"/>
        </w:rPr>
      </w:pPr>
      <w:r w:rsidRPr="001D5551">
        <w:t xml:space="preserve">CANÇADO TRINDADE, Antônio Augusto. </w:t>
      </w:r>
      <w:r w:rsidRPr="001D5551">
        <w:rPr>
          <w:b/>
        </w:rPr>
        <w:t>Direitos humanos e meio-ambiente</w:t>
      </w:r>
      <w:r w:rsidRPr="001D5551">
        <w:t xml:space="preserve">: paralelo dos sistemas de proteção internacional. </w:t>
      </w:r>
      <w:r w:rsidRPr="008B3EE8">
        <w:rPr>
          <w:lang w:val="en-US"/>
        </w:rPr>
        <w:t>Porto Alegre: Sergio Antonio Fabris, 1993.</w:t>
      </w:r>
    </w:p>
    <w:p w:rsidR="002E0C25" w:rsidRPr="008B3EE8" w:rsidRDefault="002E0C25" w:rsidP="002E0C25">
      <w:pPr>
        <w:ind w:left="-426" w:right="-307"/>
        <w:jc w:val="both"/>
        <w:rPr>
          <w:lang w:val="en-US"/>
        </w:rPr>
      </w:pPr>
    </w:p>
    <w:p w:rsidR="002E0C25" w:rsidRPr="001D5551" w:rsidRDefault="002E0C25" w:rsidP="002E0C25">
      <w:pPr>
        <w:ind w:left="-426" w:right="-307"/>
        <w:jc w:val="both"/>
      </w:pPr>
      <w:r w:rsidRPr="008B3EE8">
        <w:rPr>
          <w:lang w:val="en-US"/>
        </w:rPr>
        <w:t xml:space="preserve">_______. </w:t>
      </w:r>
      <w:r w:rsidRPr="008B3EE8">
        <w:rPr>
          <w:b/>
          <w:lang w:val="en-US"/>
        </w:rPr>
        <w:t>The Access of Individuals to International Justice</w:t>
      </w:r>
      <w:r w:rsidRPr="008B3EE8">
        <w:rPr>
          <w:lang w:val="en-US"/>
        </w:rPr>
        <w:t xml:space="preserve">. </w:t>
      </w:r>
      <w:r w:rsidRPr="001D5551">
        <w:t>Oxford University Press, 2011.</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COMISSÃO INTERAMERICANA DE DIREITOS HUMANOS (CIDH). </w:t>
      </w:r>
      <w:r w:rsidRPr="001D5551">
        <w:rPr>
          <w:b/>
        </w:rPr>
        <w:t xml:space="preserve">Resolução de Medidas Cautelares Comunidades Indígenas Ngobe e outros. </w:t>
      </w:r>
      <w:r w:rsidRPr="001D5551">
        <w:t>MC 56-08, 17.06.2009.</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_______. </w:t>
      </w:r>
      <w:r w:rsidRPr="001D5551">
        <w:rPr>
          <w:b/>
        </w:rPr>
        <w:t>Caso Comunidade de Rio Negro do Povo Indígena Maia e seus membros contra Guatemala</w:t>
      </w:r>
      <w:r w:rsidRPr="001D5551">
        <w:t>. Informe 13/08, 05.03.2008. Disponível em: http://www.cidh.oas.org/annualrep/2008sp/Guatemala844.05.sp.htm. Acesso em 11.09.2017.</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_______. </w:t>
      </w:r>
      <w:r w:rsidRPr="001D5551">
        <w:rPr>
          <w:b/>
        </w:rPr>
        <w:t xml:space="preserve">Caso Comunidades Indígenas Maias do Distrito de Toledo </w:t>
      </w:r>
      <w:r w:rsidRPr="001D5551">
        <w:rPr>
          <w:b/>
          <w:i/>
        </w:rPr>
        <w:t xml:space="preserve">versus </w:t>
      </w:r>
      <w:r w:rsidRPr="001D5551">
        <w:rPr>
          <w:b/>
        </w:rPr>
        <w:t xml:space="preserve">Belize. </w:t>
      </w:r>
      <w:r w:rsidRPr="001D5551">
        <w:t>Caso nº 12.053, Relatório 40/04, OEA/Ser.L/VI/II, doc. 5, rev. 1, 2004.</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_______. </w:t>
      </w:r>
      <w:r w:rsidRPr="001D5551">
        <w:rPr>
          <w:b/>
        </w:rPr>
        <w:t xml:space="preserve">Informe Anual. </w:t>
      </w:r>
      <w:r w:rsidRPr="001D5551">
        <w:t>OEA/Ser.L/V/II.74, Doc. 10, ver, 1, de 16.09.1988. Disponível em: http://www.cidh.oas.org/annualrep/87.88eng/chap3.htm. Acesso em 11.09.2017.</w:t>
      </w:r>
    </w:p>
    <w:p w:rsidR="002E0C25" w:rsidRPr="001D5551" w:rsidRDefault="002E0C25" w:rsidP="002E0C25">
      <w:pPr>
        <w:ind w:left="-426" w:right="-307"/>
        <w:jc w:val="both"/>
      </w:pPr>
    </w:p>
    <w:p w:rsidR="002E0C25" w:rsidRPr="001D5551" w:rsidRDefault="002E0C25" w:rsidP="002E0C25">
      <w:pPr>
        <w:ind w:left="-426" w:right="-307"/>
        <w:jc w:val="both"/>
        <w:rPr>
          <w:b/>
        </w:rPr>
      </w:pPr>
      <w:r w:rsidRPr="008B3EE8">
        <w:rPr>
          <w:lang w:val="es-AR"/>
        </w:rPr>
        <w:t xml:space="preserve">_______. </w:t>
      </w:r>
      <w:r w:rsidRPr="008B3EE8">
        <w:rPr>
          <w:b/>
          <w:lang w:val="es-AR"/>
        </w:rPr>
        <w:t xml:space="preserve">Caso San Mateo Huanchor </w:t>
      </w:r>
      <w:r w:rsidRPr="008B3EE8">
        <w:rPr>
          <w:b/>
          <w:i/>
          <w:lang w:val="es-AR"/>
        </w:rPr>
        <w:t xml:space="preserve">versus </w:t>
      </w:r>
      <w:r w:rsidRPr="008B3EE8">
        <w:rPr>
          <w:b/>
          <w:lang w:val="es-AR"/>
        </w:rPr>
        <w:t>Peru</w:t>
      </w:r>
      <w:r w:rsidRPr="008B3EE8">
        <w:rPr>
          <w:lang w:val="es-AR"/>
        </w:rPr>
        <w:t xml:space="preserve">. </w:t>
      </w:r>
      <w:r w:rsidRPr="001D5551">
        <w:t xml:space="preserve">Informe nº 69/04. OEA/Ser.L/V/II.122, Doc. 5, rev. 1, out. 2004. </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CORTE INTERAMERICANA DE DIREITOS HUMANOS. </w:t>
      </w:r>
      <w:r w:rsidRPr="001D5551">
        <w:rPr>
          <w:b/>
        </w:rPr>
        <w:t xml:space="preserve">Caso Yakye Axa </w:t>
      </w:r>
      <w:r w:rsidRPr="001D5551">
        <w:rPr>
          <w:b/>
          <w:i/>
        </w:rPr>
        <w:t xml:space="preserve">versus </w:t>
      </w:r>
      <w:r w:rsidRPr="001D5551">
        <w:rPr>
          <w:b/>
        </w:rPr>
        <w:t xml:space="preserve">Paraguai. </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_______. </w:t>
      </w:r>
      <w:r w:rsidRPr="001D5551">
        <w:rPr>
          <w:b/>
        </w:rPr>
        <w:t xml:space="preserve">Caso Moiwana </w:t>
      </w:r>
      <w:r w:rsidRPr="001D5551">
        <w:rPr>
          <w:b/>
          <w:i/>
        </w:rPr>
        <w:t xml:space="preserve">versus </w:t>
      </w:r>
      <w:r w:rsidRPr="001D5551">
        <w:rPr>
          <w:b/>
        </w:rPr>
        <w:t>Suriname</w:t>
      </w:r>
      <w:r w:rsidRPr="001D5551">
        <w:t>. Sentença de 15.06.2005. Série C, nº 124.</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CORTE EUROPEIA DE DIREITOS HUMANOS. </w:t>
      </w:r>
      <w:r w:rsidRPr="001D5551">
        <w:rPr>
          <w:b/>
        </w:rPr>
        <w:t xml:space="preserve">Caso López Ostra </w:t>
      </w:r>
      <w:r w:rsidRPr="001D5551">
        <w:rPr>
          <w:b/>
          <w:i/>
        </w:rPr>
        <w:t xml:space="preserve">versus </w:t>
      </w:r>
      <w:r w:rsidRPr="001D5551">
        <w:rPr>
          <w:b/>
        </w:rPr>
        <w:t>Espanha</w:t>
      </w:r>
      <w:r w:rsidRPr="001D5551">
        <w:t>. Sentença de 09.11.1994.</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DAVIS, Shelton H.. Diversidade cultural e direitos dos povos indígenas. </w:t>
      </w:r>
      <w:r w:rsidRPr="001D5551">
        <w:rPr>
          <w:i/>
        </w:rPr>
        <w:t xml:space="preserve">In: </w:t>
      </w:r>
      <w:r w:rsidRPr="001D5551">
        <w:rPr>
          <w:b/>
        </w:rPr>
        <w:t>Mana</w:t>
      </w:r>
      <w:r w:rsidRPr="001D5551">
        <w:t>, Rio de Janeiro, v. 14, nº 2, Out. 2008. p. 574. Disponível em: http://www.scielo.br/scielo.php?script=sci_arttext&amp;pid=S010493132008000200014&amp;lng=en&amp;nrm=iso Acessado em: 04.08.2017.</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GOMES, Carla Amado. </w:t>
      </w:r>
      <w:r w:rsidRPr="001D5551">
        <w:rPr>
          <w:b/>
        </w:rPr>
        <w:t>Textos dispersos de direito do ambiente</w:t>
      </w:r>
      <w:r w:rsidRPr="001D5551">
        <w:t>. Lisboa: Associalçao Acadêmica da Faculdade de Direito, 2010. v. III.</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KAYSER, Hartmut-Emanuel. </w:t>
      </w:r>
      <w:r w:rsidRPr="001D5551">
        <w:rPr>
          <w:b/>
        </w:rPr>
        <w:t>Os direitos dos povos indígenas do Brasil</w:t>
      </w:r>
      <w:r w:rsidRPr="001D5551">
        <w:t>: desenvolvimento histórico e estágio atual. Tradução: Maria da Glória Lacerda Rurack e Klaus-Peter Rurack. Porto Alegre: Sergio Antonio Fabris Ed., 2010.</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MARQUES, Pâmela Marconatto. O Direito Internacional dos povos indígenas: ação e memória nativas reconstruindo a agenda internacional. </w:t>
      </w:r>
      <w:r w:rsidRPr="001D5551">
        <w:rPr>
          <w:i/>
        </w:rPr>
        <w:t xml:space="preserve">In: </w:t>
      </w:r>
      <w:r w:rsidRPr="001D5551">
        <w:rPr>
          <w:b/>
        </w:rPr>
        <w:t>Revista Jurídica da Presidência</w:t>
      </w:r>
      <w:r w:rsidRPr="001D5551">
        <w:t>. Brasília. Vol. 12 nº 98. Out. 2010/Jan. 2011. p...</w:t>
      </w:r>
    </w:p>
    <w:p w:rsidR="002E0C25" w:rsidRPr="001D5551" w:rsidRDefault="002E0C25" w:rsidP="002E0C25">
      <w:pPr>
        <w:ind w:left="-426" w:right="-307"/>
        <w:jc w:val="both"/>
      </w:pPr>
    </w:p>
    <w:p w:rsidR="002E0C25" w:rsidRPr="008B3EE8" w:rsidRDefault="002E0C25" w:rsidP="002E0C25">
      <w:pPr>
        <w:ind w:left="-426" w:right="-307"/>
        <w:jc w:val="both"/>
        <w:rPr>
          <w:lang w:val="en-US"/>
        </w:rPr>
      </w:pPr>
      <w:r w:rsidRPr="001D5551">
        <w:t xml:space="preserve">MARTÍN, Claudia; RODRÍGUEZ-PINZÓN. </w:t>
      </w:r>
      <w:r w:rsidRPr="001D5551">
        <w:rPr>
          <w:b/>
        </w:rPr>
        <w:t>A proibição de tortura e maus-tratos pelo sistema interamericano</w:t>
      </w:r>
      <w:r w:rsidRPr="001D5551">
        <w:t xml:space="preserve">: um manual para vítimas e seus defensores. </w:t>
      </w:r>
      <w:r w:rsidRPr="008B3EE8">
        <w:rPr>
          <w:lang w:val="en-US"/>
        </w:rPr>
        <w:t>Tradução de Regina Vargas. Genebra: World Organization Against Torture (OMTC), 2006.</w:t>
      </w:r>
    </w:p>
    <w:p w:rsidR="002E0C25" w:rsidRPr="008B3EE8" w:rsidRDefault="002E0C25" w:rsidP="002E0C25">
      <w:pPr>
        <w:ind w:left="-426" w:right="-307"/>
        <w:jc w:val="both"/>
        <w:rPr>
          <w:lang w:val="en-US"/>
        </w:rPr>
      </w:pPr>
    </w:p>
    <w:p w:rsidR="002E0C25" w:rsidRPr="001D5551" w:rsidRDefault="002E0C25" w:rsidP="002E0C25">
      <w:pPr>
        <w:pStyle w:val="Textodenotaderodap"/>
        <w:ind w:left="-426" w:right="-307"/>
        <w:jc w:val="both"/>
      </w:pPr>
      <w:r w:rsidRPr="001D5551">
        <w:t xml:space="preserve">MOREIRA DA COSTA, José Eduardo Fernandes. </w:t>
      </w:r>
      <w:r w:rsidRPr="001D5551">
        <w:rPr>
          <w:b/>
        </w:rPr>
        <w:t xml:space="preserve">A Coroa do Mundo: </w:t>
      </w:r>
      <w:r w:rsidRPr="001D5551">
        <w:t>religião, território e territorialidade Chiquitano. Cuiabá, MT. Editora da Universidade Federal de Mato Grosso, 2006.</w:t>
      </w:r>
    </w:p>
    <w:p w:rsidR="002E0C25" w:rsidRPr="001D5551" w:rsidRDefault="002E0C25" w:rsidP="002E0C25">
      <w:pPr>
        <w:pStyle w:val="Default"/>
        <w:ind w:left="-426" w:right="-307"/>
        <w:jc w:val="both"/>
      </w:pPr>
    </w:p>
    <w:p w:rsidR="002E0C25" w:rsidRPr="001D5551" w:rsidRDefault="002E0C25" w:rsidP="002E0C25">
      <w:pPr>
        <w:pStyle w:val="Default"/>
        <w:ind w:left="-426" w:right="-307"/>
        <w:jc w:val="both"/>
      </w:pPr>
      <w:r w:rsidRPr="001D5551">
        <w:t xml:space="preserve">PIOVESAN, Flávia. </w:t>
      </w:r>
      <w:r w:rsidRPr="001D5551">
        <w:rPr>
          <w:b/>
        </w:rPr>
        <w:t xml:space="preserve">Direitos humanos e o direito constitucional internacional. </w:t>
      </w:r>
      <w:r w:rsidRPr="001D5551">
        <w:t xml:space="preserve">7. Ed. São Paulo: </w:t>
      </w:r>
      <w:proofErr w:type="gramStart"/>
      <w:r w:rsidRPr="001D5551">
        <w:t>Saraiva,</w:t>
      </w:r>
      <w:proofErr w:type="gramEnd"/>
      <w:r w:rsidRPr="001D5551">
        <w:t xml:space="preserve"> 2006. </w:t>
      </w:r>
    </w:p>
    <w:p w:rsidR="002E0C25" w:rsidRPr="001D5551" w:rsidRDefault="002E0C25" w:rsidP="002E0C25">
      <w:pPr>
        <w:pStyle w:val="Default"/>
        <w:ind w:left="-426" w:right="-307"/>
        <w:jc w:val="both"/>
      </w:pPr>
    </w:p>
    <w:p w:rsidR="002E0C25" w:rsidRPr="001D5551" w:rsidRDefault="002E0C25" w:rsidP="002E0C25">
      <w:pPr>
        <w:pStyle w:val="Default"/>
        <w:ind w:left="-426" w:right="-307"/>
        <w:jc w:val="both"/>
      </w:pPr>
      <w:r w:rsidRPr="001D5551">
        <w:t xml:space="preserve">QUIJANO, Aníbal. Colonialidade do poder, eurocentrismo e América Latina. In: LANDER, Edgardo (Org.). </w:t>
      </w:r>
      <w:r w:rsidRPr="001D5551">
        <w:rPr>
          <w:b/>
        </w:rPr>
        <w:t>A colonialidade do saber</w:t>
      </w:r>
      <w:r w:rsidRPr="001D5551">
        <w:t>: eurocentrismo e ciências sociais. Perspectivas latino-americanas. Clacso, set. 2005, p. 227-278 (Colección Sur Sur). Disponível em: http://bibliotecavirtual.clacso.org.ar/libros/lander/pt/Quijano.rtf</w:t>
      </w:r>
    </w:p>
    <w:p w:rsidR="002E0C25" w:rsidRPr="001D5551" w:rsidRDefault="002E0C25" w:rsidP="002E0C25">
      <w:pPr>
        <w:pStyle w:val="Default"/>
        <w:ind w:left="-426" w:right="-307"/>
        <w:jc w:val="both"/>
        <w:rPr>
          <w:b/>
        </w:rPr>
      </w:pPr>
    </w:p>
    <w:p w:rsidR="002E0C25" w:rsidRPr="001D5551" w:rsidRDefault="002E0C25" w:rsidP="002E0C25">
      <w:pPr>
        <w:pStyle w:val="NormalWeb"/>
        <w:spacing w:before="0" w:after="0"/>
        <w:ind w:left="-426" w:right="-307"/>
        <w:jc w:val="both"/>
      </w:pPr>
      <w:r w:rsidRPr="001D5551">
        <w:t xml:space="preserve">OPINIÃO CONSULTIVA. </w:t>
      </w:r>
      <w:r w:rsidRPr="001D5551">
        <w:rPr>
          <w:b/>
        </w:rPr>
        <w:t>Proposta de modificação da Constituição Política da Costa Rica, OC-4/84</w:t>
      </w:r>
      <w:r w:rsidRPr="001D5551">
        <w:t>, de 19.01.1984. Disponível em: http://www.corteidh.or.cr/opiniones.cfm. Acesso em: 11.09.2017.</w:t>
      </w:r>
    </w:p>
    <w:p w:rsidR="002E0C25" w:rsidRPr="001D5551" w:rsidRDefault="002E0C25" w:rsidP="002E0C25">
      <w:pPr>
        <w:pStyle w:val="Default"/>
        <w:ind w:left="-426" w:right="-307"/>
        <w:jc w:val="both"/>
      </w:pPr>
    </w:p>
    <w:p w:rsidR="002E0C25" w:rsidRPr="001D5551" w:rsidRDefault="002E0C25" w:rsidP="002E0C25">
      <w:pPr>
        <w:pStyle w:val="Default"/>
        <w:ind w:left="-426" w:right="-307"/>
        <w:jc w:val="both"/>
      </w:pPr>
      <w:r w:rsidRPr="008B3EE8">
        <w:rPr>
          <w:lang w:val="es-AR"/>
        </w:rPr>
        <w:t xml:space="preserve">RAMÍREZ, Sergio </w:t>
      </w:r>
      <w:proofErr w:type="spellStart"/>
      <w:r w:rsidRPr="008B3EE8">
        <w:rPr>
          <w:lang w:val="es-AR"/>
        </w:rPr>
        <w:t>Garcia</w:t>
      </w:r>
      <w:proofErr w:type="spellEnd"/>
      <w:r w:rsidRPr="008B3EE8">
        <w:rPr>
          <w:lang w:val="es-AR"/>
        </w:rPr>
        <w:t xml:space="preserve">. Raíz, </w:t>
      </w:r>
      <w:proofErr w:type="spellStart"/>
      <w:r w:rsidRPr="008B3EE8">
        <w:rPr>
          <w:lang w:val="es-AR"/>
        </w:rPr>
        <w:t>atualidad</w:t>
      </w:r>
      <w:proofErr w:type="spellEnd"/>
      <w:r w:rsidRPr="008B3EE8">
        <w:rPr>
          <w:lang w:val="es-AR"/>
        </w:rPr>
        <w:t xml:space="preserve"> y perspectivas de la jurisdicción interamericana de derechos humanos. </w:t>
      </w:r>
      <w:r w:rsidRPr="008B3EE8">
        <w:rPr>
          <w:i/>
          <w:lang w:val="es-AR"/>
        </w:rPr>
        <w:t xml:space="preserve">In: </w:t>
      </w:r>
      <w:r w:rsidRPr="008B3EE8">
        <w:rPr>
          <w:b/>
          <w:lang w:val="es-AR"/>
        </w:rPr>
        <w:t>Cuestiones Constitucionales</w:t>
      </w:r>
      <w:r w:rsidRPr="008B3EE8">
        <w:rPr>
          <w:lang w:val="es-AR"/>
        </w:rPr>
        <w:t xml:space="preserve">: Revista Mexicana de Derecho Constitucional. </w:t>
      </w:r>
      <w:proofErr w:type="spellStart"/>
      <w:r w:rsidRPr="008B3EE8">
        <w:rPr>
          <w:lang w:val="es-AR"/>
        </w:rPr>
        <w:t>Universidade</w:t>
      </w:r>
      <w:proofErr w:type="spellEnd"/>
      <w:r w:rsidRPr="008B3EE8">
        <w:rPr>
          <w:lang w:val="es-AR"/>
        </w:rPr>
        <w:t xml:space="preserve"> Nacional Autónoma de México. nº 20, enero-junio 2009. p. 149-190. </w:t>
      </w:r>
      <w:r w:rsidRPr="001D5551">
        <w:t xml:space="preserve">Disponível em: </w:t>
      </w:r>
      <w:proofErr w:type="gramStart"/>
      <w:r w:rsidRPr="001D5551">
        <w:t>http://www.journals.unam.mx/index.</w:t>
      </w:r>
      <w:proofErr w:type="gramEnd"/>
      <w:r w:rsidRPr="001D5551">
        <w:t>php/cuc/article/view/15202 Acesso em: 05.05.2017.</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SANTIAGO, Bernardo Xavier dos D.; BELLO, Enzo. Democracia e Bens Naturais na Bolívia do Vivir Bien: uma crítica a partir da colonialidade e da dependência. </w:t>
      </w:r>
      <w:r w:rsidRPr="001D5551">
        <w:rPr>
          <w:i/>
        </w:rPr>
        <w:t xml:space="preserve">In: </w:t>
      </w:r>
      <w:r w:rsidRPr="001D5551">
        <w:t xml:space="preserve">AVZARADEL; Pedro C. S.; PAROLA, Giulia; VAL, Eduardo Manuel (Orgs). </w:t>
      </w:r>
      <w:r w:rsidRPr="001D5551">
        <w:rPr>
          <w:b/>
        </w:rPr>
        <w:t>Democracia ambiental na América Latina</w:t>
      </w:r>
      <w:r w:rsidRPr="001D5551">
        <w:t>: Uma abordagem comparada. Rio de Janeiro: Multifoco, 2017, p. 81-110.</w:t>
      </w:r>
    </w:p>
    <w:p w:rsidR="002E0C25" w:rsidRPr="001D5551" w:rsidRDefault="002E0C25" w:rsidP="002E0C25">
      <w:pPr>
        <w:ind w:left="-426" w:right="-307"/>
        <w:jc w:val="both"/>
      </w:pPr>
    </w:p>
    <w:p w:rsidR="002E0C25" w:rsidRPr="001D5551" w:rsidRDefault="002E0C25" w:rsidP="002E0C25">
      <w:pPr>
        <w:pStyle w:val="Default"/>
        <w:ind w:left="-426" w:right="-307"/>
        <w:jc w:val="both"/>
        <w:rPr>
          <w:color w:val="auto"/>
        </w:rPr>
      </w:pPr>
      <w:r w:rsidRPr="001D5551">
        <w:rPr>
          <w:color w:val="auto"/>
        </w:rPr>
        <w:t xml:space="preserve">SCHADEN, Egon. </w:t>
      </w:r>
      <w:r w:rsidRPr="001D5551">
        <w:rPr>
          <w:b/>
          <w:color w:val="auto"/>
        </w:rPr>
        <w:t>Leituras de etnologia brasileira</w:t>
      </w:r>
      <w:r w:rsidRPr="001D5551">
        <w:rPr>
          <w:color w:val="auto"/>
        </w:rPr>
        <w:t>. São Paulo: Companhia Editora Nacional, 1976 (Biblioteca Universitária, Série 2ª. Ciências Sociais. V. 7).</w:t>
      </w:r>
    </w:p>
    <w:p w:rsidR="002E0C25" w:rsidRPr="001D5551" w:rsidRDefault="002E0C25" w:rsidP="002E0C25">
      <w:pPr>
        <w:ind w:left="-426" w:right="-307"/>
        <w:jc w:val="both"/>
      </w:pPr>
    </w:p>
    <w:p w:rsidR="002E0C25" w:rsidRPr="001D5551" w:rsidRDefault="002E0C25" w:rsidP="002E0C25">
      <w:pPr>
        <w:ind w:left="-426" w:right="-307"/>
        <w:jc w:val="both"/>
      </w:pPr>
      <w:r w:rsidRPr="001D5551">
        <w:t xml:space="preserve">VILLARES, Luiz Fernando. </w:t>
      </w:r>
      <w:r w:rsidRPr="001D5551">
        <w:rPr>
          <w:b/>
        </w:rPr>
        <w:t>Direito e povos indígenas</w:t>
      </w:r>
      <w:r w:rsidRPr="001D5551">
        <w:t>. Curitiba: Juruá, 2009.</w:t>
      </w:r>
    </w:p>
    <w:p w:rsidR="002E0C25" w:rsidRDefault="002E0C25" w:rsidP="002E0C25">
      <w:pPr>
        <w:pStyle w:val="Default"/>
        <w:spacing w:line="360" w:lineRule="auto"/>
      </w:pPr>
      <w:r>
        <w:t xml:space="preserve">ACCIOLY, Hildebrando; CASELLA, Paulo Borba. </w:t>
      </w:r>
      <w:r>
        <w:rPr>
          <w:b/>
        </w:rPr>
        <w:t>Manual de Direito Internacional Público</w:t>
      </w:r>
      <w:r>
        <w:t xml:space="preserve">. 20ed, São Paulo: </w:t>
      </w:r>
      <w:proofErr w:type="gramStart"/>
      <w:r>
        <w:t>Saraiva,</w:t>
      </w:r>
      <w:proofErr w:type="gramEnd"/>
      <w:r>
        <w:t xml:space="preserve"> 2012.</w:t>
      </w:r>
    </w:p>
    <w:p w:rsidR="002E0C25" w:rsidRDefault="002E0C25" w:rsidP="002E0C25">
      <w:pPr>
        <w:pStyle w:val="Default"/>
        <w:spacing w:line="360" w:lineRule="auto"/>
      </w:pPr>
    </w:p>
    <w:p w:rsidR="002E0C25" w:rsidRPr="00AB7620" w:rsidRDefault="002E0C25" w:rsidP="002E0C25">
      <w:pPr>
        <w:pStyle w:val="Default"/>
        <w:spacing w:line="360" w:lineRule="auto"/>
        <w:rPr>
          <w:lang w:val="es-AR"/>
        </w:rPr>
      </w:pPr>
      <w:r w:rsidRPr="00AB7620">
        <w:rPr>
          <w:lang w:val="fr-FR"/>
        </w:rPr>
        <w:t xml:space="preserve">AGO, Roberto. </w:t>
      </w:r>
      <w:r w:rsidRPr="00AB7620">
        <w:rPr>
          <w:b/>
          <w:lang w:val="fr-FR"/>
        </w:rPr>
        <w:t>Science Juridique et Droit Internacional</w:t>
      </w:r>
      <w:r w:rsidRPr="00AB7620">
        <w:rPr>
          <w:lang w:val="fr-FR"/>
        </w:rPr>
        <w:t xml:space="preserve">. </w:t>
      </w:r>
      <w:r w:rsidRPr="00AB7620">
        <w:rPr>
          <w:lang w:val="en-US"/>
        </w:rPr>
        <w:t xml:space="preserve">Collected Courses of </w:t>
      </w:r>
      <w:proofErr w:type="gramStart"/>
      <w:r w:rsidRPr="00AB7620">
        <w:rPr>
          <w:lang w:val="en-US"/>
        </w:rPr>
        <w:t>the</w:t>
      </w:r>
      <w:proofErr w:type="gramEnd"/>
      <w:r w:rsidRPr="00AB7620">
        <w:rPr>
          <w:lang w:val="en-US"/>
        </w:rPr>
        <w:t xml:space="preserve"> Hague Academy of International Law. </w:t>
      </w:r>
      <w:proofErr w:type="spellStart"/>
      <w:r w:rsidRPr="00AB7620">
        <w:rPr>
          <w:lang w:val="es-AR"/>
        </w:rPr>
        <w:t>Volume</w:t>
      </w:r>
      <w:proofErr w:type="spellEnd"/>
      <w:r w:rsidRPr="00AB7620">
        <w:rPr>
          <w:lang w:val="es-AR"/>
        </w:rPr>
        <w:t xml:space="preserve"> 90, Boston, 1956.</w:t>
      </w:r>
    </w:p>
    <w:p w:rsidR="002E0C25" w:rsidRPr="00AB7620" w:rsidRDefault="002E0C25" w:rsidP="002E0C25">
      <w:pPr>
        <w:pStyle w:val="Default"/>
        <w:spacing w:line="360" w:lineRule="auto"/>
        <w:rPr>
          <w:lang w:val="es-AR"/>
        </w:rPr>
      </w:pPr>
    </w:p>
    <w:p w:rsidR="002E0C25" w:rsidRDefault="002E0C25" w:rsidP="002E0C25">
      <w:pPr>
        <w:pStyle w:val="Default"/>
        <w:spacing w:line="360" w:lineRule="auto"/>
      </w:pPr>
      <w:r w:rsidRPr="00AB7620">
        <w:rPr>
          <w:lang w:val="es-AR"/>
        </w:rPr>
        <w:t xml:space="preserve">CAVALLO, Gonzalo Aguilar. ¿Quién es el guardián de la Convención Americana sobre Derechos Humanos? </w:t>
      </w:r>
      <w:r>
        <w:rPr>
          <w:i/>
        </w:rPr>
        <w:t>In</w:t>
      </w:r>
      <w:r>
        <w:t xml:space="preserve">: PIOVESAN, Flávia </w:t>
      </w:r>
      <w:proofErr w:type="gramStart"/>
      <w:r>
        <w:t>et</w:t>
      </w:r>
      <w:proofErr w:type="gramEnd"/>
      <w:r>
        <w:t xml:space="preserve"> al. </w:t>
      </w:r>
      <w:r>
        <w:rPr>
          <w:b/>
        </w:rPr>
        <w:t>Estudos Avançados de Direitos Humanos - democracia e integração jurídica: emergência de um novo direito público</w:t>
      </w:r>
      <w:r>
        <w:t xml:space="preserve">. Rio de Janeiro: Elsevier, 2013. </w:t>
      </w:r>
      <w:proofErr w:type="gramStart"/>
      <w:r>
        <w:t>pp.</w:t>
      </w:r>
      <w:proofErr w:type="gramEnd"/>
      <w:r>
        <w:t xml:space="preserve"> 706-743.</w:t>
      </w:r>
    </w:p>
    <w:p w:rsidR="002E0C25" w:rsidRDefault="002E0C25" w:rsidP="002E0C25">
      <w:pPr>
        <w:pStyle w:val="Default"/>
        <w:spacing w:line="360" w:lineRule="auto"/>
      </w:pPr>
    </w:p>
    <w:p w:rsidR="002E0C25" w:rsidRPr="00AB7620" w:rsidRDefault="002E0C25" w:rsidP="002E0C25">
      <w:pPr>
        <w:pStyle w:val="Default"/>
        <w:spacing w:line="360" w:lineRule="auto"/>
        <w:rPr>
          <w:lang w:val="fr-FR"/>
        </w:rPr>
      </w:pPr>
      <w:r>
        <w:t xml:space="preserve">FILHO, Roberto Freitas. LIMA, Thalita Moraes. Metodologia de Análise de Decisões - MAD. </w:t>
      </w:r>
      <w:r w:rsidRPr="00AB7620">
        <w:rPr>
          <w:b/>
          <w:lang w:val="fr-FR"/>
        </w:rPr>
        <w:t>Universitas Jus. 2010, Issue 21, p. 1-17.</w:t>
      </w:r>
    </w:p>
    <w:p w:rsidR="002E0C25" w:rsidRPr="00AB7620" w:rsidRDefault="002E0C25" w:rsidP="002E0C25">
      <w:pPr>
        <w:pStyle w:val="Default"/>
        <w:spacing w:line="360" w:lineRule="auto"/>
        <w:rPr>
          <w:lang w:val="fr-FR"/>
        </w:rPr>
      </w:pPr>
    </w:p>
    <w:p w:rsidR="002E0C25" w:rsidRPr="002E0C25" w:rsidRDefault="002E0C25" w:rsidP="002E0C25">
      <w:pPr>
        <w:pStyle w:val="Default"/>
        <w:spacing w:line="360" w:lineRule="auto"/>
        <w:rPr>
          <w:lang w:val="pt-BR"/>
        </w:rPr>
      </w:pPr>
      <w:r w:rsidRPr="00AB7620">
        <w:rPr>
          <w:lang w:val="fr-FR"/>
        </w:rPr>
        <w:t xml:space="preserve">GUGGENHEIM, Paul. </w:t>
      </w:r>
      <w:r w:rsidRPr="00AB7620">
        <w:rPr>
          <w:b/>
          <w:lang w:val="fr-FR"/>
        </w:rPr>
        <w:t>Contribution à l'Histoire des Sources du Droit des Gens</w:t>
      </w:r>
      <w:r w:rsidRPr="00AB7620">
        <w:rPr>
          <w:lang w:val="fr-FR"/>
        </w:rPr>
        <w:t xml:space="preserve">. </w:t>
      </w:r>
      <w:r w:rsidRPr="00AB7620">
        <w:rPr>
          <w:lang w:val="en-US"/>
        </w:rPr>
        <w:t xml:space="preserve">Collected Courses of </w:t>
      </w:r>
      <w:proofErr w:type="gramStart"/>
      <w:r w:rsidRPr="00AB7620">
        <w:rPr>
          <w:lang w:val="en-US"/>
        </w:rPr>
        <w:t>the</w:t>
      </w:r>
      <w:proofErr w:type="gramEnd"/>
      <w:r w:rsidRPr="00AB7620">
        <w:rPr>
          <w:lang w:val="en-US"/>
        </w:rPr>
        <w:t xml:space="preserve"> Hague Academy of International Law. </w:t>
      </w:r>
      <w:r w:rsidRPr="002E0C25">
        <w:rPr>
          <w:lang w:val="pt-BR"/>
        </w:rPr>
        <w:t>Volume 90, Boston, 1958.</w:t>
      </w:r>
    </w:p>
    <w:p w:rsidR="002E0C25" w:rsidRPr="002E0C25" w:rsidRDefault="002E0C25" w:rsidP="002E0C25">
      <w:pPr>
        <w:pStyle w:val="Default"/>
        <w:spacing w:line="360" w:lineRule="auto"/>
        <w:rPr>
          <w:lang w:val="pt-BR"/>
        </w:rPr>
      </w:pPr>
    </w:p>
    <w:p w:rsidR="002E0C25" w:rsidRDefault="002E0C25" w:rsidP="002E0C25">
      <w:pPr>
        <w:pStyle w:val="Default"/>
        <w:spacing w:line="360" w:lineRule="auto"/>
        <w:rPr>
          <w:b/>
        </w:rPr>
      </w:pPr>
      <w:r>
        <w:t xml:space="preserve">MACEDO, Paulo Emilio Vauthier Borges de. A genealogia da noção de direito internacional. </w:t>
      </w:r>
      <w:r>
        <w:rPr>
          <w:b/>
        </w:rPr>
        <w:t xml:space="preserve">Revista da Faculdade de Direito da UERJ, Vol. 1, </w:t>
      </w:r>
      <w:proofErr w:type="gramStart"/>
      <w:r>
        <w:rPr>
          <w:b/>
        </w:rPr>
        <w:t>No 18</w:t>
      </w:r>
      <w:proofErr w:type="gramEnd"/>
      <w:r>
        <w:rPr>
          <w:b/>
        </w:rPr>
        <w:t xml:space="preserve"> (2010).</w:t>
      </w:r>
    </w:p>
    <w:p w:rsidR="002E0C25" w:rsidRDefault="002E0C25" w:rsidP="002E0C25">
      <w:pPr>
        <w:pStyle w:val="Default"/>
        <w:spacing w:line="360" w:lineRule="auto"/>
        <w:rPr>
          <w:b/>
        </w:rPr>
      </w:pPr>
    </w:p>
    <w:p w:rsidR="002E0C25" w:rsidRDefault="002E0C25" w:rsidP="002E0C25">
      <w:pPr>
        <w:pStyle w:val="Default"/>
        <w:spacing w:line="360" w:lineRule="auto"/>
      </w:pPr>
      <w:r>
        <w:t xml:space="preserve">______. </w:t>
      </w:r>
      <w:r>
        <w:rPr>
          <w:b/>
        </w:rPr>
        <w:t xml:space="preserve">Uma Comparação entre os Conceitos de </w:t>
      </w:r>
      <w:r>
        <w:rPr>
          <w:b/>
          <w:i/>
        </w:rPr>
        <w:t>jus gentium</w:t>
      </w:r>
      <w:r>
        <w:rPr>
          <w:b/>
        </w:rPr>
        <w:t xml:space="preserve"> em Francisco Suárez e Hugo Grócio</w:t>
      </w:r>
      <w:r>
        <w:t xml:space="preserve">. Tese de Doutorado. </w:t>
      </w:r>
      <w:proofErr w:type="gramStart"/>
      <w:r>
        <w:t>2007, Universidade</w:t>
      </w:r>
      <w:proofErr w:type="gramEnd"/>
      <w:r>
        <w:t xml:space="preserve"> do Estado do Rio de Janeiro.</w:t>
      </w:r>
    </w:p>
    <w:p w:rsidR="002E0C25" w:rsidRDefault="002E0C25" w:rsidP="002E0C25">
      <w:pPr>
        <w:pStyle w:val="Default"/>
        <w:spacing w:line="360" w:lineRule="auto"/>
      </w:pPr>
    </w:p>
    <w:p w:rsidR="002E0C25" w:rsidRDefault="002E0C25" w:rsidP="002E0C25">
      <w:pPr>
        <w:jc w:val="both"/>
      </w:pPr>
      <w:r>
        <w:t xml:space="preserve">MAZZUOLI, Valerio. </w:t>
      </w:r>
      <w:r>
        <w:rPr>
          <w:b/>
        </w:rPr>
        <w:t>Curso de Direito Internacional Público</w:t>
      </w:r>
      <w:r>
        <w:t>. 5ª ed, revista, atualizada e ampliada. São Paulo: 2010, Editora Revista dos Tribunais.</w:t>
      </w:r>
    </w:p>
    <w:p w:rsidR="002E0C25" w:rsidRDefault="002E0C25" w:rsidP="002E0C25">
      <w:pPr>
        <w:jc w:val="both"/>
      </w:pPr>
    </w:p>
    <w:p w:rsidR="002E0C25" w:rsidRDefault="002E0C25" w:rsidP="002E0C25">
      <w:pPr>
        <w:jc w:val="both"/>
      </w:pPr>
      <w:r>
        <w:t xml:space="preserve">______. </w:t>
      </w:r>
      <w:r>
        <w:rPr>
          <w:b/>
        </w:rPr>
        <w:t>O Controle Jurisdicional de Convencionalidade das Leis</w:t>
      </w:r>
      <w:r>
        <w:t>. 4ed. São Paulo: Revista dos Tribunais, 2016.</w:t>
      </w:r>
    </w:p>
    <w:p w:rsidR="002E0C25" w:rsidRDefault="002E0C25" w:rsidP="002E0C25">
      <w:pPr>
        <w:jc w:val="both"/>
      </w:pPr>
    </w:p>
    <w:p w:rsidR="002E0C25" w:rsidRDefault="002E0C25" w:rsidP="002E0C25">
      <w:pPr>
        <w:jc w:val="both"/>
      </w:pPr>
      <w:r>
        <w:t xml:space="preserve">PIOVESAN, Flávia </w:t>
      </w:r>
      <w:r>
        <w:rPr>
          <w:i/>
        </w:rPr>
        <w:t>et al</w:t>
      </w:r>
      <w:r>
        <w:t xml:space="preserve">. </w:t>
      </w:r>
      <w:r>
        <w:rPr>
          <w:b/>
        </w:rPr>
        <w:t>Estudos Avançados de Direitos Humanos - democracia e integração jurídica: emergência de um novo direito público. Apresentação</w:t>
      </w:r>
      <w:r>
        <w:t>. Rio de Janeiro: Elsevier, 2013.</w:t>
      </w:r>
    </w:p>
    <w:p w:rsidR="002E0C25" w:rsidRDefault="002E0C25" w:rsidP="002E0C25">
      <w:pPr>
        <w:jc w:val="both"/>
      </w:pPr>
    </w:p>
    <w:p w:rsidR="002E0C25" w:rsidRDefault="002E0C25" w:rsidP="002E0C25">
      <w:pPr>
        <w:jc w:val="both"/>
      </w:pPr>
      <w:r>
        <w:t>SAGÜÉS, Nestor Pedro. Empalmes entre el control de constitucionalidad y el de convencionalidad: la “constitución convencionalizada”. In: PIOVESAN, Flávia et al</w:t>
      </w:r>
      <w:r>
        <w:rPr>
          <w:b/>
        </w:rPr>
        <w:t>. Estudos Avançados de Direitos Humanos - democracia e integração jurídica: emergência de um novo direito público</w:t>
      </w:r>
      <w:r>
        <w:t>. Rio de Janeiro: Elsevier, 2013, pp. 617-626.</w:t>
      </w:r>
    </w:p>
    <w:p w:rsidR="002E0C25" w:rsidRDefault="002E0C25" w:rsidP="002E0C25">
      <w:pPr>
        <w:jc w:val="both"/>
      </w:pPr>
    </w:p>
    <w:p w:rsidR="002E0C25" w:rsidRPr="002E0C25" w:rsidRDefault="002E0C25" w:rsidP="002E0C25">
      <w:pPr>
        <w:pStyle w:val="Default"/>
        <w:spacing w:line="360" w:lineRule="auto"/>
        <w:rPr>
          <w:lang w:val="en-US"/>
        </w:rPr>
      </w:pPr>
      <w:r>
        <w:t xml:space="preserve">TRINDADE, Antônio Augusto Cançado. “The Expansion of International Jurisdiction”, </w:t>
      </w:r>
      <w:r>
        <w:rPr>
          <w:i/>
        </w:rPr>
        <w:t xml:space="preserve">in: </w:t>
      </w:r>
      <w:r>
        <w:rPr>
          <w:b/>
        </w:rPr>
        <w:t xml:space="preserve">Liber Amicorum Peter Leuprecht </w:t>
      </w:r>
      <w:r>
        <w:t>(</w:t>
      </w:r>
      <w:proofErr w:type="gramStart"/>
      <w:r>
        <w:t>eds</w:t>
      </w:r>
      <w:proofErr w:type="gramEnd"/>
      <w:r>
        <w:t xml:space="preserve">. </w:t>
      </w:r>
      <w:r w:rsidRPr="002E0C25">
        <w:rPr>
          <w:lang w:val="en-US"/>
        </w:rPr>
        <w:t>O. Delas and M. Leuprecht), Bruxelles, Bruylant/RQDI, 2012, pp. 283-295.</w:t>
      </w:r>
    </w:p>
    <w:p w:rsidR="002E0C25" w:rsidRPr="002E0C25" w:rsidRDefault="002E0C25" w:rsidP="002E0C25">
      <w:pPr>
        <w:pStyle w:val="Default"/>
        <w:spacing w:line="360" w:lineRule="auto"/>
        <w:rPr>
          <w:lang w:val="en-US"/>
        </w:rPr>
      </w:pPr>
    </w:p>
    <w:p w:rsidR="002E0C25" w:rsidRPr="002E0C25" w:rsidRDefault="002E0C25" w:rsidP="002E0C25">
      <w:pPr>
        <w:pStyle w:val="Default"/>
        <w:spacing w:line="360" w:lineRule="auto"/>
        <w:rPr>
          <w:lang w:val="en-US"/>
        </w:rPr>
      </w:pPr>
      <w:r w:rsidRPr="002E0C25">
        <w:rPr>
          <w:lang w:val="en-US"/>
        </w:rPr>
        <w:t xml:space="preserve">______. “Towards Compulsory Jurisdiction: Contemporary International Tribunals and Developments in the International Rule of Law – Part I”, in: XXXVII </w:t>
      </w:r>
      <w:r w:rsidRPr="002E0C25">
        <w:rPr>
          <w:b/>
          <w:lang w:val="en-US"/>
        </w:rPr>
        <w:t>Curso de Derecho Internacional</w:t>
      </w:r>
      <w:r w:rsidRPr="002E0C25">
        <w:rPr>
          <w:lang w:val="en-US"/>
        </w:rPr>
        <w:t xml:space="preserve"> Organizado por el Comité Jurídico Interamericano – 2010, Washington D.C., Secretaría General de la OEA, 2011, pp. 233-259.</w:t>
      </w:r>
    </w:p>
    <w:p w:rsidR="002E0C25" w:rsidRPr="002E0C25" w:rsidRDefault="002E0C25" w:rsidP="002E0C25">
      <w:pPr>
        <w:pStyle w:val="Default"/>
        <w:spacing w:line="360" w:lineRule="auto"/>
        <w:rPr>
          <w:lang w:val="en-US"/>
        </w:rPr>
      </w:pPr>
    </w:p>
    <w:p w:rsidR="002E0C25" w:rsidRDefault="002E0C25" w:rsidP="002E0C25">
      <w:pPr>
        <w:pStyle w:val="Default"/>
        <w:spacing w:line="360" w:lineRule="auto"/>
      </w:pPr>
      <w:r>
        <w:t xml:space="preserve">______. </w:t>
      </w:r>
      <w:r>
        <w:rPr>
          <w:b/>
        </w:rPr>
        <w:t>Os Tribunais Internacionais Contemporâenos</w:t>
      </w:r>
      <w:r>
        <w:t>. Brasília, FUNAG: 2013.</w:t>
      </w:r>
    </w:p>
    <w:p w:rsidR="002E0C25" w:rsidRDefault="002E0C25" w:rsidP="002E0C25">
      <w:pPr>
        <w:pStyle w:val="Default"/>
        <w:spacing w:line="360" w:lineRule="auto"/>
      </w:pPr>
    </w:p>
    <w:p w:rsidR="002E0C25" w:rsidRDefault="002E0C25" w:rsidP="002E0C25">
      <w:pPr>
        <w:pStyle w:val="Default"/>
        <w:spacing w:line="360" w:lineRule="auto"/>
      </w:pPr>
      <w:r>
        <w:t xml:space="preserve">______ </w:t>
      </w:r>
      <w:r>
        <w:rPr>
          <w:b/>
        </w:rPr>
        <w:t>O direito internacional em um mundo em transformação: ensaios 1976-2001</w:t>
      </w:r>
      <w:r>
        <w:t xml:space="preserve"> (prefácio Celso </w:t>
      </w:r>
      <w:proofErr w:type="gramStart"/>
      <w:r>
        <w:t>D.</w:t>
      </w:r>
      <w:proofErr w:type="gramEnd"/>
      <w:r>
        <w:t xml:space="preserve"> de Albuquerque Mello). Rio de Janeiro: Renovar, 2002.</w:t>
      </w:r>
    </w:p>
    <w:p w:rsidR="002E0C25" w:rsidRDefault="002E0C25" w:rsidP="002E0C25">
      <w:pPr>
        <w:pStyle w:val="Default"/>
        <w:spacing w:line="360" w:lineRule="auto"/>
      </w:pPr>
    </w:p>
    <w:p w:rsidR="002E0C25" w:rsidRDefault="002E0C25" w:rsidP="002E0C25">
      <w:pPr>
        <w:pStyle w:val="Default"/>
        <w:spacing w:line="360" w:lineRule="auto"/>
      </w:pPr>
      <w:r>
        <w:t xml:space="preserve">TRINDADE, Otávio Cançado. A constitucionalização do direito internacional: mito ou realidade? </w:t>
      </w:r>
      <w:r>
        <w:rPr>
          <w:b/>
        </w:rPr>
        <w:t>Revista Informação Legislativa. Brasília: n. 178, abr/jun, 2008, pp. 271-284.</w:t>
      </w:r>
    </w:p>
    <w:p w:rsidR="003A0B48" w:rsidRDefault="003A0B48">
      <w:bookmarkStart w:id="0" w:name="_GoBack"/>
      <w:bookmarkEnd w:id="0"/>
    </w:p>
    <w:sectPr w:rsidR="003A0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25"/>
    <w:rsid w:val="002E0C25"/>
    <w:rsid w:val="003A0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25"/>
    <w:pPr>
      <w:suppressAutoHyphens/>
      <w:spacing w:after="0" w:line="240" w:lineRule="auto"/>
    </w:pPr>
    <w:rPr>
      <w:rFonts w:ascii="Times New Roman" w:eastAsia="Times New Roman" w:hAnsi="Times New Roman" w:cs="Times New Roman"/>
      <w:noProof/>
      <w:color w:val="00000A"/>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2E0C25"/>
  </w:style>
  <w:style w:type="paragraph" w:styleId="NormalWeb">
    <w:name w:val="Normal (Web)"/>
    <w:basedOn w:val="Normal"/>
    <w:uiPriority w:val="99"/>
    <w:rsid w:val="002E0C25"/>
    <w:pPr>
      <w:spacing w:before="280" w:after="280"/>
    </w:pPr>
  </w:style>
  <w:style w:type="paragraph" w:styleId="Textodenotaderodap">
    <w:name w:val="footnote text"/>
    <w:aliases w:val="Footnote Text Char Char Char Char Char,Footnote Text Char Char Char Char,Footnote reference,FA Fu,Footnote Text Char Char Char,Texto de nota de rodapé Char Char,Char,Char Char Char,Footnote Text Char Char,Char Char,nota de rodapé"/>
    <w:basedOn w:val="Normal"/>
    <w:link w:val="TextodenotaderodapChar"/>
    <w:uiPriority w:val="99"/>
    <w:rsid w:val="002E0C25"/>
  </w:style>
  <w:style w:type="character" w:customStyle="1" w:styleId="TextodenotaderodapChar">
    <w:name w:val="Texto de nota de rodapé Char"/>
    <w:basedOn w:val="Fontepargpadro"/>
    <w:link w:val="Textodenotaderodap"/>
    <w:uiPriority w:val="99"/>
    <w:rsid w:val="002E0C25"/>
    <w:rPr>
      <w:rFonts w:ascii="Times New Roman" w:eastAsia="Times New Roman" w:hAnsi="Times New Roman" w:cs="Times New Roman"/>
      <w:noProof/>
      <w:color w:val="00000A"/>
      <w:kern w:val="1"/>
      <w:sz w:val="24"/>
      <w:szCs w:val="24"/>
    </w:rPr>
  </w:style>
  <w:style w:type="paragraph" w:customStyle="1" w:styleId="Default">
    <w:name w:val="Default"/>
    <w:rsid w:val="002E0C25"/>
    <w:pPr>
      <w:widowControl w:val="0"/>
      <w:suppressAutoHyphens/>
      <w:spacing w:after="0" w:line="240" w:lineRule="auto"/>
    </w:pPr>
    <w:rPr>
      <w:rFonts w:ascii="Times New Roman" w:eastAsia="Arial Unicode MS" w:hAnsi="Times New Roman" w:cs="Times New Roman"/>
      <w:color w:val="000000"/>
      <w:sz w:val="24"/>
      <w:szCs w:val="24"/>
      <w:u w:color="000000"/>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25"/>
    <w:pPr>
      <w:suppressAutoHyphens/>
      <w:spacing w:after="0" w:line="240" w:lineRule="auto"/>
    </w:pPr>
    <w:rPr>
      <w:rFonts w:ascii="Times New Roman" w:eastAsia="Times New Roman" w:hAnsi="Times New Roman" w:cs="Times New Roman"/>
      <w:noProof/>
      <w:color w:val="00000A"/>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2E0C25"/>
  </w:style>
  <w:style w:type="paragraph" w:styleId="NormalWeb">
    <w:name w:val="Normal (Web)"/>
    <w:basedOn w:val="Normal"/>
    <w:uiPriority w:val="99"/>
    <w:rsid w:val="002E0C25"/>
    <w:pPr>
      <w:spacing w:before="280" w:after="280"/>
    </w:pPr>
  </w:style>
  <w:style w:type="paragraph" w:styleId="Textodenotaderodap">
    <w:name w:val="footnote text"/>
    <w:aliases w:val="Footnote Text Char Char Char Char Char,Footnote Text Char Char Char Char,Footnote reference,FA Fu,Footnote Text Char Char Char,Texto de nota de rodapé Char Char,Char,Char Char Char,Footnote Text Char Char,Char Char,nota de rodapé"/>
    <w:basedOn w:val="Normal"/>
    <w:link w:val="TextodenotaderodapChar"/>
    <w:uiPriority w:val="99"/>
    <w:rsid w:val="002E0C25"/>
  </w:style>
  <w:style w:type="character" w:customStyle="1" w:styleId="TextodenotaderodapChar">
    <w:name w:val="Texto de nota de rodapé Char"/>
    <w:basedOn w:val="Fontepargpadro"/>
    <w:link w:val="Textodenotaderodap"/>
    <w:uiPriority w:val="99"/>
    <w:rsid w:val="002E0C25"/>
    <w:rPr>
      <w:rFonts w:ascii="Times New Roman" w:eastAsia="Times New Roman" w:hAnsi="Times New Roman" w:cs="Times New Roman"/>
      <w:noProof/>
      <w:color w:val="00000A"/>
      <w:kern w:val="1"/>
      <w:sz w:val="24"/>
      <w:szCs w:val="24"/>
    </w:rPr>
  </w:style>
  <w:style w:type="paragraph" w:customStyle="1" w:styleId="Default">
    <w:name w:val="Default"/>
    <w:rsid w:val="002E0C25"/>
    <w:pPr>
      <w:widowControl w:val="0"/>
      <w:suppressAutoHyphens/>
      <w:spacing w:after="0" w:line="240" w:lineRule="auto"/>
    </w:pPr>
    <w:rPr>
      <w:rFonts w:ascii="Times New Roman" w:eastAsia="Arial Unicode MS" w:hAnsi="Times New Roman" w:cs="Times New Roman"/>
      <w:color w:val="000000"/>
      <w:sz w:val="24"/>
      <w:szCs w:val="24"/>
      <w:u w:color="00000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hr.coe.int/Pages/home.aspx?p=hom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PPGDC</dc:creator>
  <cp:lastModifiedBy>PPGDC</cp:lastModifiedBy>
  <cp:revision>1</cp:revision>
  <dcterms:created xsi:type="dcterms:W3CDTF">2018-03-05T18:12:00Z</dcterms:created>
  <dcterms:modified xsi:type="dcterms:W3CDTF">2018-03-05T18:13:00Z</dcterms:modified>
</cp:coreProperties>
</file>